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7EA26" w14:textId="3A08D14C"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100</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B50264">
        <w:rPr>
          <w:rFonts w:cs="Arial"/>
          <w:sz w:val="24"/>
          <w:szCs w:val="24"/>
          <w:lang w:val="de-DE"/>
        </w:rPr>
        <w:t>4219</w:t>
      </w:r>
    </w:p>
    <w:p w14:paraId="5A5E9D28" w14:textId="16E27FF5" w:rsidR="00A40206" w:rsidRPr="00DB3907" w:rsidRDefault="00614B7A" w:rsidP="00A40206">
      <w:pPr>
        <w:pStyle w:val="Header"/>
        <w:tabs>
          <w:tab w:val="left" w:pos="6521"/>
        </w:tabs>
        <w:rPr>
          <w:rFonts w:cs="Arial"/>
          <w:sz w:val="24"/>
          <w:szCs w:val="24"/>
        </w:rPr>
      </w:pPr>
      <w:r>
        <w:rPr>
          <w:rFonts w:cs="Arial"/>
          <w:sz w:val="24"/>
          <w:szCs w:val="24"/>
        </w:rPr>
        <w:t>August</w:t>
      </w:r>
      <w:r w:rsidR="00A40206">
        <w:rPr>
          <w:rFonts w:cs="Arial"/>
          <w:sz w:val="24"/>
          <w:szCs w:val="24"/>
        </w:rPr>
        <w:t xml:space="preserve"> </w:t>
      </w:r>
      <w:r w:rsidR="00E35BC4">
        <w:rPr>
          <w:rFonts w:cs="Arial"/>
          <w:sz w:val="24"/>
          <w:szCs w:val="24"/>
        </w:rPr>
        <w:t>1</w:t>
      </w:r>
      <w:r>
        <w:rPr>
          <w:rFonts w:cs="Arial"/>
          <w:sz w:val="24"/>
          <w:szCs w:val="24"/>
        </w:rPr>
        <w:t>6</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DF2EF4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D642E3">
        <w:rPr>
          <w:rFonts w:ascii="Arial" w:hAnsi="Arial"/>
          <w:sz w:val="24"/>
          <w:lang w:val="en-US"/>
        </w:rPr>
        <w:t>8.1.2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E26CC2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543570">
        <w:rPr>
          <w:rFonts w:ascii="Arial" w:hAnsi="Arial"/>
          <w:sz w:val="24"/>
          <w:lang w:val="en-US"/>
        </w:rPr>
        <w:t>NR-U 6 GHz band for Europe</w:t>
      </w:r>
      <w:r w:rsidR="001546C6">
        <w:rPr>
          <w:rFonts w:ascii="Arial" w:hAnsi="Arial"/>
          <w:sz w:val="24"/>
          <w:lang w:val="en-US"/>
        </w:rPr>
        <w:t xml:space="preserve"> from a UE perspective</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0879CED" w14:textId="4FFCEBAA" w:rsidR="000071B2" w:rsidRDefault="00FA04F7" w:rsidP="00354733">
      <w:pPr>
        <w:rPr>
          <w:color w:val="000000"/>
        </w:rPr>
      </w:pPr>
      <w:r>
        <w:rPr>
          <w:lang w:val="en-US"/>
        </w:rPr>
        <w:t xml:space="preserve">The technical requirements for </w:t>
      </w:r>
      <w:r w:rsidR="001D09B3">
        <w:rPr>
          <w:lang w:val="en-US"/>
        </w:rPr>
        <w:t>unlicensed operation in</w:t>
      </w:r>
      <w:r>
        <w:rPr>
          <w:lang w:val="en-US"/>
        </w:rPr>
        <w:t xml:space="preserve"> the range 5945 – 6425 MHz</w:t>
      </w:r>
      <w:r w:rsidR="001D09B3">
        <w:rPr>
          <w:lang w:val="en-US"/>
        </w:rPr>
        <w:t xml:space="preserve"> for Europe </w:t>
      </w:r>
      <w:r w:rsidR="00FC15AC">
        <w:rPr>
          <w:lang w:val="en-US"/>
        </w:rPr>
        <w:t xml:space="preserve">were published by ECC in November 2020 [1].  </w:t>
      </w:r>
      <w:r w:rsidR="00E53EAD">
        <w:rPr>
          <w:lang w:val="en-US"/>
        </w:rPr>
        <w:t>In response</w:t>
      </w:r>
      <w:r w:rsidR="00FC15AC">
        <w:rPr>
          <w:lang w:val="en-US"/>
        </w:rPr>
        <w:t>, a work item</w:t>
      </w:r>
      <w:r w:rsidR="00E53EAD">
        <w:rPr>
          <w:lang w:val="en-US"/>
        </w:rPr>
        <w:t xml:space="preserve"> was initiated at RAN #90e in December 2020</w:t>
      </w:r>
      <w:r w:rsidR="00E92A0A">
        <w:rPr>
          <w:lang w:val="en-US"/>
        </w:rPr>
        <w:t xml:space="preserve"> [2]</w:t>
      </w:r>
      <w:r w:rsidR="00E53EAD">
        <w:rPr>
          <w:lang w:val="en-US"/>
        </w:rPr>
        <w:t xml:space="preserve"> to start the specification work</w:t>
      </w:r>
      <w:r w:rsidR="00FC6C81">
        <w:rPr>
          <w:lang w:val="en-US"/>
        </w:rPr>
        <w:t xml:space="preserve">.  Since that time, RAN4 has been evaluating and developing the technical requirements for the band but one of the key objectives remains unresolved – that is, whether the European regulatory requirements are best handled by relevant updates (if any) of band n96 or whether a new band is needed.  </w:t>
      </w:r>
      <w:r w:rsidR="003E61D4">
        <w:rPr>
          <w:lang w:val="en-US"/>
        </w:rPr>
        <w:t xml:space="preserve">The inability of RAN4 to reach agreement on this aspect was then </w:t>
      </w:r>
      <w:r w:rsidR="00D118DD">
        <w:rPr>
          <w:lang w:val="en-US"/>
        </w:rPr>
        <w:t>highlighted</w:t>
      </w:r>
      <w:r w:rsidR="003E61D4">
        <w:rPr>
          <w:lang w:val="en-US"/>
        </w:rPr>
        <w:t xml:space="preserve"> on the status report to RAN#92e</w:t>
      </w:r>
      <w:r w:rsidR="00E92A0A">
        <w:rPr>
          <w:lang w:val="en-US"/>
        </w:rPr>
        <w:t xml:space="preserve"> [3]</w:t>
      </w:r>
      <w:r w:rsidR="006450CB">
        <w:rPr>
          <w:lang w:val="en-US"/>
        </w:rPr>
        <w:t xml:space="preserve"> where RAN intervention was requested.  </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37D847EC" w14:textId="13AA1397" w:rsidR="006450CB" w:rsidRPr="006450CB" w:rsidRDefault="009E00F3" w:rsidP="006450CB">
      <w:pPr>
        <w:rPr>
          <w:lang w:val="en-US"/>
        </w:rPr>
      </w:pPr>
      <w:r>
        <w:rPr>
          <w:lang w:val="en-US"/>
        </w:rPr>
        <w:t xml:space="preserve">The status report [3] for the </w:t>
      </w:r>
      <w:r w:rsidR="00354733">
        <w:rPr>
          <w:lang w:val="en-US"/>
        </w:rPr>
        <w:t>work item to introduce lower 6 GHz NR unlicensed operation for Europe presented two options to either reuse Band n96 or to define a new band.  The following was reported</w:t>
      </w:r>
    </w:p>
    <w:p w14:paraId="2746556C" w14:textId="77777777" w:rsidR="006450CB" w:rsidRPr="00354733" w:rsidRDefault="006450CB" w:rsidP="00354733">
      <w:pPr>
        <w:spacing w:after="0"/>
        <w:ind w:left="720" w:right="811"/>
        <w:rPr>
          <w:sz w:val="18"/>
          <w:szCs w:val="18"/>
        </w:rPr>
      </w:pPr>
      <w:r w:rsidRPr="00354733">
        <w:rPr>
          <w:sz w:val="18"/>
          <w:szCs w:val="18"/>
        </w:rPr>
        <w:t xml:space="preserve">Both options will for the UE require specific NS(s) to be defined to contain the regulatory requirements. The BS shall follow regional regulations per general statement when operating in shared spectrum. The regulations for unlicensed operation in the frequency range 5945 MHz to 6425 MHz in Europe is defined by ECC Decision (20)01 which initiated this WI. It has during the RAN4 meetings been questioned if these regulations are sufficient to introduce unlicensed operation in the lower 6 GHz range (5945 MHz to 6425 MHz) and if further considerations should be given to the upper 6 GHz range (6425 MHz to 7125 MHz). Note that no regulations have yet been defined in Europe for the upper 6 GHz range. </w:t>
      </w:r>
    </w:p>
    <w:p w14:paraId="5047CD60" w14:textId="77777777" w:rsidR="006450CB" w:rsidRPr="00354733" w:rsidRDefault="006450CB" w:rsidP="00354733">
      <w:pPr>
        <w:spacing w:after="0"/>
        <w:ind w:left="720" w:right="811"/>
        <w:rPr>
          <w:sz w:val="18"/>
          <w:szCs w:val="18"/>
        </w:rPr>
      </w:pPr>
    </w:p>
    <w:p w14:paraId="6D9EBE1B" w14:textId="77777777" w:rsidR="006450CB" w:rsidRPr="00354733" w:rsidRDefault="006450CB" w:rsidP="00354733">
      <w:pPr>
        <w:spacing w:after="0"/>
        <w:ind w:left="720" w:right="811"/>
        <w:rPr>
          <w:sz w:val="18"/>
          <w:szCs w:val="18"/>
        </w:rPr>
      </w:pPr>
      <w:r w:rsidRPr="00354733">
        <w:rPr>
          <w:sz w:val="18"/>
          <w:szCs w:val="18"/>
        </w:rPr>
        <w:t xml:space="preserve">The above elaboration leaves the question if the WI shall wait for regulations in Europe for the upper 6 GHz range and which of the two options for </w:t>
      </w:r>
      <w:bookmarkStart w:id="0" w:name="_Hlk73534892"/>
      <w:r w:rsidRPr="00354733">
        <w:rPr>
          <w:sz w:val="18"/>
          <w:szCs w:val="18"/>
        </w:rPr>
        <w:t>introducing unlicensed operation in the frequency range 5945 MHz to 6425 MHz in Europe</w:t>
      </w:r>
      <w:bookmarkEnd w:id="0"/>
      <w:r w:rsidRPr="00354733">
        <w:rPr>
          <w:sz w:val="18"/>
          <w:szCs w:val="18"/>
        </w:rPr>
        <w:t xml:space="preserve"> shall be followed.</w:t>
      </w:r>
    </w:p>
    <w:p w14:paraId="7DEFF0AA" w14:textId="77777777" w:rsidR="006450CB" w:rsidRPr="00354733" w:rsidRDefault="006450CB" w:rsidP="00354733">
      <w:pPr>
        <w:spacing w:after="0"/>
        <w:ind w:left="720" w:right="811"/>
        <w:rPr>
          <w:sz w:val="18"/>
          <w:szCs w:val="18"/>
        </w:rPr>
      </w:pPr>
    </w:p>
    <w:p w14:paraId="78F0A875" w14:textId="433E39F5" w:rsidR="006450CB" w:rsidRPr="00354733" w:rsidRDefault="006450CB" w:rsidP="00354733">
      <w:pPr>
        <w:spacing w:after="0"/>
        <w:ind w:left="720" w:right="811"/>
        <w:rPr>
          <w:sz w:val="18"/>
          <w:szCs w:val="18"/>
        </w:rPr>
      </w:pPr>
      <w:r w:rsidRPr="00354733">
        <w:rPr>
          <w:sz w:val="18"/>
          <w:szCs w:val="18"/>
        </w:rPr>
        <w:t xml:space="preserve">REQUESTED ACTION: RAN plenary shall decide if unlicensed operation in the frequency range 5945 MHz to 6425 MHz in Europe shall be based on available ECC Decision (20)01 or RAN4 shall consider other aspects as well. Further, RAN plenary is requested to decide which of the two listed options RAN4 shall follow to introduce unlicensed operation in the frequency range 5945 MHz to 6425 MHz in Europe.  </w:t>
      </w:r>
    </w:p>
    <w:p w14:paraId="45424804" w14:textId="1AD19D65" w:rsidR="009E00F3" w:rsidRDefault="009E00F3" w:rsidP="006450CB">
      <w:pPr>
        <w:spacing w:after="0"/>
      </w:pPr>
    </w:p>
    <w:p w14:paraId="768FDA4B" w14:textId="2AF961FE" w:rsidR="009E00F3" w:rsidRDefault="00354733" w:rsidP="006450CB">
      <w:pPr>
        <w:spacing w:after="0"/>
      </w:pPr>
      <w:r>
        <w:t>There are two parts of the requested action to RAN – whether the requirements should be based solely on ECC Decision (20)01 or whether other aspects should also be considered.  The agreement from RAN #92e is as follows</w:t>
      </w:r>
    </w:p>
    <w:p w14:paraId="3C310878" w14:textId="77777777" w:rsidR="00354733" w:rsidRDefault="00354733" w:rsidP="006450CB">
      <w:pPr>
        <w:spacing w:after="0"/>
      </w:pPr>
    </w:p>
    <w:p w14:paraId="2B78709A" w14:textId="77777777" w:rsidR="00354733" w:rsidRDefault="00354733" w:rsidP="00354733">
      <w:pPr>
        <w:ind w:firstLine="284"/>
        <w:rPr>
          <w:i/>
          <w:iCs/>
        </w:rPr>
      </w:pPr>
      <w:r>
        <w:rPr>
          <w:i/>
          <w:iCs/>
        </w:rPr>
        <w:t>RAN agreement from intermediate email discussion round (acc. to Proposal #4-2 of section 4.4.2):</w:t>
      </w:r>
    </w:p>
    <w:p w14:paraId="46848728" w14:textId="77777777" w:rsidR="00354733" w:rsidRDefault="00354733" w:rsidP="00354733">
      <w:pPr>
        <w:ind w:left="284"/>
        <w:rPr>
          <w:i/>
          <w:iCs/>
        </w:rPr>
      </w:pPr>
      <w:r>
        <w:rPr>
          <w:i/>
          <w:iCs/>
        </w:rPr>
        <w:t>Unlicensed operation in the frequency range 5945 MHz to 6425 MHz in Europe shall be based on available ECC Decision (20)01.</w:t>
      </w:r>
    </w:p>
    <w:p w14:paraId="1AC7F626" w14:textId="1869B61F" w:rsidR="00354733" w:rsidRDefault="00354733" w:rsidP="006450CB">
      <w:pPr>
        <w:spacing w:after="0"/>
      </w:pPr>
    </w:p>
    <w:p w14:paraId="2A7C7850" w14:textId="40404EFD" w:rsidR="00354733" w:rsidRDefault="00354733" w:rsidP="006450CB">
      <w:pPr>
        <w:spacing w:after="0"/>
      </w:pPr>
      <w:r>
        <w:t>The second part if whether Band n96 shall be reused or whether a new band shall be defined.  For that, the RAN #92e conclusion is</w:t>
      </w:r>
    </w:p>
    <w:p w14:paraId="7E2320DD" w14:textId="77777777" w:rsidR="00354733" w:rsidRDefault="00354733" w:rsidP="006450CB">
      <w:pPr>
        <w:spacing w:after="0"/>
      </w:pPr>
    </w:p>
    <w:p w14:paraId="6690CDDA" w14:textId="742C10EA" w:rsidR="00354733" w:rsidRDefault="00354733" w:rsidP="00354733">
      <w:pPr>
        <w:widowControl w:val="0"/>
        <w:tabs>
          <w:tab w:val="left" w:pos="1190"/>
        </w:tabs>
        <w:autoSpaceDE w:val="0"/>
        <w:autoSpaceDN w:val="0"/>
        <w:adjustRightInd w:val="0"/>
        <w:spacing w:after="0"/>
        <w:ind w:left="720" w:right="811"/>
        <w:rPr>
          <w:color w:val="000000"/>
        </w:rPr>
      </w:pPr>
      <w:r>
        <w:rPr>
          <w:color w:val="000000"/>
        </w:rPr>
        <w:t>RAN4 is tasked to compare option 1 (Re-using already defined band n96) and option 2 (Defining a new band n[xx]) regarding requirements and signaling in the Aug.21 RAN4 meeting and to bring a comparison table back to RAN #93e</w:t>
      </w:r>
      <w:r w:rsidR="00A55067">
        <w:rPr>
          <w:color w:val="000000"/>
        </w:rPr>
        <w:t>.</w:t>
      </w:r>
    </w:p>
    <w:p w14:paraId="2C5D6CAE" w14:textId="3F9F7AE2" w:rsidR="00354733" w:rsidRDefault="00354733" w:rsidP="006450CB">
      <w:pPr>
        <w:spacing w:after="0"/>
      </w:pPr>
    </w:p>
    <w:p w14:paraId="4C6BD819" w14:textId="77777777" w:rsidR="00932BBB" w:rsidRDefault="00932BBB" w:rsidP="006450CB">
      <w:pPr>
        <w:spacing w:after="0"/>
      </w:pPr>
    </w:p>
    <w:p w14:paraId="28648D7D" w14:textId="2F2AC13E" w:rsidR="00A0333F" w:rsidRDefault="00932BBB" w:rsidP="006450CB">
      <w:pPr>
        <w:spacing w:after="0"/>
      </w:pPr>
      <w:r>
        <w:t>M</w:t>
      </w:r>
      <w:r w:rsidR="00136B51" w:rsidRPr="00136B51">
        <w:t>ost UE requirements defined in 38.101-1</w:t>
      </w:r>
      <w:r w:rsidR="00136B51">
        <w:t xml:space="preserve"> </w:t>
      </w:r>
      <w:r w:rsidR="008E3168">
        <w:t xml:space="preserve">either </w:t>
      </w:r>
      <w:r w:rsidR="00136B51">
        <w:t xml:space="preserve">apply </w:t>
      </w:r>
      <w:r w:rsidR="008E3168">
        <w:t xml:space="preserve">generally to all bands, or apply </w:t>
      </w:r>
      <w:r w:rsidR="00136B51">
        <w:t>with respect to the channel</w:t>
      </w:r>
      <w:r w:rsidR="001400B0">
        <w:t xml:space="preserve">, rather than the </w:t>
      </w:r>
      <w:r>
        <w:t xml:space="preserve">specific </w:t>
      </w:r>
      <w:r w:rsidR="001400B0">
        <w:t>band.</w:t>
      </w:r>
      <w:r w:rsidR="004D3EAE">
        <w:t xml:space="preserve">  Therefore, these requirements are indifferent to whether a new band is defined or whether </w:t>
      </w:r>
      <w:r w:rsidR="00FE28F2">
        <w:t xml:space="preserve">band n96 is reused.  There are another set of requirements that do depend on the band upper or lower edge; for example, </w:t>
      </w:r>
      <w:r w:rsidR="007B3178">
        <w:t>some blocking requirements are specified with different bandwidth aggressors</w:t>
      </w:r>
      <w:r w:rsidR="0078598F">
        <w:t xml:space="preserve"> depending whether the upper edge of the band is below or above 2700 MHz</w:t>
      </w:r>
      <w:r w:rsidR="00662436">
        <w:t xml:space="preserve">.  However, since the spectrum being discussed here is well above 2700 MHz, </w:t>
      </w:r>
      <w:r w:rsidR="00A0333F">
        <w:t xml:space="preserve">these requirements will not be impacted by either option since both options will be above 2700 MHz.  </w:t>
      </w:r>
      <w:r w:rsidR="00730880">
        <w:t xml:space="preserve">Another example is </w:t>
      </w:r>
      <w:r w:rsidR="00730880" w:rsidRPr="00730880">
        <w:rPr>
          <w:rFonts w:ascii="Symbol" w:hAnsi="Symbol"/>
        </w:rPr>
        <w:t>D</w:t>
      </w:r>
      <w:r w:rsidR="00730880">
        <w:t xml:space="preserve">MPR which applies when the relative bandwidth is large.  The relative bandwidth is the channel bandwidth normalized by the center frequency of the uplink band.  The center frequency of the uplink </w:t>
      </w:r>
      <w:r w:rsidR="004A2F56">
        <w:t>is 6275 MHz and 5960 MHz, respectively, for opt</w:t>
      </w:r>
      <w:r w:rsidR="001231A4">
        <w:t>i</w:t>
      </w:r>
      <w:r w:rsidR="004A2F56">
        <w:t xml:space="preserve">on 1 and option 2.  This implies that zero </w:t>
      </w:r>
      <w:r w:rsidR="004A2F56" w:rsidRPr="00730880">
        <w:rPr>
          <w:rFonts w:ascii="Symbol" w:hAnsi="Symbol"/>
        </w:rPr>
        <w:t>D</w:t>
      </w:r>
      <w:r w:rsidR="004A2F56">
        <w:t>MPR can</w:t>
      </w:r>
      <w:r w:rsidR="001231A4">
        <w:t xml:space="preserve"> apply for channel bandwidths up to 251 MHz and 238 MHz for option 1 and option 2.</w:t>
      </w:r>
      <w:r w:rsidR="009D2954">
        <w:t xml:space="preserve">  Neither of these is seen as limiting </w:t>
      </w:r>
      <w:r w:rsidR="003F2549">
        <w:t xml:space="preserve">since the maximum channel bandwidth for NR-U is currently 80 MHz.  </w:t>
      </w:r>
      <w:r w:rsidR="00A0333F">
        <w:t xml:space="preserve">Finally, there are some requirements that do have a dependency on the band.  </w:t>
      </w:r>
      <w:r w:rsidR="00A0333F" w:rsidRPr="00C65776">
        <w:t>These are tabulated below</w:t>
      </w:r>
      <w:r w:rsidR="009F1DC3" w:rsidRPr="00C65776">
        <w:t xml:space="preserve"> for the UE in </w:t>
      </w:r>
      <w:r w:rsidR="00C65776" w:rsidRPr="00C65776">
        <w:t>Figure 1 below</w:t>
      </w:r>
      <w:r w:rsidR="009F1DC3" w:rsidRPr="00C65776">
        <w:t>.</w:t>
      </w:r>
    </w:p>
    <w:p w14:paraId="11D26CE8" w14:textId="1033A599" w:rsidR="00FE28F2" w:rsidRDefault="00662436" w:rsidP="006450CB">
      <w:pPr>
        <w:spacing w:after="0"/>
      </w:pPr>
      <w:r>
        <w:t xml:space="preserve"> </w:t>
      </w:r>
    </w:p>
    <w:p w14:paraId="46605F21" w14:textId="77777777" w:rsidR="00C65776" w:rsidRDefault="009F1DC3" w:rsidP="00C65776">
      <w:pPr>
        <w:keepNext/>
        <w:spacing w:after="0"/>
      </w:pPr>
      <w:r w:rsidRPr="009F1DC3">
        <w:rPr>
          <w:noProof/>
        </w:rPr>
        <w:drawing>
          <wp:inline distT="0" distB="0" distL="0" distR="0" wp14:anchorId="7508174F" wp14:editId="60A823BC">
            <wp:extent cx="6115685" cy="28689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868930"/>
                    </a:xfrm>
                    <a:prstGeom prst="rect">
                      <a:avLst/>
                    </a:prstGeom>
                    <a:noFill/>
                    <a:ln>
                      <a:noFill/>
                    </a:ln>
                  </pic:spPr>
                </pic:pic>
              </a:graphicData>
            </a:graphic>
          </wp:inline>
        </w:drawing>
      </w:r>
    </w:p>
    <w:p w14:paraId="60EFFAE8" w14:textId="150946B6" w:rsidR="00662436" w:rsidRDefault="00C65776" w:rsidP="00C6577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UE requirements from 38.101-1 for option 1 and option 2</w:t>
      </w:r>
    </w:p>
    <w:p w14:paraId="53A4709D" w14:textId="77777777" w:rsidR="00662436" w:rsidRDefault="00662436" w:rsidP="006450CB">
      <w:pPr>
        <w:spacing w:after="0"/>
      </w:pPr>
    </w:p>
    <w:p w14:paraId="3D6AF6DE" w14:textId="5EBFF05A" w:rsidR="004D3EAE" w:rsidRDefault="009F1DC3" w:rsidP="006450CB">
      <w:pPr>
        <w:spacing w:after="0"/>
      </w:pPr>
      <w:r>
        <w:t xml:space="preserve">Introduction of these requirements into the 38.101-1 specifications is manageable with either option.  The primary difference is in the applicability </w:t>
      </w:r>
      <w:r w:rsidR="001546C6">
        <w:t xml:space="preserve">and reach </w:t>
      </w:r>
      <w:r>
        <w:t xml:space="preserve">of in-band and out-of-band blocking requirements.  These blocking requirements are defined relative to the band edge (FDL_low and FDL_high) to reflect the behavior of the UE band filter to provide Rx rejection further away from the Rx band.  Essentially, the reuse of Band n96 would imply a filter with passband 5925 – 7125 MHz and therefore only provides rejection outside of this range, while a new band </w:t>
      </w:r>
      <w:r w:rsidRPr="009F1DC3">
        <w:rPr>
          <w:i/>
          <w:iCs/>
        </w:rPr>
        <w:t>could</w:t>
      </w:r>
      <w:r>
        <w:t xml:space="preserve"> imply a filter with passband 5945 – 6425 MHz.  </w:t>
      </w:r>
      <w:r w:rsidR="007A2514">
        <w:t xml:space="preserve">However, in actual UE implementation, it is likely that a common hardware front-end configuration will be used for both Band n96 and the European 6 GHz unlicensed band – certainly for a UE that supports both bands.  Therefore, the front-end filter will have a passband over the entire 5925 – 7125 MHz </w:t>
      </w:r>
      <w:r w:rsidR="007A2514" w:rsidRPr="00C65776">
        <w:t xml:space="preserve">frequency range.  This understanding has already been acknowledged </w:t>
      </w:r>
      <w:r w:rsidR="00497362" w:rsidRPr="00C65776">
        <w:t xml:space="preserve">at least on the Tx side </w:t>
      </w:r>
      <w:r w:rsidR="007A2514" w:rsidRPr="00C65776">
        <w:t xml:space="preserve">in </w:t>
      </w:r>
      <w:r w:rsidRPr="00C65776">
        <w:t>a previous agreement [</w:t>
      </w:r>
      <w:r w:rsidR="00BC110F" w:rsidRPr="00C65776">
        <w:t>4</w:t>
      </w:r>
      <w:r w:rsidRPr="00C65776">
        <w:t xml:space="preserve">] </w:t>
      </w:r>
      <w:r w:rsidR="00497362" w:rsidRPr="00C65776">
        <w:t>where “no filter rejection is assumed &lt;5935 MHz and &gt;6425MHz for spurious emissions.”</w:t>
      </w:r>
    </w:p>
    <w:p w14:paraId="26C7EE29" w14:textId="77777777" w:rsidR="00497362" w:rsidRDefault="00497362" w:rsidP="006450CB">
      <w:pPr>
        <w:spacing w:after="0"/>
      </w:pPr>
    </w:p>
    <w:p w14:paraId="3F8BEA58" w14:textId="38178B6B" w:rsidR="009C37D0" w:rsidRDefault="00FA01C7" w:rsidP="009C37D0">
      <w:pPr>
        <w:pStyle w:val="Heading1"/>
        <w:tabs>
          <w:tab w:val="clear" w:pos="432"/>
          <w:tab w:val="num" w:pos="522"/>
        </w:tabs>
        <w:ind w:left="522" w:hanging="522"/>
        <w:rPr>
          <w:lang w:val="en-US"/>
        </w:rPr>
      </w:pPr>
      <w:r>
        <w:rPr>
          <w:lang w:val="en-US"/>
        </w:rPr>
        <w:t>Conclusion</w:t>
      </w:r>
    </w:p>
    <w:p w14:paraId="7A4C6634" w14:textId="43A1291A" w:rsidR="00C65776" w:rsidRPr="00C65776" w:rsidRDefault="00C65776" w:rsidP="00C65776">
      <w:pPr>
        <w:rPr>
          <w:lang w:val="en-US"/>
        </w:rPr>
      </w:pPr>
      <w:r>
        <w:rPr>
          <w:lang w:val="en-US"/>
        </w:rPr>
        <w:t xml:space="preserve">The differences in technical specifications between option 1 to reuse Band n96 and option 2 to define a new band to enable European lower 6 GHz unlicensed operation is summarized for the UE in this contribution.  It has been demonstrated that either option can be accommodated by specification, but the primary difference is in the in-band and out-of-band blocking requirements.  If it is assumed that the UE implements a common filter between wideband 6 GHz and lower 6 GHz for Rx, as it has already been assumed for Tx, then neither option is materially different.  On the other hand, if it is assumed that a band-specific filter is implemented for option 2, then in-band and out-of-band blockers can be defined closer to the 5945 MHz and 6425 MHz band edges.  However, such an option </w:t>
      </w:r>
      <w:r w:rsidR="00D26D3A">
        <w:rPr>
          <w:lang w:val="en-US"/>
        </w:rPr>
        <w:t xml:space="preserve">could result in </w:t>
      </w:r>
      <w:r>
        <w:rPr>
          <w:lang w:val="en-US"/>
        </w:rPr>
        <w:t>market fragmentation and hinder global economies of scale since common hardware cannot be reused between different regions implementing unlicensed 6 GHz.</w:t>
      </w:r>
    </w:p>
    <w:p w14:paraId="370EE77B" w14:textId="77777777" w:rsidR="0090577D" w:rsidRDefault="0090577D" w:rsidP="00505D2D">
      <w:pPr>
        <w:pStyle w:val="Heading1"/>
        <w:numPr>
          <w:ilvl w:val="0"/>
          <w:numId w:val="0"/>
        </w:numPr>
        <w:ind w:left="432" w:hanging="432"/>
        <w:rPr>
          <w:lang w:val="en-US"/>
        </w:rPr>
      </w:pPr>
      <w:r>
        <w:rPr>
          <w:lang w:val="en-US"/>
        </w:rPr>
        <w:lastRenderedPageBreak/>
        <w:t>Reference</w:t>
      </w:r>
    </w:p>
    <w:p w14:paraId="11DB99B6" w14:textId="77777777" w:rsidR="00D23312" w:rsidRDefault="00D23312" w:rsidP="00D23312">
      <w:pPr>
        <w:numPr>
          <w:ilvl w:val="0"/>
          <w:numId w:val="2"/>
        </w:numPr>
        <w:tabs>
          <w:tab w:val="left" w:pos="1080"/>
        </w:tabs>
        <w:rPr>
          <w:lang w:val="en-US" w:eastAsia="x-none"/>
        </w:rPr>
      </w:pPr>
      <w:bookmarkStart w:id="1" w:name="_Hlk859252"/>
      <w:r>
        <w:rPr>
          <w:lang w:val="en-US" w:eastAsia="x-none"/>
        </w:rPr>
        <w:t>ECC Decision (20)01, “</w:t>
      </w:r>
      <w:r w:rsidRPr="00EA27DA">
        <w:rPr>
          <w:lang w:val="en-US" w:eastAsia="x-none"/>
        </w:rPr>
        <w:t>On the harmonised use of the frequency band 5945-6425 MHz for Wireless Access Systems including Radio Local Area Networks (WAS/RLAN)</w:t>
      </w:r>
      <w:r>
        <w:rPr>
          <w:lang w:val="en-US" w:eastAsia="x-none"/>
        </w:rPr>
        <w:t>,” 20 November 2020.</w:t>
      </w:r>
    </w:p>
    <w:p w14:paraId="021F6DFD" w14:textId="195566C3" w:rsidR="00E53EAD" w:rsidRDefault="00E53EAD" w:rsidP="001219FC">
      <w:pPr>
        <w:numPr>
          <w:ilvl w:val="0"/>
          <w:numId w:val="2"/>
        </w:numPr>
        <w:tabs>
          <w:tab w:val="left" w:pos="1080"/>
        </w:tabs>
        <w:rPr>
          <w:lang w:val="en-US" w:eastAsia="x-none"/>
        </w:rPr>
      </w:pPr>
      <w:r>
        <w:rPr>
          <w:lang w:val="en-US" w:eastAsia="x-none"/>
        </w:rPr>
        <w:t>RP-202592, “WID on introduction of lower 6GHz NR unlicensed operation for Europe,” Nokia, Nokia Shanghai Bell</w:t>
      </w:r>
    </w:p>
    <w:p w14:paraId="7C53F6DE" w14:textId="3294B525" w:rsidR="00E53EAD" w:rsidRDefault="00EC2599" w:rsidP="001219FC">
      <w:pPr>
        <w:numPr>
          <w:ilvl w:val="0"/>
          <w:numId w:val="2"/>
        </w:numPr>
        <w:tabs>
          <w:tab w:val="left" w:pos="1080"/>
        </w:tabs>
        <w:rPr>
          <w:lang w:val="en-US" w:eastAsia="x-none"/>
        </w:rPr>
      </w:pPr>
      <w:r>
        <w:rPr>
          <w:lang w:val="en-US" w:eastAsia="x-none"/>
        </w:rPr>
        <w:t>RP-211320, Status Report to TSG</w:t>
      </w:r>
    </w:p>
    <w:p w14:paraId="4C7D7E15" w14:textId="77777777" w:rsidR="00BC110F" w:rsidRDefault="00F6734B" w:rsidP="001219FC">
      <w:pPr>
        <w:numPr>
          <w:ilvl w:val="0"/>
          <w:numId w:val="2"/>
        </w:numPr>
        <w:tabs>
          <w:tab w:val="left" w:pos="1080"/>
        </w:tabs>
        <w:rPr>
          <w:lang w:val="en-US" w:eastAsia="x-none"/>
        </w:rPr>
      </w:pPr>
      <w:r>
        <w:rPr>
          <w:lang w:val="en-US" w:eastAsia="x-none"/>
        </w:rPr>
        <w:t>R4-21</w:t>
      </w:r>
      <w:r w:rsidR="00497362">
        <w:rPr>
          <w:lang w:val="en-US" w:eastAsia="x-none"/>
        </w:rPr>
        <w:t>03229</w:t>
      </w:r>
      <w:r>
        <w:rPr>
          <w:lang w:val="en-US" w:eastAsia="x-none"/>
        </w:rPr>
        <w:t>, “</w:t>
      </w:r>
      <w:r w:rsidR="00497362">
        <w:rPr>
          <w:lang w:val="en-US" w:eastAsia="x-none"/>
        </w:rPr>
        <w:t>WF on introduction of lower 6GHz NR unlicensed operation for Europe,” Nokia, Qualcomm, Charter Communications</w:t>
      </w:r>
      <w:r w:rsidR="00BC110F">
        <w:rPr>
          <w:lang w:val="en-US" w:eastAsia="x-none"/>
        </w:rPr>
        <w:t>, Inc.</w:t>
      </w:r>
    </w:p>
    <w:p w14:paraId="1CF5354D" w14:textId="060A8246" w:rsidR="00614B7A" w:rsidRDefault="00614B7A" w:rsidP="00614B7A">
      <w:pPr>
        <w:tabs>
          <w:tab w:val="left" w:pos="1080"/>
        </w:tabs>
        <w:rPr>
          <w:lang w:val="en-US" w:eastAsia="x-none"/>
        </w:rPr>
      </w:pPr>
    </w:p>
    <w:bookmarkEnd w:id="1"/>
    <w:p w14:paraId="5C346CDA" w14:textId="77777777" w:rsidR="00614B7A" w:rsidRDefault="00614B7A" w:rsidP="00614B7A">
      <w:pPr>
        <w:tabs>
          <w:tab w:val="left" w:pos="1080"/>
        </w:tabs>
        <w:rPr>
          <w:lang w:val="en-US" w:eastAsia="x-none"/>
        </w:rPr>
      </w:pPr>
    </w:p>
    <w:sectPr w:rsidR="00614B7A"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42CEE" w14:textId="77777777" w:rsidR="00231BD8" w:rsidRDefault="00231BD8">
      <w:r>
        <w:separator/>
      </w:r>
    </w:p>
  </w:endnote>
  <w:endnote w:type="continuationSeparator" w:id="0">
    <w:p w14:paraId="61A3D467" w14:textId="77777777" w:rsidR="00231BD8" w:rsidRDefault="002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54402" w14:textId="77777777" w:rsidR="00231BD8" w:rsidRDefault="00231BD8">
      <w:r>
        <w:separator/>
      </w:r>
    </w:p>
  </w:footnote>
  <w:footnote w:type="continuationSeparator" w:id="0">
    <w:p w14:paraId="68792711" w14:textId="77777777" w:rsidR="00231BD8" w:rsidRDefault="00231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2"/>
  </w:num>
  <w:num w:numId="4">
    <w:abstractNumId w:val="25"/>
  </w:num>
  <w:num w:numId="5">
    <w:abstractNumId w:val="18"/>
  </w:num>
  <w:num w:numId="6">
    <w:abstractNumId w:val="6"/>
  </w:num>
  <w:num w:numId="7">
    <w:abstractNumId w:val="1"/>
  </w:num>
  <w:num w:numId="8">
    <w:abstractNumId w:val="21"/>
  </w:num>
  <w:num w:numId="9">
    <w:abstractNumId w:val="7"/>
  </w:num>
  <w:num w:numId="10">
    <w:abstractNumId w:val="15"/>
  </w:num>
  <w:num w:numId="11">
    <w:abstractNumId w:val="27"/>
  </w:num>
  <w:num w:numId="12">
    <w:abstractNumId w:val="5"/>
  </w:num>
  <w:num w:numId="13">
    <w:abstractNumId w:val="13"/>
  </w:num>
  <w:num w:numId="14">
    <w:abstractNumId w:val="3"/>
  </w:num>
  <w:num w:numId="15">
    <w:abstractNumId w:val="12"/>
  </w:num>
  <w:num w:numId="16">
    <w:abstractNumId w:val="2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7"/>
  </w:num>
  <w:num w:numId="24">
    <w:abstractNumId w:val="23"/>
  </w:num>
  <w:num w:numId="25">
    <w:abstractNumId w:val="24"/>
  </w:num>
  <w:num w:numId="26">
    <w:abstractNumId w:val="2"/>
  </w:num>
  <w:num w:numId="27">
    <w:abstractNumId w:val="14"/>
  </w:num>
  <w:num w:numId="28">
    <w:abstractNumId w:val="16"/>
  </w:num>
  <w:num w:numId="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51"/>
    <w:rsid w:val="00136BDF"/>
    <w:rsid w:val="00137126"/>
    <w:rsid w:val="0013754C"/>
    <w:rsid w:val="001375EB"/>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73AD"/>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87C"/>
    <w:rsid w:val="004A1885"/>
    <w:rsid w:val="004A1D0F"/>
    <w:rsid w:val="004A204A"/>
    <w:rsid w:val="004A2BDE"/>
    <w:rsid w:val="004A2F56"/>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4DA"/>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06BE"/>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312"/>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C8B"/>
    <w:rsid w:val="00E53C5E"/>
    <w:rsid w:val="00E53EAD"/>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0A"/>
    <w:rsid w:val="00E92AD0"/>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2021-08-06T16:12:00Z</dcterms:created>
  <dcterms:modified xsi:type="dcterms:W3CDTF">2021-08-06T16:12:00Z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