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D54663" w:rsidRPr="00D54663">
        <w:rPr>
          <w:rFonts w:cs="Arial"/>
          <w:sz w:val="24"/>
          <w:szCs w:val="24"/>
        </w:rPr>
        <w:t>R4-2114147</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9.17.3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B7660" w:rsidRPr="008B7660">
        <w:rPr>
          <w:rFonts w:ascii="Arial" w:hAnsi="Arial"/>
          <w:sz w:val="24"/>
          <w:lang w:val="en-US"/>
        </w:rPr>
        <w:t>Discussion on RRM requirements for eIAB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B7660" w:rsidRPr="00841386" w:rsidRDefault="008B7660" w:rsidP="00DF0231">
      <w:pPr>
        <w:rPr>
          <w:kern w:val="2"/>
          <w:lang w:eastAsia="zh-CN"/>
        </w:rPr>
      </w:pPr>
      <w:r>
        <w:rPr>
          <w:rFonts w:eastAsiaTheme="minorEastAsia"/>
          <w:lang w:val="en-US" w:eastAsia="zh-CN"/>
        </w:rPr>
        <w:t>The WI on Rel-17 e</w:t>
      </w:r>
      <w:r w:rsidRPr="00CD108E">
        <w:rPr>
          <w:rFonts w:eastAsiaTheme="minorEastAsia"/>
          <w:lang w:val="en-US" w:eastAsia="zh-CN"/>
        </w:rPr>
        <w:t>nhancements to Integrated Access and Backhaul</w:t>
      </w:r>
      <w:r>
        <w:rPr>
          <w:rFonts w:eastAsiaTheme="minorEastAsia"/>
          <w:lang w:val="en-US" w:eastAsia="zh-CN"/>
        </w:rPr>
        <w:t xml:space="preserve"> was approved in RP 86 [1], and the WID was revised in RP 88e and RP 91e [2][3]. The working scope was discussed in the last RAN4#99e meeting, and the potent</w:t>
      </w:r>
      <w:r w:rsidR="00637A49">
        <w:rPr>
          <w:rFonts w:eastAsiaTheme="minorEastAsia"/>
          <w:lang w:val="en-US" w:eastAsia="zh-CN"/>
        </w:rPr>
        <w:t>ial impacts were identified in the WF [4].</w:t>
      </w:r>
    </w:p>
    <w:p w:rsidR="00DF0231" w:rsidRDefault="00DF0231" w:rsidP="00DF0231">
      <w:pPr>
        <w:pStyle w:val="1"/>
        <w:numPr>
          <w:ilvl w:val="0"/>
          <w:numId w:val="1"/>
        </w:numPr>
        <w:rPr>
          <w:lang w:val="en-US"/>
        </w:rPr>
      </w:pPr>
      <w:r w:rsidRPr="002D2977">
        <w:rPr>
          <w:lang w:val="en-US"/>
        </w:rPr>
        <w:t>Discussion</w:t>
      </w:r>
    </w:p>
    <w:p w:rsidR="00F31FA7" w:rsidRPr="00FC1D39" w:rsidRDefault="00F31FA7" w:rsidP="00F31FA7">
      <w:pPr>
        <w:rPr>
          <w:rFonts w:eastAsiaTheme="minorEastAsia"/>
          <w:lang w:val="en-US" w:eastAsia="zh-CN"/>
        </w:rPr>
      </w:pPr>
      <w:r w:rsidRPr="00FC1D39">
        <w:rPr>
          <w:rFonts w:eastAsiaTheme="minorEastAsia"/>
          <w:lang w:val="en-US" w:eastAsia="zh-CN"/>
        </w:rPr>
        <w:t>The objective of the WI is shown as follows:</w:t>
      </w:r>
    </w:p>
    <w:tbl>
      <w:tblPr>
        <w:tblStyle w:val="a7"/>
        <w:tblW w:w="0" w:type="auto"/>
        <w:tblLook w:val="04A0" w:firstRow="1" w:lastRow="0" w:firstColumn="1" w:lastColumn="0" w:noHBand="0" w:noVBand="1"/>
      </w:tblPr>
      <w:tblGrid>
        <w:gridCol w:w="9562"/>
      </w:tblGrid>
      <w:tr w:rsidR="00F31FA7" w:rsidTr="00514A5F">
        <w:tc>
          <w:tcPr>
            <w:tcW w:w="9562" w:type="dxa"/>
          </w:tcPr>
          <w:p w:rsidR="00F31FA7" w:rsidRDefault="00F31FA7" w:rsidP="00514A5F">
            <w:pPr>
              <w:spacing w:after="120"/>
              <w:rPr>
                <w:rFonts w:eastAsia="宋体"/>
                <w:bCs/>
                <w:lang w:eastAsia="en-GB"/>
              </w:rPr>
            </w:pPr>
            <w:bookmarkStart w:id="3" w:name="_Hlk26854989"/>
            <w:bookmarkStart w:id="4" w:name="_Hlk26854481"/>
            <w:r>
              <w:rPr>
                <w:bCs/>
              </w:rPr>
              <w:t>Duplexing enhancements [RAN1-led, RAN2, RAN3, RAN4]:</w:t>
            </w:r>
          </w:p>
          <w:p w:rsidR="00F31FA7" w:rsidRDefault="00F31FA7" w:rsidP="00F31FA7">
            <w:pPr>
              <w:pStyle w:val="a6"/>
              <w:numPr>
                <w:ilvl w:val="0"/>
                <w:numId w:val="13"/>
              </w:numPr>
              <w:ind w:firstLineChars="0"/>
              <w:contextualSpacing/>
              <w:rPr>
                <w:lang w:val="en-US"/>
              </w:rPr>
            </w:pPr>
            <w:r>
              <w:t>Specification of enhancements to the resource multiplexing between child and parent links of an IAB node, including:</w:t>
            </w:r>
          </w:p>
          <w:p w:rsidR="00F31FA7" w:rsidRDefault="00F31FA7" w:rsidP="00F31FA7">
            <w:pPr>
              <w:pStyle w:val="a6"/>
              <w:numPr>
                <w:ilvl w:val="1"/>
                <w:numId w:val="13"/>
              </w:numPr>
              <w:ind w:firstLineChars="0"/>
              <w:contextualSpacing/>
            </w:pPr>
            <w:bookmarkStart w:id="5" w:name="_Hlk26193173"/>
            <w:r>
              <w:t>Support of simultaneous operation (transmission and/or reception) of IAB-node’s child and parent links (i.e., MT Tx/DU Tx, MT Tx/DU Rx, MT Rx/DU Tx, MT Rx/DU Rx).</w:t>
            </w:r>
          </w:p>
          <w:p w:rsidR="00F31FA7" w:rsidRDefault="00F31FA7" w:rsidP="00F31FA7">
            <w:pPr>
              <w:pStyle w:val="a6"/>
              <w:numPr>
                <w:ilvl w:val="1"/>
                <w:numId w:val="13"/>
              </w:numPr>
              <w:ind w:firstLineChars="0"/>
              <w:contextualSpacing/>
            </w:pPr>
            <w:r>
              <w:t>Support for dual-connectivity scenarios defined by RAN2/RAN3 in the context of topology redundancy for improved robustness and load balancing.</w:t>
            </w:r>
          </w:p>
          <w:bookmarkEnd w:id="5"/>
          <w:p w:rsidR="00F31FA7" w:rsidRDefault="00F31FA7" w:rsidP="00F31FA7">
            <w:pPr>
              <w:pStyle w:val="a6"/>
              <w:numPr>
                <w:ilvl w:val="0"/>
                <w:numId w:val="13"/>
              </w:numPr>
              <w:ind w:firstLineChars="0"/>
              <w:contextualSpacing/>
            </w:pPr>
            <w:r>
              <w:t>Specification of IAB-node timing mode(s), extensions for DL/UL power control, and CLI and interference measurements of BH links, as needed, to support simultaneous operation (transmission and/or reception) by IAB-node’s child and parent links.</w:t>
            </w:r>
          </w:p>
          <w:p w:rsidR="00F31FA7" w:rsidRDefault="00F31FA7" w:rsidP="00514A5F">
            <w:pPr>
              <w:spacing w:after="0"/>
              <w:rPr>
                <w:bCs/>
              </w:rPr>
            </w:pPr>
          </w:p>
          <w:p w:rsidR="00F31FA7" w:rsidRDefault="00F31FA7" w:rsidP="00514A5F">
            <w:pPr>
              <w:spacing w:after="120"/>
              <w:rPr>
                <w:bCs/>
              </w:rPr>
            </w:pPr>
            <w:r>
              <w:rPr>
                <w:bCs/>
              </w:rPr>
              <w:t>Topology adaptation enhancements [RAN3-led, RAN2]:</w:t>
            </w:r>
          </w:p>
          <w:p w:rsidR="00F31FA7" w:rsidRDefault="00F31FA7" w:rsidP="00F31FA7">
            <w:pPr>
              <w:numPr>
                <w:ilvl w:val="0"/>
                <w:numId w:val="14"/>
              </w:numPr>
              <w:autoSpaceDN w:val="0"/>
              <w:spacing w:after="60"/>
            </w:pPr>
            <w:r>
              <w:t xml:space="preserve">Specification of procedures for inter-donor IAB-node migration to enhance robustness and load-balancing, including enhancements to reduce signalling load.   </w:t>
            </w:r>
          </w:p>
          <w:p w:rsidR="00F31FA7" w:rsidRDefault="00F31FA7" w:rsidP="00F31FA7">
            <w:pPr>
              <w:numPr>
                <w:ilvl w:val="0"/>
                <w:numId w:val="14"/>
              </w:numPr>
              <w:autoSpaceDN w:val="0"/>
              <w:spacing w:after="60"/>
            </w:pPr>
            <w:r>
              <w:t>Specification of enhancements to reduce service interruption due to IAB-node migration and BH RLF recovery.</w:t>
            </w:r>
          </w:p>
          <w:p w:rsidR="00F31FA7" w:rsidRDefault="00F31FA7" w:rsidP="00F31FA7">
            <w:pPr>
              <w:numPr>
                <w:ilvl w:val="0"/>
                <w:numId w:val="14"/>
              </w:numPr>
              <w:autoSpaceDN w:val="0"/>
              <w:spacing w:after="60"/>
            </w:pPr>
            <w:r>
              <w:t>Specification of enhancements to topological redundancy, including support of CP/UP separation.</w:t>
            </w:r>
          </w:p>
          <w:p w:rsidR="00F31FA7" w:rsidRDefault="00F31FA7" w:rsidP="00514A5F">
            <w:pPr>
              <w:spacing w:after="0"/>
              <w:rPr>
                <w:bCs/>
              </w:rPr>
            </w:pPr>
          </w:p>
          <w:p w:rsidR="00F31FA7" w:rsidRDefault="00F31FA7" w:rsidP="00514A5F">
            <w:pPr>
              <w:spacing w:after="120"/>
              <w:rPr>
                <w:bCs/>
              </w:rPr>
            </w:pPr>
            <w:r>
              <w:rPr>
                <w:bCs/>
              </w:rPr>
              <w:t>Topology, routing and transport enhancements [RAN2-led, RAN3]:</w:t>
            </w:r>
          </w:p>
          <w:p w:rsidR="00F31FA7" w:rsidRDefault="00F31FA7" w:rsidP="00F31FA7">
            <w:pPr>
              <w:numPr>
                <w:ilvl w:val="0"/>
                <w:numId w:val="14"/>
              </w:numPr>
              <w:autoSpaceDN w:val="0"/>
              <w:spacing w:after="60"/>
            </w:pPr>
            <w:r>
              <w:t xml:space="preserve">Specifications of enhancements to improve topology-wide fairness, multi-hop latency and congestion mitigation </w:t>
            </w:r>
          </w:p>
          <w:bookmarkEnd w:id="3"/>
          <w:p w:rsidR="00F31FA7" w:rsidRDefault="00F31FA7" w:rsidP="00514A5F">
            <w:pPr>
              <w:spacing w:after="0"/>
              <w:rPr>
                <w:bCs/>
              </w:rPr>
            </w:pPr>
          </w:p>
          <w:p w:rsidR="00F31FA7" w:rsidRDefault="00F31FA7" w:rsidP="00514A5F">
            <w:pPr>
              <w:pStyle w:val="a6"/>
              <w:spacing w:before="60" w:after="60"/>
              <w:ind w:firstLine="400"/>
            </w:pPr>
            <w:r>
              <w:t>RF and RRM requirements [RAN4-led]:</w:t>
            </w:r>
          </w:p>
          <w:p w:rsidR="00F31FA7" w:rsidRDefault="00F31FA7" w:rsidP="00F31FA7">
            <w:pPr>
              <w:pStyle w:val="a6"/>
              <w:numPr>
                <w:ilvl w:val="0"/>
                <w:numId w:val="15"/>
              </w:numPr>
              <w:spacing w:before="60" w:after="60"/>
              <w:ind w:firstLineChars="0"/>
              <w:contextualSpacing/>
            </w:pPr>
            <w:r>
              <w:rPr>
                <w:lang w:eastAsia="ja-JP"/>
              </w:rPr>
              <w:t>Definition of IAB node RF requirements if needed for any Rel-17 extensions.</w:t>
            </w:r>
          </w:p>
          <w:p w:rsidR="00F31FA7" w:rsidRDefault="00F31FA7" w:rsidP="00F31FA7">
            <w:pPr>
              <w:pStyle w:val="a6"/>
              <w:numPr>
                <w:ilvl w:val="0"/>
                <w:numId w:val="15"/>
              </w:numPr>
              <w:spacing w:before="60" w:after="60"/>
              <w:ind w:firstLineChars="0"/>
              <w:contextualSpacing/>
            </w:pPr>
            <w:r>
              <w:t xml:space="preserve">Definition of RRM core requirements </w:t>
            </w:r>
            <w:r>
              <w:rPr>
                <w:lang w:eastAsia="ja-JP"/>
              </w:rPr>
              <w:t>if needed for any Rel-17 extensions.</w:t>
            </w:r>
            <w:bookmarkEnd w:id="4"/>
          </w:p>
          <w:p w:rsidR="00F31FA7" w:rsidRPr="00FC1D39" w:rsidRDefault="00F31FA7" w:rsidP="00514A5F">
            <w:pPr>
              <w:rPr>
                <w:b/>
              </w:rPr>
            </w:pPr>
          </w:p>
        </w:tc>
      </w:tr>
    </w:tbl>
    <w:p w:rsidR="00637A49" w:rsidRPr="00F31FA7" w:rsidRDefault="00637A49" w:rsidP="004F344B">
      <w:pPr>
        <w:rPr>
          <w:b/>
          <w:lang w:eastAsia="zh-CN"/>
        </w:rPr>
      </w:pPr>
    </w:p>
    <w:p w:rsidR="00637A49" w:rsidRDefault="00F31FA7" w:rsidP="004F344B">
      <w:pPr>
        <w:rPr>
          <w:rFonts w:eastAsiaTheme="minorEastAsia"/>
          <w:lang w:val="en-US" w:eastAsia="zh-CN"/>
        </w:rPr>
      </w:pPr>
      <w:r w:rsidRPr="00F31FA7">
        <w:rPr>
          <w:rFonts w:eastAsiaTheme="minorEastAsia" w:hint="eastAsia"/>
          <w:lang w:val="en-US" w:eastAsia="zh-CN"/>
        </w:rPr>
        <w:t>T</w:t>
      </w:r>
      <w:r w:rsidRPr="00F31FA7">
        <w:rPr>
          <w:rFonts w:eastAsiaTheme="minorEastAsia"/>
          <w:lang w:val="en-US" w:eastAsia="zh-CN"/>
        </w:rPr>
        <w:t xml:space="preserve">he RRM impact of </w:t>
      </w:r>
      <w:r>
        <w:rPr>
          <w:rFonts w:eastAsiaTheme="minorEastAsia"/>
          <w:lang w:val="en-US" w:eastAsia="zh-CN"/>
        </w:rPr>
        <w:t xml:space="preserve">the Rel-17 eIAB extension were discussed in the last RAN4 meeting. Regarding the enhancements under discussion in RAN1 and RAN2, the RRM work are mainly related to the DC supporting, simultaneous operation and interference management. Regarding the </w:t>
      </w:r>
      <w:r w:rsidR="00232120">
        <w:rPr>
          <w:rFonts w:eastAsiaTheme="minorEastAsia"/>
          <w:lang w:val="en-US" w:eastAsia="zh-CN"/>
        </w:rPr>
        <w:t xml:space="preserve">DC scenarios, intra-band and inter-band DC and corresponding resource multiplexing are under discussion in RAN1. The RRM impacts of supporting the DC operation shall be further </w:t>
      </w:r>
      <w:r w:rsidR="00232120">
        <w:rPr>
          <w:rFonts w:eastAsiaTheme="minorEastAsia"/>
          <w:lang w:val="en-US" w:eastAsia="zh-CN"/>
        </w:rPr>
        <w:lastRenderedPageBreak/>
        <w:t xml:space="preserve">discussed. It was agreed in the last RAN4 meeting that </w:t>
      </w:r>
      <w:r w:rsidR="00514A5F">
        <w:rPr>
          <w:rFonts w:eastAsiaTheme="minorEastAsia"/>
          <w:lang w:val="en-US" w:eastAsia="zh-CN"/>
        </w:rPr>
        <w:t xml:space="preserve">the Rel-16 RRM requirements shall be taken as the baseline with further RF conclusion. In the current TS 38.174, the RRM requirements for Rel-16 IAB-MT includes RRC Re-establishment, Random access, RRC release, Transmit timing, TA adjustment, RLM and Link recovery. Regarding the current RRM requirements, we </w:t>
      </w:r>
      <w:r w:rsidR="00DD09DF">
        <w:rPr>
          <w:rFonts w:eastAsiaTheme="minorEastAsia"/>
          <w:lang w:val="en-US" w:eastAsia="zh-CN"/>
        </w:rPr>
        <w:t>fail to</w:t>
      </w:r>
      <w:r w:rsidR="00514A5F">
        <w:rPr>
          <w:rFonts w:eastAsiaTheme="minorEastAsia"/>
          <w:lang w:val="en-US" w:eastAsia="zh-CN"/>
        </w:rPr>
        <w:t xml:space="preserve"> see the potential updating to support the DC scenario.</w:t>
      </w:r>
    </w:p>
    <w:p w:rsidR="00514A5F" w:rsidRPr="005D15A2" w:rsidRDefault="00514A5F" w:rsidP="004F344B">
      <w:pPr>
        <w:rPr>
          <w:rFonts w:eastAsiaTheme="minorEastAsia"/>
          <w:b/>
          <w:lang w:val="en-US" w:eastAsia="zh-CN"/>
        </w:rPr>
      </w:pPr>
      <w:r w:rsidRPr="005D15A2">
        <w:rPr>
          <w:rFonts w:eastAsiaTheme="minorEastAsia"/>
          <w:b/>
          <w:lang w:val="en-US" w:eastAsia="zh-CN"/>
        </w:rPr>
        <w:t xml:space="preserve">Observation 1: No particular enhancement of RRM requirements is foreseen based on Rel-16 requirements to support DC scenarios. </w:t>
      </w:r>
    </w:p>
    <w:p w:rsidR="006F5874" w:rsidRDefault="00514A5F" w:rsidP="004F344B">
      <w:pPr>
        <w:rPr>
          <w:rFonts w:eastAsiaTheme="minorEastAsia"/>
          <w:lang w:val="en-US" w:eastAsia="zh-CN"/>
        </w:rPr>
      </w:pPr>
      <w:r>
        <w:rPr>
          <w:rFonts w:eastAsiaTheme="minorEastAsia"/>
          <w:lang w:val="en-US" w:eastAsia="zh-CN"/>
        </w:rPr>
        <w:t xml:space="preserve">Regarding the simultaneous operation, it is an important enhancement to improve the system throughput and system flexibility. To support simultaneous Tx and Rx at an IAB node, case#6 and case#7 timing mode are under discussion in RAN1. </w:t>
      </w:r>
      <w:r w:rsidR="006F5874">
        <w:rPr>
          <w:rFonts w:eastAsiaTheme="minorEastAsia"/>
          <w:lang w:val="en-US" w:eastAsia="zh-CN"/>
        </w:rPr>
        <w:t>The latest status in RAN1 are summarized as follows:</w:t>
      </w:r>
    </w:p>
    <w:tbl>
      <w:tblPr>
        <w:tblStyle w:val="a7"/>
        <w:tblW w:w="0" w:type="auto"/>
        <w:tblLook w:val="04A0" w:firstRow="1" w:lastRow="0" w:firstColumn="1" w:lastColumn="0" w:noHBand="0" w:noVBand="1"/>
      </w:tblPr>
      <w:tblGrid>
        <w:gridCol w:w="9562"/>
      </w:tblGrid>
      <w:tr w:rsidR="006F5874" w:rsidTr="006F5874">
        <w:tc>
          <w:tcPr>
            <w:tcW w:w="9562" w:type="dxa"/>
          </w:tcPr>
          <w:p w:rsidR="005D15A2" w:rsidRPr="005D15A2" w:rsidRDefault="005D15A2" w:rsidP="006F5874">
            <w:pPr>
              <w:spacing w:after="0"/>
              <w:rPr>
                <w:rFonts w:ascii="Times" w:eastAsia="Batang" w:hAnsi="Times" w:cs="Times"/>
              </w:rPr>
            </w:pPr>
            <w:r w:rsidRPr="005D15A2">
              <w:rPr>
                <w:rFonts w:ascii="Times" w:eastAsia="Batang" w:hAnsi="Times" w:cs="Times" w:hint="eastAsia"/>
              </w:rPr>
              <w:t>RAN1#105-e</w:t>
            </w:r>
          </w:p>
          <w:p w:rsidR="005D15A2" w:rsidRDefault="005D15A2" w:rsidP="006F5874">
            <w:pPr>
              <w:spacing w:after="0"/>
              <w:rPr>
                <w:rFonts w:ascii="Times" w:eastAsia="Batang" w:hAnsi="Times" w:cs="Times"/>
                <w:highlight w:val="green"/>
              </w:rPr>
            </w:pPr>
          </w:p>
          <w:p w:rsidR="006F5874" w:rsidRPr="00BB6113" w:rsidRDefault="006F5874" w:rsidP="006F5874">
            <w:pPr>
              <w:spacing w:after="0"/>
              <w:rPr>
                <w:rFonts w:ascii="Times" w:eastAsia="Batang" w:hAnsi="Times" w:cs="Times"/>
                <w:highlight w:val="yellow"/>
              </w:rPr>
            </w:pPr>
            <w:r w:rsidRPr="00BB6113">
              <w:rPr>
                <w:rFonts w:ascii="Times" w:eastAsia="Batang" w:hAnsi="Times" w:cs="Times"/>
                <w:highlight w:val="green"/>
              </w:rPr>
              <w:t>Agreement</w:t>
            </w:r>
          </w:p>
          <w:p w:rsidR="006F5874" w:rsidRPr="00BB6113" w:rsidRDefault="006F5874" w:rsidP="006F5874">
            <w:pPr>
              <w:spacing w:after="0"/>
              <w:rPr>
                <w:rFonts w:ascii="Times" w:eastAsia="Batang" w:hAnsi="Times" w:cs="Times"/>
                <w:bCs/>
                <w:color w:val="000000"/>
              </w:rPr>
            </w:pPr>
            <w:r w:rsidRPr="00BB6113">
              <w:rPr>
                <w:rFonts w:ascii="Times" w:eastAsia="Batang" w:hAnsi="Times" w:cs="Times"/>
                <w:bCs/>
                <w:color w:val="000000"/>
              </w:rPr>
              <w:t>RAN1 to downselect how the IAB-MT Tx timing is set for Case 6 timing at a given IAB-node:</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Alt1: the IAB-MT Tx timing is obtained by the node via the legacy TA loop plus an offset from the parent node.</w:t>
            </w:r>
          </w:p>
          <w:p w:rsidR="006F5874" w:rsidRPr="00BB6113" w:rsidRDefault="006F5874" w:rsidP="006F5874">
            <w:pPr>
              <w:numPr>
                <w:ilvl w:val="1"/>
                <w:numId w:val="16"/>
              </w:numPr>
              <w:spacing w:after="0"/>
              <w:contextualSpacing/>
              <w:textAlignment w:val="baseline"/>
              <w:rPr>
                <w:rFonts w:eastAsia="宋体" w:cs="Times"/>
                <w:lang w:eastAsia="ja-JP"/>
              </w:rPr>
            </w:pPr>
            <w:r w:rsidRPr="00BB6113">
              <w:rPr>
                <w:rFonts w:eastAsia="宋体" w:cs="Times"/>
                <w:lang w:eastAsia="ja-JP"/>
              </w:rPr>
              <w:t>FFS details of the required offset.</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Alt2: the IAB-MT Tx timing is set by the node to the timing obtained for the node’s DL Tx.</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Alt3: the IAB-MT Tx timing is obtained by the node jointly with the IAB-DU Tx timing via a common offset from the parent node.</w:t>
            </w:r>
          </w:p>
          <w:p w:rsidR="006F5874" w:rsidRPr="00BB6113" w:rsidRDefault="006F5874" w:rsidP="006F5874">
            <w:pPr>
              <w:spacing w:after="0"/>
              <w:rPr>
                <w:rFonts w:ascii="Times" w:eastAsia="Batang" w:hAnsi="Times" w:cs="Times"/>
                <w:bCs/>
              </w:rPr>
            </w:pPr>
            <w:r w:rsidRPr="00BB6113">
              <w:rPr>
                <w:rFonts w:ascii="Times" w:eastAsia="Batang" w:hAnsi="Times" w:cs="Times"/>
                <w:bCs/>
              </w:rPr>
              <w:t>Downselection to consider at least the following aspects:</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Dependency of DL synchronization schemes at the IAB-DU</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Potential additional signaling overhead.</w:t>
            </w:r>
          </w:p>
          <w:p w:rsidR="006F5874" w:rsidRPr="00BB6113" w:rsidRDefault="006F5874" w:rsidP="006F5874">
            <w:pPr>
              <w:numPr>
                <w:ilvl w:val="0"/>
                <w:numId w:val="16"/>
              </w:numPr>
              <w:spacing w:after="0"/>
              <w:contextualSpacing/>
              <w:textAlignment w:val="baseline"/>
              <w:rPr>
                <w:rFonts w:eastAsia="宋体" w:cs="Times"/>
                <w:lang w:val="fr-FR" w:eastAsia="ja-JP"/>
              </w:rPr>
            </w:pPr>
            <w:r w:rsidRPr="00BB6113">
              <w:rPr>
                <w:rFonts w:eastAsia="宋体" w:cs="Times"/>
                <w:lang w:val="fr-FR" w:eastAsia="ja-JP"/>
              </w:rPr>
              <w:t>Achievable DU Tx / MT Tx alignment error tolerance.</w:t>
            </w:r>
          </w:p>
          <w:p w:rsidR="006F5874" w:rsidRPr="00BB6113" w:rsidRDefault="006F5874" w:rsidP="006F5874">
            <w:pPr>
              <w:numPr>
                <w:ilvl w:val="0"/>
                <w:numId w:val="16"/>
              </w:numPr>
              <w:spacing w:after="0"/>
              <w:contextualSpacing/>
              <w:textAlignment w:val="baseline"/>
              <w:rPr>
                <w:rFonts w:eastAsia="宋体" w:cs="Times"/>
                <w:lang w:eastAsia="ja-JP"/>
              </w:rPr>
            </w:pPr>
            <w:r w:rsidRPr="00BB6113">
              <w:rPr>
                <w:rFonts w:eastAsia="宋体" w:cs="Times"/>
                <w:lang w:eastAsia="ja-JP"/>
              </w:rPr>
              <w:t>Suitability for switching between timing modes.</w:t>
            </w:r>
          </w:p>
          <w:p w:rsidR="006F5874" w:rsidRPr="00BB6113" w:rsidRDefault="006F5874" w:rsidP="006F5874">
            <w:pPr>
              <w:spacing w:after="0"/>
              <w:rPr>
                <w:rFonts w:ascii="Times" w:eastAsia="Batang" w:hAnsi="Times"/>
                <w:szCs w:val="24"/>
              </w:rPr>
            </w:pPr>
          </w:p>
          <w:p w:rsidR="006F5874" w:rsidRPr="00BB6113" w:rsidRDefault="006F5874" w:rsidP="006F5874">
            <w:pPr>
              <w:spacing w:after="0"/>
              <w:rPr>
                <w:rFonts w:ascii="Times" w:eastAsia="Batang" w:hAnsi="Times" w:cs="Times"/>
                <w:highlight w:val="yellow"/>
              </w:rPr>
            </w:pPr>
            <w:r w:rsidRPr="00BB6113">
              <w:rPr>
                <w:rFonts w:ascii="Times" w:eastAsia="Batang" w:hAnsi="Times" w:cs="Times"/>
                <w:highlight w:val="green"/>
              </w:rPr>
              <w:t>Agreement</w:t>
            </w:r>
          </w:p>
          <w:p w:rsidR="006F5874" w:rsidRPr="00BB6113" w:rsidRDefault="006F5874" w:rsidP="006F5874">
            <w:pPr>
              <w:spacing w:after="0"/>
              <w:rPr>
                <w:rFonts w:ascii="Times" w:eastAsia="Batang" w:hAnsi="Times"/>
                <w:bCs/>
                <w:color w:val="000000"/>
                <w:szCs w:val="24"/>
              </w:rPr>
            </w:pPr>
            <w:r w:rsidRPr="00BB6113">
              <w:rPr>
                <w:rFonts w:ascii="Times" w:eastAsia="Batang" w:hAnsi="Times"/>
                <w:bCs/>
                <w:color w:val="000000"/>
                <w:szCs w:val="24"/>
              </w:rPr>
              <w:t>RAN1 to downselect how the IAB-MT Tx timing is set at an IAB-node for Case 7 timing at the parent node:</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Alt1: the IAB-MT Tx timing of the node is obtained via the legacy TA loop plus an offset from the parent node.</w:t>
            </w:r>
          </w:p>
          <w:p w:rsidR="006F5874" w:rsidRPr="00BB6113" w:rsidRDefault="006F5874" w:rsidP="006F5874">
            <w:pPr>
              <w:numPr>
                <w:ilvl w:val="1"/>
                <w:numId w:val="17"/>
              </w:numPr>
              <w:spacing w:after="0"/>
              <w:contextualSpacing/>
              <w:rPr>
                <w:rFonts w:eastAsia="宋体"/>
                <w:bCs/>
                <w:color w:val="000000"/>
                <w:lang w:eastAsia="ja-JP"/>
              </w:rPr>
            </w:pPr>
            <w:r w:rsidRPr="00BB6113">
              <w:rPr>
                <w:rFonts w:eastAsia="宋体"/>
                <w:bCs/>
                <w:color w:val="000000"/>
                <w:lang w:eastAsia="ja-JP"/>
              </w:rPr>
              <w:t>FFS details of the required offset</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Alt2: the IAB-MT Tx timing of the node is obtained via the legacy TA loop from the parent node.</w:t>
            </w:r>
          </w:p>
          <w:p w:rsidR="006F5874" w:rsidRPr="00BB6113" w:rsidRDefault="006F5874" w:rsidP="006F5874">
            <w:pPr>
              <w:numPr>
                <w:ilvl w:val="0"/>
                <w:numId w:val="17"/>
              </w:numPr>
              <w:spacing w:after="0"/>
              <w:contextualSpacing/>
              <w:rPr>
                <w:rFonts w:eastAsia="宋体"/>
                <w:bCs/>
                <w:i/>
                <w:color w:val="000000"/>
                <w:lang w:eastAsia="ja-JP"/>
              </w:rPr>
            </w:pPr>
            <w:r w:rsidRPr="00BB6113">
              <w:rPr>
                <w:rFonts w:eastAsia="宋体"/>
                <w:bCs/>
                <w:i/>
                <w:iCs/>
                <w:lang w:eastAsia="ja-JP"/>
              </w:rPr>
              <w:t>Alt3: the IAB-MT Tx timing of the node is obtained via a Case 7 specific TA loop from the parent node.</w:t>
            </w:r>
          </w:p>
          <w:p w:rsidR="006F5874" w:rsidRPr="00BB6113" w:rsidRDefault="006F5874" w:rsidP="006F5874">
            <w:pPr>
              <w:spacing w:after="0"/>
              <w:rPr>
                <w:rFonts w:ascii="Times" w:eastAsia="Batang" w:hAnsi="Times"/>
                <w:bCs/>
                <w:szCs w:val="24"/>
              </w:rPr>
            </w:pPr>
            <w:r w:rsidRPr="00BB6113">
              <w:rPr>
                <w:rFonts w:ascii="Times" w:eastAsia="Batang" w:hAnsi="Times"/>
                <w:bCs/>
                <w:szCs w:val="24"/>
              </w:rPr>
              <w:t>Downselection to consider at least the following aspects:</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Potential impact to OTA synchronization availability for DU Tx at the IAB-node.</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Potential additional signaling overhead.</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Suitability for switching between timing modes.</w:t>
            </w:r>
          </w:p>
          <w:p w:rsidR="006F5874" w:rsidRPr="00BB6113" w:rsidRDefault="006F5874" w:rsidP="006F5874">
            <w:pPr>
              <w:spacing w:after="0"/>
              <w:rPr>
                <w:rFonts w:ascii="Times" w:eastAsia="Batang" w:hAnsi="Times"/>
                <w:szCs w:val="24"/>
              </w:rPr>
            </w:pPr>
          </w:p>
          <w:p w:rsidR="006F5874" w:rsidRPr="00BB6113" w:rsidRDefault="006F5874" w:rsidP="006F5874">
            <w:pPr>
              <w:spacing w:after="0"/>
              <w:rPr>
                <w:rFonts w:ascii="Times" w:eastAsia="Batang" w:hAnsi="Times" w:cs="Times"/>
                <w:highlight w:val="yellow"/>
              </w:rPr>
            </w:pPr>
            <w:r w:rsidRPr="00BB6113">
              <w:rPr>
                <w:rFonts w:ascii="Times" w:eastAsia="Batang" w:hAnsi="Times" w:cs="Times"/>
                <w:highlight w:val="green"/>
              </w:rPr>
              <w:t>Agreement</w:t>
            </w:r>
          </w:p>
          <w:p w:rsidR="006F5874" w:rsidRPr="00BB6113" w:rsidRDefault="006F5874" w:rsidP="006F5874">
            <w:pPr>
              <w:spacing w:after="0"/>
              <w:rPr>
                <w:rFonts w:ascii="Times" w:eastAsia="Batang" w:hAnsi="Times"/>
                <w:bCs/>
                <w:szCs w:val="24"/>
              </w:rPr>
            </w:pPr>
            <w:r w:rsidRPr="00BB6113">
              <w:rPr>
                <w:rFonts w:ascii="Times" w:eastAsia="Batang" w:hAnsi="Times"/>
                <w:bCs/>
                <w:szCs w:val="24"/>
              </w:rPr>
              <w:t>An IAB-node is indicated when Case 6 timing is performed at the IAB-node.</w:t>
            </w:r>
          </w:p>
          <w:p w:rsidR="006F5874" w:rsidRPr="00BB6113" w:rsidRDefault="006F5874" w:rsidP="006F5874">
            <w:pPr>
              <w:numPr>
                <w:ilvl w:val="0"/>
                <w:numId w:val="17"/>
              </w:numPr>
              <w:spacing w:after="0"/>
              <w:contextualSpacing/>
              <w:rPr>
                <w:rFonts w:eastAsia="宋体"/>
                <w:bCs/>
                <w:color w:val="000000"/>
                <w:lang w:eastAsia="ja-JP"/>
              </w:rPr>
            </w:pPr>
            <w:r w:rsidRPr="00BB6113">
              <w:rPr>
                <w:rFonts w:eastAsia="宋体"/>
                <w:bCs/>
                <w:color w:val="000000"/>
                <w:lang w:eastAsia="ja-JP"/>
              </w:rPr>
              <w:t>FFS details of the indication (e.g. semi-static and/or dynamic, implicit and/or explicit, linkage to multiplexing capability, etc.).</w:t>
            </w:r>
          </w:p>
          <w:p w:rsidR="006F5874" w:rsidRPr="00BB6113" w:rsidRDefault="006F5874" w:rsidP="006F5874">
            <w:pPr>
              <w:spacing w:after="0"/>
              <w:rPr>
                <w:rFonts w:ascii="Times" w:eastAsia="Batang" w:hAnsi="Times"/>
                <w:szCs w:val="24"/>
              </w:rPr>
            </w:pPr>
            <w:r w:rsidRPr="00BB6113">
              <w:rPr>
                <w:rFonts w:ascii="Times" w:eastAsia="Batang" w:hAnsi="Times"/>
                <w:szCs w:val="24"/>
              </w:rPr>
              <w:t>FFS whether an IAB-node is also indicated when Case 7 timing is performed at the IAB-node.</w:t>
            </w:r>
          </w:p>
          <w:p w:rsidR="006F5874" w:rsidRPr="006F5874" w:rsidRDefault="006F5874" w:rsidP="004F344B">
            <w:pPr>
              <w:rPr>
                <w:rFonts w:eastAsiaTheme="minorEastAsia"/>
                <w:lang w:eastAsia="zh-CN"/>
              </w:rPr>
            </w:pPr>
          </w:p>
        </w:tc>
      </w:tr>
    </w:tbl>
    <w:p w:rsidR="00514A5F" w:rsidRDefault="00514A5F" w:rsidP="004F344B">
      <w:pPr>
        <w:rPr>
          <w:rFonts w:eastAsiaTheme="minorEastAsia"/>
          <w:lang w:val="en-US" w:eastAsia="zh-CN"/>
        </w:rPr>
      </w:pPr>
      <w:r>
        <w:rPr>
          <w:rFonts w:eastAsiaTheme="minorEastAsia"/>
          <w:lang w:val="en-US" w:eastAsia="zh-CN"/>
        </w:rPr>
        <w:t xml:space="preserve"> </w:t>
      </w:r>
    </w:p>
    <w:p w:rsidR="006F5874" w:rsidRDefault="006F5874" w:rsidP="004F344B">
      <w:pPr>
        <w:rPr>
          <w:rFonts w:eastAsiaTheme="minorEastAsia"/>
          <w:lang w:val="en-US" w:eastAsia="zh-CN"/>
        </w:rPr>
      </w:pPr>
      <w:r>
        <w:rPr>
          <w:rFonts w:eastAsiaTheme="minorEastAsia"/>
          <w:lang w:val="en-US" w:eastAsia="zh-CN"/>
        </w:rPr>
        <w:t>It could be observed that the solution to supporting case#6 and case#7 timing is still quite diverse. The framework to supporting the case#6 and case#7 mode may have impact on RRM timing requirements. For instance, the legacy TA loop may be impacted to adjust the Tx timing of IAB MT, or there will be specific TA loop to support the simultaneous operation. There were some initial discussion on case#6 timing operation in last RAN4 meeting mainly from the implementation perspective. It is obvious that how to enable the case#6 and case#7 timing will be further discussed and downseleted in the next RAN1 meeting. It is suggested to wait for more concrete RAN1 conclusion before analyzing the RRM impact of the simultaneous operation</w:t>
      </w:r>
      <w:r w:rsidR="00F42BFC">
        <w:rPr>
          <w:rFonts w:eastAsiaTheme="minorEastAsia"/>
          <w:lang w:val="en-US" w:eastAsia="zh-CN"/>
        </w:rPr>
        <w:t xml:space="preserve"> to avoid duplicated discussion across WGs.</w:t>
      </w:r>
    </w:p>
    <w:p w:rsidR="006F5874" w:rsidRPr="00F42BFC" w:rsidRDefault="006F5874" w:rsidP="004F344B">
      <w:pPr>
        <w:rPr>
          <w:rFonts w:eastAsiaTheme="minorEastAsia"/>
          <w:b/>
          <w:lang w:val="en-US" w:eastAsia="zh-CN"/>
        </w:rPr>
      </w:pPr>
      <w:r w:rsidRPr="00F42BFC">
        <w:rPr>
          <w:rFonts w:eastAsiaTheme="minorEastAsia"/>
          <w:b/>
          <w:lang w:val="en-US" w:eastAsia="zh-CN"/>
        </w:rPr>
        <w:t>Observation 2: The solutions to support case#6 and case#7 timing are under discussion in RAN1.</w:t>
      </w:r>
    </w:p>
    <w:p w:rsidR="006F5874" w:rsidRPr="00F42BFC" w:rsidRDefault="006F5874" w:rsidP="004F344B">
      <w:pPr>
        <w:rPr>
          <w:rFonts w:eastAsiaTheme="minorEastAsia"/>
          <w:b/>
          <w:lang w:val="en-US" w:eastAsia="zh-CN"/>
        </w:rPr>
      </w:pPr>
      <w:r w:rsidRPr="00F42BFC">
        <w:rPr>
          <w:rFonts w:eastAsiaTheme="minorEastAsia"/>
          <w:b/>
          <w:lang w:val="en-US" w:eastAsia="zh-CN"/>
        </w:rPr>
        <w:t xml:space="preserve">Proposal 1: </w:t>
      </w:r>
      <w:r w:rsidR="00F42BFC" w:rsidRPr="00F42BFC">
        <w:rPr>
          <w:rFonts w:eastAsiaTheme="minorEastAsia"/>
          <w:b/>
          <w:lang w:val="en-US" w:eastAsia="zh-CN"/>
        </w:rPr>
        <w:t>RAN4 to further investigate the RRM impact of simultaneous operation and interference management with more RAN1 inputs.</w:t>
      </w:r>
    </w:p>
    <w:p w:rsidR="006F5874" w:rsidRDefault="00F42BFC" w:rsidP="004F344B">
      <w:pPr>
        <w:rPr>
          <w:rFonts w:eastAsiaTheme="minorEastAsia"/>
          <w:lang w:val="en-US" w:eastAsia="zh-CN"/>
        </w:rPr>
      </w:pPr>
      <w:r>
        <w:rPr>
          <w:rFonts w:eastAsiaTheme="minorEastAsia" w:hint="eastAsia"/>
          <w:lang w:val="en-US" w:eastAsia="zh-CN"/>
        </w:rPr>
        <w:lastRenderedPageBreak/>
        <w:t xml:space="preserve">Another aspect identified in the last RAN4 meeting is about the interference management, which is also related to the simultaneous operations. </w:t>
      </w:r>
      <w:r>
        <w:rPr>
          <w:rFonts w:eastAsiaTheme="minorEastAsia"/>
          <w:lang w:val="en-US" w:eastAsia="zh-CN"/>
        </w:rPr>
        <w:t>The lasted status are summarized as follows:</w:t>
      </w:r>
    </w:p>
    <w:tbl>
      <w:tblPr>
        <w:tblStyle w:val="a7"/>
        <w:tblW w:w="0" w:type="auto"/>
        <w:tblLook w:val="04A0" w:firstRow="1" w:lastRow="0" w:firstColumn="1" w:lastColumn="0" w:noHBand="0" w:noVBand="1"/>
      </w:tblPr>
      <w:tblGrid>
        <w:gridCol w:w="9562"/>
      </w:tblGrid>
      <w:tr w:rsidR="005D15A2" w:rsidTr="005D15A2">
        <w:trPr>
          <w:trHeight w:val="5019"/>
        </w:trPr>
        <w:tc>
          <w:tcPr>
            <w:tcW w:w="9562" w:type="dxa"/>
          </w:tcPr>
          <w:p w:rsidR="005D15A2" w:rsidRDefault="005D15A2" w:rsidP="005D15A2">
            <w:pPr>
              <w:spacing w:after="0"/>
              <w:rPr>
                <w:rFonts w:ascii="Times" w:eastAsia="Batang" w:hAnsi="Times" w:cs="Times"/>
              </w:rPr>
            </w:pPr>
            <w:r w:rsidRPr="005D15A2">
              <w:rPr>
                <w:rFonts w:ascii="Times" w:eastAsia="Batang" w:hAnsi="Times" w:cs="Times" w:hint="eastAsia"/>
              </w:rPr>
              <w:t>RAN1#105-e</w:t>
            </w:r>
          </w:p>
          <w:p w:rsidR="005D15A2" w:rsidRPr="005D15A2" w:rsidRDefault="005D15A2" w:rsidP="005D15A2">
            <w:pPr>
              <w:spacing w:after="0"/>
              <w:rPr>
                <w:rFonts w:ascii="Times" w:eastAsiaTheme="minorEastAsia" w:hAnsi="Times" w:cs="Times"/>
                <w:lang w:eastAsia="zh-CN"/>
              </w:rPr>
            </w:pPr>
          </w:p>
          <w:p w:rsidR="005D15A2" w:rsidRPr="00BB6113" w:rsidRDefault="005D15A2" w:rsidP="005D15A2">
            <w:pPr>
              <w:spacing w:after="0"/>
              <w:rPr>
                <w:rFonts w:ascii="Times" w:eastAsia="Batang" w:hAnsi="Times" w:cs="Times"/>
                <w:highlight w:val="green"/>
              </w:rPr>
            </w:pPr>
            <w:r w:rsidRPr="00BB6113">
              <w:rPr>
                <w:rFonts w:ascii="Times" w:eastAsia="Batang" w:hAnsi="Times" w:cs="Times"/>
                <w:highlight w:val="green"/>
              </w:rPr>
              <w:t>Agreement</w:t>
            </w:r>
          </w:p>
          <w:p w:rsidR="005D15A2" w:rsidRPr="00BB6113" w:rsidRDefault="005D15A2" w:rsidP="005D15A2">
            <w:pPr>
              <w:spacing w:after="0"/>
              <w:rPr>
                <w:rFonts w:ascii="Times" w:eastAsia="Batang" w:hAnsi="Times" w:cs="Times"/>
              </w:rPr>
            </w:pPr>
            <w:r w:rsidRPr="00BB6113">
              <w:rPr>
                <w:rFonts w:ascii="Times" w:eastAsia="Batang" w:hAnsi="Times" w:cs="Times"/>
              </w:rPr>
              <w:t xml:space="preserve">In case of simultaneous MT/DU operation, </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 xml:space="preserve">the parent node can dynamically indicate to the child node at least a set </w:t>
            </w:r>
            <w:r w:rsidRPr="00FC0544">
              <w:rPr>
                <w:rFonts w:eastAsia="宋体" w:cs="Times"/>
                <w:lang w:eastAsia="ja-JP"/>
              </w:rPr>
              <w:t>of restricted beams</w:t>
            </w:r>
            <w:r w:rsidRPr="00BB6113">
              <w:rPr>
                <w:rFonts w:eastAsia="宋体" w:cs="Times"/>
                <w:lang w:eastAsia="ja-JP"/>
              </w:rPr>
              <w:t xml:space="preserve"> at the IAB-DU of the child node</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the child node can dynamically report to the parent node a set of recommended beams, not preferred beams, or both recommended and not preferred beams of the IAB-MT of the child node</w:t>
            </w:r>
          </w:p>
          <w:p w:rsidR="005D15A2" w:rsidRPr="00BB6113" w:rsidRDefault="005D15A2" w:rsidP="005D15A2">
            <w:pPr>
              <w:numPr>
                <w:ilvl w:val="1"/>
                <w:numId w:val="18"/>
              </w:numPr>
              <w:spacing w:after="0"/>
              <w:contextualSpacing/>
              <w:jc w:val="both"/>
              <w:rPr>
                <w:rFonts w:eastAsia="宋体" w:cs="Times"/>
                <w:lang w:eastAsia="ja-JP"/>
              </w:rPr>
            </w:pPr>
            <w:r w:rsidRPr="00BB6113">
              <w:rPr>
                <w:rFonts w:eastAsia="宋体" w:cs="Times"/>
                <w:lang w:eastAsia="ja-JP"/>
              </w:rPr>
              <w:t>FFS: Whether the specification supports all reporting combinations.</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FFS: Applicability to specific multiplexing cases or specific time-frequency resources</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 xml:space="preserve">FFS: Additional semi-static signalling </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FFS: Per-panel granularity in addition to per-beam granularity</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FFS: Relationship between child IAB-MT beam indication and parent IAB-DU beam indication</w:t>
            </w:r>
          </w:p>
          <w:p w:rsidR="005D15A2" w:rsidRPr="00BB6113" w:rsidRDefault="005D15A2" w:rsidP="005D15A2">
            <w:pPr>
              <w:numPr>
                <w:ilvl w:val="0"/>
                <w:numId w:val="18"/>
              </w:numPr>
              <w:spacing w:after="0"/>
              <w:contextualSpacing/>
              <w:jc w:val="both"/>
              <w:rPr>
                <w:rFonts w:eastAsia="宋体" w:cs="Times"/>
                <w:lang w:eastAsia="ja-JP"/>
              </w:rPr>
            </w:pPr>
            <w:r w:rsidRPr="00BB6113">
              <w:rPr>
                <w:rFonts w:eastAsia="宋体" w:cs="Times"/>
                <w:lang w:eastAsia="ja-JP"/>
              </w:rPr>
              <w:t>Note: This does not preclude any enhancements for either DU or MT-based CLI measurement and reports</w:t>
            </w:r>
          </w:p>
          <w:p w:rsidR="005D15A2" w:rsidRPr="005D15A2" w:rsidRDefault="005D15A2" w:rsidP="005D15A2">
            <w:pPr>
              <w:spacing w:after="0"/>
              <w:rPr>
                <w:rFonts w:ascii="Times" w:eastAsia="Batang" w:hAnsi="Times" w:cs="Times"/>
                <w:highlight w:val="green"/>
              </w:rPr>
            </w:pPr>
          </w:p>
          <w:p w:rsidR="005D15A2" w:rsidRPr="00BB6113" w:rsidRDefault="005D15A2" w:rsidP="005D15A2">
            <w:pPr>
              <w:spacing w:after="0"/>
              <w:rPr>
                <w:rFonts w:ascii="Times" w:eastAsia="Batang" w:hAnsi="Times" w:cs="Times"/>
                <w:highlight w:val="green"/>
              </w:rPr>
            </w:pPr>
            <w:r w:rsidRPr="00BB6113">
              <w:rPr>
                <w:rFonts w:ascii="Times" w:eastAsia="Batang" w:hAnsi="Times" w:cs="Times"/>
                <w:highlight w:val="green"/>
              </w:rPr>
              <w:t>Agreement</w:t>
            </w:r>
          </w:p>
          <w:p w:rsidR="005D15A2" w:rsidRPr="00BB6113" w:rsidRDefault="005D15A2" w:rsidP="005D15A2">
            <w:pPr>
              <w:spacing w:after="0"/>
              <w:rPr>
                <w:rFonts w:ascii="Times" w:eastAsia="Batang" w:hAnsi="Times" w:cs="Times"/>
                <w:bCs/>
              </w:rPr>
            </w:pPr>
            <w:r w:rsidRPr="00BB6113">
              <w:rPr>
                <w:rFonts w:ascii="Times" w:eastAsia="Batang" w:hAnsi="Times" w:cs="Times"/>
                <w:bCs/>
              </w:rPr>
              <w:t>Rel-16 CLI coordination signalling (Intended TDD DL-UL Configuration) is extended to support IAB specific UFD patterns.</w:t>
            </w:r>
          </w:p>
          <w:p w:rsidR="005D15A2" w:rsidRPr="00BB6113" w:rsidRDefault="005D15A2" w:rsidP="005D15A2">
            <w:pPr>
              <w:numPr>
                <w:ilvl w:val="0"/>
                <w:numId w:val="16"/>
              </w:numPr>
              <w:spacing w:after="0"/>
              <w:rPr>
                <w:rFonts w:ascii="Times" w:eastAsia="Batang" w:hAnsi="Times" w:cs="Times"/>
                <w:bCs/>
              </w:rPr>
            </w:pPr>
            <w:r w:rsidRPr="00BB6113">
              <w:rPr>
                <w:rFonts w:ascii="Times" w:eastAsia="Batang" w:hAnsi="Times" w:cs="Times"/>
                <w:bCs/>
              </w:rPr>
              <w:t>FFS: Support the exchange of IAB-DU H/S/NA resource configuration information among neighbouring IAB-nodes/IAB-donors for CLI management purposes.</w:t>
            </w:r>
          </w:p>
          <w:p w:rsidR="005D15A2" w:rsidRPr="00BB6113" w:rsidRDefault="005D15A2" w:rsidP="005D15A2">
            <w:pPr>
              <w:spacing w:after="0"/>
              <w:rPr>
                <w:rFonts w:ascii="Times" w:eastAsia="Batang" w:hAnsi="Times" w:cs="Times"/>
                <w:szCs w:val="24"/>
                <w:lang w:eastAsia="x-none"/>
              </w:rPr>
            </w:pPr>
          </w:p>
          <w:p w:rsidR="005D15A2" w:rsidRPr="00BB6113" w:rsidRDefault="005D15A2" w:rsidP="005D15A2">
            <w:pPr>
              <w:spacing w:after="0"/>
              <w:rPr>
                <w:rFonts w:ascii="Times" w:eastAsia="Batang" w:hAnsi="Times" w:cs="Times"/>
                <w:szCs w:val="24"/>
                <w:highlight w:val="green"/>
                <w:lang w:eastAsia="x-none"/>
              </w:rPr>
            </w:pPr>
            <w:r w:rsidRPr="00BB6113">
              <w:rPr>
                <w:rFonts w:ascii="Times" w:eastAsia="Batang" w:hAnsi="Times" w:cs="Times"/>
                <w:szCs w:val="24"/>
                <w:highlight w:val="green"/>
                <w:lang w:eastAsia="x-none"/>
              </w:rPr>
              <w:t>Agreement</w:t>
            </w:r>
          </w:p>
          <w:p w:rsidR="005D15A2" w:rsidRPr="00BB6113" w:rsidRDefault="005D15A2" w:rsidP="005D15A2">
            <w:pPr>
              <w:spacing w:after="0"/>
              <w:rPr>
                <w:rFonts w:ascii="Times" w:eastAsia="Calibri" w:hAnsi="Times" w:cs="Times"/>
                <w:szCs w:val="24"/>
              </w:rPr>
            </w:pPr>
            <w:r w:rsidRPr="00BB6113">
              <w:rPr>
                <w:rFonts w:ascii="Times" w:eastAsia="Calibri" w:hAnsi="Times" w:cs="Times"/>
                <w:szCs w:val="24"/>
              </w:rPr>
              <w:t>Decide in RAN1#106-e whether to support an IAB-node indicating assistance information to help with its MT’s UL TX power control. The assistance information can be:</w:t>
            </w:r>
          </w:p>
          <w:p w:rsidR="005D15A2" w:rsidRPr="00BB6113" w:rsidRDefault="005D15A2" w:rsidP="005D15A2">
            <w:pPr>
              <w:numPr>
                <w:ilvl w:val="0"/>
                <w:numId w:val="16"/>
              </w:numPr>
              <w:spacing w:after="0"/>
              <w:contextualSpacing/>
              <w:textAlignment w:val="baseline"/>
              <w:rPr>
                <w:rFonts w:eastAsia="MS PGothic" w:cs="Times"/>
                <w:lang w:eastAsia="ja-JP"/>
              </w:rPr>
            </w:pPr>
            <w:r w:rsidRPr="00BB6113">
              <w:rPr>
                <w:rFonts w:eastAsia="宋体" w:cs="Times"/>
                <w:lang w:eastAsia="ja-JP"/>
              </w:rPr>
              <w:t>FFS: Desired TX power</w:t>
            </w:r>
          </w:p>
          <w:p w:rsidR="005D15A2" w:rsidRPr="00BB6113" w:rsidRDefault="005D15A2" w:rsidP="005D15A2">
            <w:pPr>
              <w:numPr>
                <w:ilvl w:val="0"/>
                <w:numId w:val="16"/>
              </w:numPr>
              <w:spacing w:after="0"/>
              <w:contextualSpacing/>
              <w:textAlignment w:val="baseline"/>
              <w:rPr>
                <w:rFonts w:eastAsia="MS PGothic" w:cs="Times"/>
                <w:lang w:eastAsia="ja-JP"/>
              </w:rPr>
            </w:pPr>
            <w:r w:rsidRPr="00BB6113">
              <w:rPr>
                <w:rFonts w:eastAsia="宋体" w:cs="Times"/>
                <w:lang w:eastAsia="ja-JP"/>
              </w:rPr>
              <w:t>FFS: Offset to a baseline PHR</w:t>
            </w:r>
          </w:p>
          <w:p w:rsidR="005D15A2" w:rsidRPr="00BB6113" w:rsidRDefault="005D15A2" w:rsidP="005D15A2">
            <w:pPr>
              <w:numPr>
                <w:ilvl w:val="0"/>
                <w:numId w:val="16"/>
              </w:numPr>
              <w:spacing w:after="0"/>
              <w:contextualSpacing/>
              <w:textAlignment w:val="baseline"/>
              <w:rPr>
                <w:rFonts w:eastAsia="MS PGothic" w:cs="Times"/>
                <w:lang w:eastAsia="ja-JP"/>
              </w:rPr>
            </w:pPr>
            <w:r w:rsidRPr="00BB6113">
              <w:rPr>
                <w:rFonts w:eastAsia="宋体" w:cs="Times"/>
                <w:lang w:eastAsia="ja-JP"/>
              </w:rPr>
              <w:t>FFS: Desired dynamic range</w:t>
            </w:r>
          </w:p>
          <w:p w:rsidR="005D15A2" w:rsidRPr="00BB6113" w:rsidRDefault="005D15A2" w:rsidP="005D15A2">
            <w:pPr>
              <w:spacing w:after="0"/>
              <w:rPr>
                <w:rFonts w:ascii="Times" w:eastAsia="Batang" w:hAnsi="Times" w:cs="Times"/>
                <w:szCs w:val="24"/>
              </w:rPr>
            </w:pPr>
            <w:r w:rsidRPr="00BB6113">
              <w:rPr>
                <w:rFonts w:ascii="Times" w:eastAsia="Batang" w:hAnsi="Times" w:cs="Times"/>
                <w:szCs w:val="24"/>
              </w:rPr>
              <w:t>FFS: whether this information is provided to the parent-node, the CU, or both.</w:t>
            </w:r>
          </w:p>
          <w:p w:rsidR="005D15A2" w:rsidRPr="00BB6113" w:rsidRDefault="005D15A2" w:rsidP="005D15A2">
            <w:pPr>
              <w:spacing w:after="0"/>
              <w:rPr>
                <w:rFonts w:ascii="Times" w:eastAsia="MS PGothic" w:hAnsi="Times" w:cs="Times"/>
                <w:szCs w:val="24"/>
                <w:lang w:eastAsia="ja-JP"/>
              </w:rPr>
            </w:pPr>
            <w:r w:rsidRPr="00BB6113">
              <w:rPr>
                <w:rFonts w:ascii="Times" w:eastAsia="Batang" w:hAnsi="Times" w:cs="Times"/>
                <w:szCs w:val="24"/>
              </w:rPr>
              <w:t xml:space="preserve">FFS: whether the MT’s UL TX power control formula needs to be changed </w:t>
            </w:r>
          </w:p>
          <w:p w:rsidR="005D15A2" w:rsidRPr="00BB6113" w:rsidRDefault="005D15A2" w:rsidP="005D15A2">
            <w:pPr>
              <w:spacing w:after="0"/>
              <w:rPr>
                <w:rFonts w:ascii="Times" w:eastAsia="Batang" w:hAnsi="Times" w:cs="Times"/>
                <w:szCs w:val="24"/>
                <w:lang w:eastAsia="x-none"/>
              </w:rPr>
            </w:pPr>
          </w:p>
          <w:p w:rsidR="005D15A2" w:rsidRPr="00BB6113" w:rsidRDefault="005D15A2" w:rsidP="005D15A2">
            <w:pPr>
              <w:spacing w:after="0"/>
              <w:rPr>
                <w:rFonts w:ascii="Times" w:eastAsia="Batang" w:hAnsi="Times" w:cs="Times"/>
                <w:highlight w:val="yellow"/>
              </w:rPr>
            </w:pPr>
            <w:r w:rsidRPr="00BB6113">
              <w:rPr>
                <w:rFonts w:ascii="Times" w:eastAsia="Batang" w:hAnsi="Times" w:cs="Times"/>
                <w:highlight w:val="green"/>
              </w:rPr>
              <w:t>Agreement</w:t>
            </w:r>
          </w:p>
          <w:p w:rsidR="005D15A2" w:rsidRPr="00BB6113" w:rsidRDefault="005D15A2" w:rsidP="005D15A2">
            <w:pPr>
              <w:spacing w:after="0"/>
              <w:rPr>
                <w:rFonts w:ascii="Times" w:eastAsia="Calibri" w:hAnsi="Times" w:cs="Times"/>
              </w:rPr>
            </w:pPr>
            <w:r w:rsidRPr="00BB6113">
              <w:rPr>
                <w:rFonts w:ascii="Times" w:eastAsia="Calibri" w:hAnsi="Times" w:cs="Times"/>
              </w:rPr>
              <w:t>The information to assist DL power allocation of the parent-node is indicated by the IAB-MT to the parent node DU in terms of desired power adjustment.</w:t>
            </w:r>
          </w:p>
          <w:p w:rsidR="005D15A2" w:rsidRPr="00BB6113" w:rsidRDefault="005D15A2" w:rsidP="005D15A2">
            <w:pPr>
              <w:numPr>
                <w:ilvl w:val="0"/>
                <w:numId w:val="16"/>
              </w:numPr>
              <w:spacing w:after="0"/>
              <w:contextualSpacing/>
              <w:textAlignment w:val="baseline"/>
              <w:rPr>
                <w:rFonts w:eastAsia="宋体" w:cs="Times"/>
                <w:lang w:eastAsia="ja-JP"/>
              </w:rPr>
            </w:pPr>
            <w:r w:rsidRPr="00BB6113">
              <w:rPr>
                <w:rFonts w:eastAsia="宋体" w:cs="Times"/>
                <w:lang w:eastAsia="ja-JP"/>
              </w:rPr>
              <w:t>FFS applicability of assistance information, e.g. per multiplexing scenario, per resource, etc.</w:t>
            </w:r>
          </w:p>
          <w:p w:rsidR="005D15A2" w:rsidRPr="005D15A2" w:rsidRDefault="005D15A2" w:rsidP="004F344B">
            <w:pPr>
              <w:rPr>
                <w:rFonts w:eastAsiaTheme="minorEastAsia"/>
                <w:lang w:eastAsia="zh-CN"/>
              </w:rPr>
            </w:pPr>
          </w:p>
        </w:tc>
      </w:tr>
    </w:tbl>
    <w:p w:rsidR="005D15A2" w:rsidRDefault="005D15A2" w:rsidP="004F344B">
      <w:pPr>
        <w:rPr>
          <w:rFonts w:eastAsiaTheme="minorEastAsia"/>
          <w:lang w:val="en-US" w:eastAsia="zh-CN"/>
        </w:rPr>
      </w:pPr>
    </w:p>
    <w:p w:rsidR="005D15A2" w:rsidRDefault="00FC0544" w:rsidP="004F344B">
      <w:pPr>
        <w:rPr>
          <w:rFonts w:eastAsiaTheme="minorEastAsia"/>
          <w:lang w:val="en-US" w:eastAsia="zh-CN"/>
        </w:rPr>
      </w:pPr>
      <w:r>
        <w:rPr>
          <w:rFonts w:eastAsiaTheme="minorEastAsia" w:hint="eastAsia"/>
          <w:lang w:val="en-US" w:eastAsia="zh-CN"/>
        </w:rPr>
        <w:t>Based</w:t>
      </w:r>
      <w:r>
        <w:rPr>
          <w:rFonts w:eastAsiaTheme="minorEastAsia"/>
          <w:lang w:val="en-US" w:eastAsia="zh-CN"/>
        </w:rPr>
        <w:t xml:space="preserve"> on RAN1 progress, the promising solution for CLI mitigation is through assistance information for cooperation among IAB nodes including resource multiplexing information and power control information. </w:t>
      </w:r>
      <w:r w:rsidR="00B33CDD">
        <w:rPr>
          <w:rFonts w:eastAsiaTheme="minorEastAsia"/>
          <w:lang w:val="en-US" w:eastAsia="zh-CN"/>
        </w:rPr>
        <w:t>N</w:t>
      </w:r>
      <w:r>
        <w:rPr>
          <w:rFonts w:eastAsiaTheme="minorEastAsia"/>
          <w:lang w:val="en-US" w:eastAsia="zh-CN"/>
        </w:rPr>
        <w:t>o RRM impact is foreseen regarding current RAN1 progress. However, it is suggest to wait for more RAN1 input about the CLI framework. Similar as the timing impact for simultaneous operation, it is suggested to wait for more RAN1 inputs for the interference management.</w:t>
      </w:r>
    </w:p>
    <w:p w:rsidR="00FC0544" w:rsidRPr="00FC0544" w:rsidRDefault="00FC0544" w:rsidP="004F344B">
      <w:pPr>
        <w:rPr>
          <w:rFonts w:eastAsiaTheme="minorEastAsia"/>
          <w:b/>
          <w:lang w:val="en-US" w:eastAsia="zh-CN"/>
        </w:rPr>
      </w:pPr>
      <w:r w:rsidRPr="00FC0544">
        <w:rPr>
          <w:rFonts w:eastAsiaTheme="minorEastAsia"/>
          <w:b/>
          <w:lang w:val="en-US" w:eastAsia="zh-CN"/>
        </w:rPr>
        <w:t xml:space="preserve">Observation 3: The solution for interference management is under discussion in RAN1. </w:t>
      </w:r>
    </w:p>
    <w:p w:rsidR="00F42BFC" w:rsidRDefault="008F37CA" w:rsidP="004F344B">
      <w:pPr>
        <w:rPr>
          <w:rFonts w:eastAsiaTheme="minorEastAsia"/>
          <w:lang w:val="en-US" w:eastAsia="zh-CN"/>
        </w:rPr>
      </w:pPr>
      <w:r>
        <w:rPr>
          <w:rFonts w:eastAsiaTheme="minorEastAsia"/>
          <w:lang w:val="en-US" w:eastAsia="zh-CN"/>
        </w:rPr>
        <w:t>It was also mentioned about the mobility enhancement in the last meeting. According to common assumption in RAN1 and RAN2, the mobility of the IAB node is also not considered in Rel-17 WI. Thus, RAN4 should also follow the same assumption, and the enhancement for mobility is not expect</w:t>
      </w:r>
      <w:r w:rsidR="006E28F1">
        <w:rPr>
          <w:rFonts w:eastAsiaTheme="minorEastAsia"/>
          <w:lang w:val="en-US" w:eastAsia="zh-CN"/>
        </w:rPr>
        <w:t xml:space="preserve">ed based on Rel-16 requirements, e.g. HO and L3 neighbor cell measurement. </w:t>
      </w:r>
      <w:r>
        <w:rPr>
          <w:rFonts w:eastAsiaTheme="minorEastAsia"/>
          <w:lang w:val="en-US" w:eastAsia="zh-CN"/>
        </w:rPr>
        <w:t xml:space="preserve"> </w:t>
      </w:r>
    </w:p>
    <w:p w:rsidR="008F37CA" w:rsidRPr="008F37CA" w:rsidRDefault="008F37CA" w:rsidP="004F344B">
      <w:pPr>
        <w:rPr>
          <w:rFonts w:eastAsiaTheme="minorEastAsia"/>
          <w:b/>
          <w:lang w:val="en-US" w:eastAsia="zh-CN"/>
        </w:rPr>
      </w:pPr>
      <w:r w:rsidRPr="008F37CA">
        <w:rPr>
          <w:rFonts w:eastAsiaTheme="minorEastAsia"/>
          <w:b/>
          <w:lang w:val="en-US" w:eastAsia="zh-CN"/>
        </w:rPr>
        <w:t xml:space="preserve">Proposal 2: No enhancement for mobility is expected </w:t>
      </w:r>
      <w:r w:rsidR="006E28F1">
        <w:rPr>
          <w:rFonts w:eastAsiaTheme="minorEastAsia"/>
          <w:b/>
          <w:lang w:val="en-US" w:eastAsia="zh-CN"/>
        </w:rPr>
        <w:t xml:space="preserve">(e.g. HO, L3 neighbour cell measurement) </w:t>
      </w:r>
      <w:r w:rsidRPr="008F37CA">
        <w:rPr>
          <w:rFonts w:eastAsiaTheme="minorEastAsia"/>
          <w:b/>
          <w:lang w:val="en-US" w:eastAsia="zh-CN"/>
        </w:rPr>
        <w:t>for RRM requirements in Rel-17</w:t>
      </w:r>
      <w:r w:rsidR="006E28F1">
        <w:rPr>
          <w:rFonts w:eastAsiaTheme="minorEastAsia"/>
          <w:b/>
          <w:lang w:val="en-US" w:eastAsia="zh-CN"/>
        </w:rPr>
        <w:t>.</w:t>
      </w:r>
    </w:p>
    <w:p w:rsidR="00DF0231" w:rsidRDefault="00DF0231" w:rsidP="00DF0231">
      <w:pPr>
        <w:pStyle w:val="1"/>
        <w:numPr>
          <w:ilvl w:val="0"/>
          <w:numId w:val="1"/>
        </w:numPr>
        <w:rPr>
          <w:lang w:val="en-US"/>
        </w:rPr>
      </w:pPr>
      <w:r w:rsidRPr="002D2977">
        <w:rPr>
          <w:lang w:val="en-US"/>
        </w:rPr>
        <w:t>Conclusions</w:t>
      </w:r>
    </w:p>
    <w:p w:rsidR="00637A49" w:rsidRDefault="00637A49" w:rsidP="00BE194F">
      <w:pPr>
        <w:rPr>
          <w:b/>
          <w:lang w:eastAsia="zh-CN"/>
        </w:rPr>
      </w:pPr>
    </w:p>
    <w:p w:rsidR="008F37CA" w:rsidRPr="005D15A2" w:rsidRDefault="008F37CA" w:rsidP="008F37CA">
      <w:pPr>
        <w:rPr>
          <w:rFonts w:eastAsiaTheme="minorEastAsia"/>
          <w:b/>
          <w:lang w:val="en-US" w:eastAsia="zh-CN"/>
        </w:rPr>
      </w:pPr>
      <w:r w:rsidRPr="005D15A2">
        <w:rPr>
          <w:rFonts w:eastAsiaTheme="minorEastAsia"/>
          <w:b/>
          <w:lang w:val="en-US" w:eastAsia="zh-CN"/>
        </w:rPr>
        <w:lastRenderedPageBreak/>
        <w:t xml:space="preserve">Observation 1: No particular enhancement of RRM requirements is foreseen based on Rel-16 requirements to support DC scenarios. </w:t>
      </w:r>
    </w:p>
    <w:p w:rsidR="008F37CA" w:rsidRPr="00F42BFC" w:rsidRDefault="008F37CA" w:rsidP="008F37CA">
      <w:pPr>
        <w:rPr>
          <w:rFonts w:eastAsiaTheme="minorEastAsia"/>
          <w:b/>
          <w:lang w:val="en-US" w:eastAsia="zh-CN"/>
        </w:rPr>
      </w:pPr>
      <w:r w:rsidRPr="00F42BFC">
        <w:rPr>
          <w:rFonts w:eastAsiaTheme="minorEastAsia"/>
          <w:b/>
          <w:lang w:val="en-US" w:eastAsia="zh-CN"/>
        </w:rPr>
        <w:t>Observation 2: The solutions to support case#6 and case#7 timing are under discussion in RAN1.</w:t>
      </w:r>
    </w:p>
    <w:p w:rsidR="008F37CA" w:rsidRPr="00F42BFC" w:rsidRDefault="008F37CA" w:rsidP="008F37CA">
      <w:pPr>
        <w:rPr>
          <w:rFonts w:eastAsiaTheme="minorEastAsia"/>
          <w:b/>
          <w:lang w:val="en-US" w:eastAsia="zh-CN"/>
        </w:rPr>
      </w:pPr>
      <w:r w:rsidRPr="00F42BFC">
        <w:rPr>
          <w:rFonts w:eastAsiaTheme="minorEastAsia"/>
          <w:b/>
          <w:lang w:val="en-US" w:eastAsia="zh-CN"/>
        </w:rPr>
        <w:t>Proposal 1: RAN4 to further investigate the RRM impact of simultaneous operation and interference management with more RAN1 inputs.</w:t>
      </w:r>
    </w:p>
    <w:p w:rsidR="008F37CA" w:rsidRPr="00FC0544" w:rsidRDefault="008F37CA" w:rsidP="008F37CA">
      <w:pPr>
        <w:rPr>
          <w:rFonts w:eastAsiaTheme="minorEastAsia"/>
          <w:b/>
          <w:lang w:val="en-US" w:eastAsia="zh-CN"/>
        </w:rPr>
      </w:pPr>
      <w:r w:rsidRPr="00FC0544">
        <w:rPr>
          <w:rFonts w:eastAsiaTheme="minorEastAsia"/>
          <w:b/>
          <w:lang w:val="en-US" w:eastAsia="zh-CN"/>
        </w:rPr>
        <w:t xml:space="preserve">Observation 3: The solution for interference management is under discussion in RAN1. </w:t>
      </w:r>
    </w:p>
    <w:p w:rsidR="0037468E" w:rsidRPr="008F37CA" w:rsidRDefault="0037468E" w:rsidP="0037468E">
      <w:pPr>
        <w:rPr>
          <w:rFonts w:eastAsiaTheme="minorEastAsia"/>
          <w:b/>
          <w:lang w:val="en-US" w:eastAsia="zh-CN"/>
        </w:rPr>
      </w:pPr>
      <w:r w:rsidRPr="008F37CA">
        <w:rPr>
          <w:rFonts w:eastAsiaTheme="minorEastAsia"/>
          <w:b/>
          <w:lang w:val="en-US" w:eastAsia="zh-CN"/>
        </w:rPr>
        <w:t xml:space="preserve">Proposal 2: No enhancement for mobility is expected </w:t>
      </w:r>
      <w:r>
        <w:rPr>
          <w:rFonts w:eastAsiaTheme="minorEastAsia"/>
          <w:b/>
          <w:lang w:val="en-US" w:eastAsia="zh-CN"/>
        </w:rPr>
        <w:t xml:space="preserve">(e.g. HO, L3 neighbour cell measurement) </w:t>
      </w:r>
      <w:r w:rsidRPr="008F37CA">
        <w:rPr>
          <w:rFonts w:eastAsiaTheme="minorEastAsia"/>
          <w:b/>
          <w:lang w:val="en-US" w:eastAsia="zh-CN"/>
        </w:rPr>
        <w:t>for RRM requirements in Rel-17</w:t>
      </w:r>
      <w:r>
        <w:rPr>
          <w:rFonts w:eastAsiaTheme="minorEastAsia"/>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Pr="00CD108E">
        <w:rPr>
          <w:lang w:val="en-US"/>
        </w:rPr>
        <w:t>RP-193251</w:t>
      </w:r>
      <w:r>
        <w:rPr>
          <w:lang w:val="en-US"/>
        </w:rPr>
        <w:t xml:space="preserve"> </w:t>
      </w:r>
      <w:r w:rsidRPr="00CD108E">
        <w:rPr>
          <w:lang w:val="en-US"/>
        </w:rPr>
        <w:t>New WID on Enhancements to Integrated Access and</w:t>
      </w:r>
      <w:r>
        <w:rPr>
          <w:lang w:val="en-US"/>
        </w:rPr>
        <w:t xml:space="preserve"> </w:t>
      </w:r>
      <w:r w:rsidRPr="00CD108E">
        <w:rPr>
          <w:lang w:val="en-US"/>
        </w:rPr>
        <w:t>Backhaul</w:t>
      </w:r>
      <w:r>
        <w:rPr>
          <w:lang w:val="en-US"/>
        </w:rPr>
        <w:t xml:space="preserve">, </w:t>
      </w:r>
      <w:r w:rsidRPr="00CD108E">
        <w:rPr>
          <w:lang w:val="en-US"/>
        </w:rPr>
        <w:t>Qualcomm</w:t>
      </w:r>
    </w:p>
    <w:p w:rsidR="00637A49" w:rsidRDefault="00637A49" w:rsidP="00637A49">
      <w:pPr>
        <w:rPr>
          <w:lang w:val="en-US"/>
        </w:rPr>
      </w:pPr>
      <w:r>
        <w:rPr>
          <w:lang w:val="en-US"/>
        </w:rPr>
        <w:t xml:space="preserve">[2] </w:t>
      </w:r>
      <w:r w:rsidRPr="00CD108E">
        <w:rPr>
          <w:lang w:val="en-US"/>
        </w:rPr>
        <w:t>RP-201293</w:t>
      </w:r>
      <w:r>
        <w:rPr>
          <w:lang w:val="en-US"/>
        </w:rPr>
        <w:t xml:space="preserve"> </w:t>
      </w:r>
      <w:r w:rsidRPr="00DA47C0">
        <w:rPr>
          <w:lang w:val="en-US"/>
        </w:rPr>
        <w:t>Revised WID: Enhancements to Integrated Access and Backhaul (IAB) for NR</w:t>
      </w:r>
      <w:r>
        <w:rPr>
          <w:lang w:val="en-US"/>
        </w:rPr>
        <w:t xml:space="preserve">, </w:t>
      </w:r>
      <w:r w:rsidRPr="00CD108E">
        <w:rPr>
          <w:lang w:val="en-US"/>
        </w:rPr>
        <w:t>Qualcomm</w:t>
      </w:r>
    </w:p>
    <w:p w:rsidR="00637A49" w:rsidRPr="00E17E17" w:rsidRDefault="00637A49" w:rsidP="00637A49">
      <w:pPr>
        <w:rPr>
          <w:lang w:val="en-US"/>
        </w:rPr>
      </w:pPr>
      <w:r>
        <w:rPr>
          <w:lang w:val="en-US"/>
        </w:rPr>
        <w:t xml:space="preserve">[3] </w:t>
      </w:r>
      <w:r w:rsidRPr="00CD108E">
        <w:rPr>
          <w:lang w:val="en-US"/>
        </w:rPr>
        <w:t>RP-210758</w:t>
      </w:r>
      <w:r>
        <w:rPr>
          <w:lang w:val="en-US"/>
        </w:rPr>
        <w:t xml:space="preserve"> </w:t>
      </w:r>
      <w:r w:rsidRPr="00DA47C0">
        <w:rPr>
          <w:lang w:val="en-US"/>
        </w:rPr>
        <w:t>Revised WID on Enhancements to Int</w:t>
      </w:r>
      <w:r>
        <w:rPr>
          <w:lang w:val="en-US"/>
        </w:rPr>
        <w:t xml:space="preserve">egrated Access and Backhaul for </w:t>
      </w:r>
      <w:r w:rsidRPr="00DA47C0">
        <w:rPr>
          <w:lang w:val="en-US"/>
        </w:rPr>
        <w:t>NR</w:t>
      </w:r>
      <w:r>
        <w:rPr>
          <w:lang w:val="en-US"/>
        </w:rPr>
        <w:t xml:space="preserve">, </w:t>
      </w:r>
      <w:r w:rsidRPr="00CD108E">
        <w:rPr>
          <w:lang w:val="en-US"/>
        </w:rPr>
        <w:t>Qualcomm</w:t>
      </w:r>
    </w:p>
    <w:p w:rsidR="00637A49" w:rsidRPr="00637A49" w:rsidRDefault="00637A49" w:rsidP="00637A49">
      <w:pPr>
        <w:rPr>
          <w:rFonts w:eastAsiaTheme="minorEastAsia"/>
          <w:lang w:val="en-US"/>
        </w:rPr>
      </w:pPr>
      <w:r>
        <w:rPr>
          <w:rFonts w:eastAsiaTheme="minorEastAsia" w:hint="eastAsia"/>
          <w:lang w:val="en-US" w:eastAsia="zh-CN"/>
        </w:rPr>
        <w:t>[</w:t>
      </w:r>
      <w:r>
        <w:rPr>
          <w:rFonts w:eastAsiaTheme="minorEastAsia"/>
          <w:lang w:val="en-US" w:eastAsia="zh-CN"/>
        </w:rPr>
        <w:t xml:space="preserve">4] </w:t>
      </w:r>
      <w:r w:rsidRPr="00637A49">
        <w:rPr>
          <w:rFonts w:eastAsiaTheme="minorEastAsia"/>
        </w:rPr>
        <w:t>R4-2108355</w:t>
      </w:r>
      <w:r>
        <w:rPr>
          <w:rFonts w:eastAsiaTheme="minorEastAsia"/>
        </w:rPr>
        <w:t xml:space="preserve"> </w:t>
      </w:r>
      <w:r w:rsidRPr="00637A49">
        <w:rPr>
          <w:rFonts w:eastAsiaTheme="minorEastAsia"/>
        </w:rPr>
        <w:t>WF on eIAB RRM</w:t>
      </w:r>
      <w:r>
        <w:rPr>
          <w:rFonts w:eastAsiaTheme="minorEastAsia"/>
        </w:rPr>
        <w:t xml:space="preserve">, </w:t>
      </w:r>
      <w:r w:rsidRPr="00637A49">
        <w:rPr>
          <w:rFonts w:eastAsiaTheme="minorEastAsia"/>
          <w:lang w:val="en-US"/>
        </w:rPr>
        <w:t>ZTE Corporation</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5F3" w:rsidRDefault="009225F3">
      <w:pPr>
        <w:spacing w:after="0"/>
      </w:pPr>
      <w:r>
        <w:separator/>
      </w:r>
    </w:p>
  </w:endnote>
  <w:endnote w:type="continuationSeparator" w:id="0">
    <w:p w:rsidR="009225F3" w:rsidRDefault="00922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A5F" w:rsidRDefault="00514A5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14A5F" w:rsidRDefault="00514A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A5F" w:rsidRDefault="00514A5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54663">
      <w:rPr>
        <w:rStyle w:val="a5"/>
      </w:rPr>
      <w:t>1</w:t>
    </w:r>
    <w:r>
      <w:rPr>
        <w:rStyle w:val="a5"/>
      </w:rPr>
      <w:fldChar w:fldCharType="end"/>
    </w:r>
  </w:p>
  <w:p w:rsidR="00514A5F" w:rsidRDefault="00514A5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5F3" w:rsidRDefault="009225F3">
      <w:pPr>
        <w:spacing w:after="0"/>
      </w:pPr>
      <w:r>
        <w:separator/>
      </w:r>
    </w:p>
  </w:footnote>
  <w:footnote w:type="continuationSeparator" w:id="0">
    <w:p w:rsidR="009225F3" w:rsidRDefault="009225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7"/>
  </w:num>
  <w:num w:numId="4">
    <w:abstractNumId w:val="16"/>
  </w:num>
  <w:num w:numId="5">
    <w:abstractNumId w:val="0"/>
  </w:num>
  <w:num w:numId="6">
    <w:abstractNumId w:val="7"/>
  </w:num>
  <w:num w:numId="7">
    <w:abstractNumId w:val="2"/>
  </w:num>
  <w:num w:numId="8">
    <w:abstractNumId w:val="10"/>
  </w:num>
  <w:num w:numId="9">
    <w:abstractNumId w:val="11"/>
  </w:num>
  <w:num w:numId="10">
    <w:abstractNumId w:val="8"/>
  </w:num>
  <w:num w:numId="11">
    <w:abstractNumId w:val="9"/>
  </w:num>
  <w:num w:numId="12">
    <w:abstractNumId w:val="1"/>
  </w:num>
  <w:num w:numId="13">
    <w:abstractNumId w:val="4"/>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13"/>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1D9C"/>
    <w:rsid w:val="001435CB"/>
    <w:rsid w:val="00151949"/>
    <w:rsid w:val="00161981"/>
    <w:rsid w:val="0017747E"/>
    <w:rsid w:val="0018314E"/>
    <w:rsid w:val="00184719"/>
    <w:rsid w:val="00197964"/>
    <w:rsid w:val="001A1E7C"/>
    <w:rsid w:val="001C4240"/>
    <w:rsid w:val="001D3006"/>
    <w:rsid w:val="001E7174"/>
    <w:rsid w:val="001F411A"/>
    <w:rsid w:val="0020033A"/>
    <w:rsid w:val="00216AAB"/>
    <w:rsid w:val="00217770"/>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468E"/>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14A5F"/>
    <w:rsid w:val="005235DB"/>
    <w:rsid w:val="00530EB0"/>
    <w:rsid w:val="005375AA"/>
    <w:rsid w:val="005409B9"/>
    <w:rsid w:val="00545EC2"/>
    <w:rsid w:val="0054734A"/>
    <w:rsid w:val="005546D8"/>
    <w:rsid w:val="00557527"/>
    <w:rsid w:val="005755A4"/>
    <w:rsid w:val="005763DF"/>
    <w:rsid w:val="00582652"/>
    <w:rsid w:val="005A2C70"/>
    <w:rsid w:val="005A456B"/>
    <w:rsid w:val="005B0D68"/>
    <w:rsid w:val="005B6053"/>
    <w:rsid w:val="005C337F"/>
    <w:rsid w:val="005D15A2"/>
    <w:rsid w:val="005D231A"/>
    <w:rsid w:val="005D3DC0"/>
    <w:rsid w:val="005D6BEF"/>
    <w:rsid w:val="005E29AA"/>
    <w:rsid w:val="005E4CCD"/>
    <w:rsid w:val="005F5231"/>
    <w:rsid w:val="00604490"/>
    <w:rsid w:val="0060650F"/>
    <w:rsid w:val="00607CE8"/>
    <w:rsid w:val="0061679F"/>
    <w:rsid w:val="00637A49"/>
    <w:rsid w:val="0066186B"/>
    <w:rsid w:val="00672FCE"/>
    <w:rsid w:val="00681F59"/>
    <w:rsid w:val="006A68E5"/>
    <w:rsid w:val="006C4BDB"/>
    <w:rsid w:val="006D43CD"/>
    <w:rsid w:val="006D7325"/>
    <w:rsid w:val="006E28F1"/>
    <w:rsid w:val="006F1BAF"/>
    <w:rsid w:val="006F27CD"/>
    <w:rsid w:val="006F5874"/>
    <w:rsid w:val="00701598"/>
    <w:rsid w:val="00702FA5"/>
    <w:rsid w:val="00712608"/>
    <w:rsid w:val="00714064"/>
    <w:rsid w:val="007200C7"/>
    <w:rsid w:val="00723883"/>
    <w:rsid w:val="00732D90"/>
    <w:rsid w:val="007334B6"/>
    <w:rsid w:val="00734B34"/>
    <w:rsid w:val="00736D84"/>
    <w:rsid w:val="00763EF7"/>
    <w:rsid w:val="00766048"/>
    <w:rsid w:val="0077159B"/>
    <w:rsid w:val="00782C5D"/>
    <w:rsid w:val="00784099"/>
    <w:rsid w:val="00786C50"/>
    <w:rsid w:val="007902A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25F3"/>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628B8"/>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3CDD"/>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54663"/>
    <w:rsid w:val="00D73373"/>
    <w:rsid w:val="00D828E1"/>
    <w:rsid w:val="00D94E39"/>
    <w:rsid w:val="00DB10D2"/>
    <w:rsid w:val="00DB1DD4"/>
    <w:rsid w:val="00DB61B3"/>
    <w:rsid w:val="00DD0915"/>
    <w:rsid w:val="00DD09DF"/>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666B"/>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BC63A-D4DF-41D4-BB56-C94BD77FF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9107</TotalTime>
  <Pages>1</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153</cp:revision>
  <dcterms:created xsi:type="dcterms:W3CDTF">2019-09-18T02:52:00Z</dcterms:created>
  <dcterms:modified xsi:type="dcterms:W3CDTF">2021-08-06T15:58:00Z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(3)8vUE6fIdWeyjFQfeG8Lf7DvrMzMDanPPJhmdOSIbVwqZOaRlfkI2GV1t73HTcWtJuLJPatYd
Oa8px26f4hvtfWXT0E3cbIhiRojCcdGJ4bVZJLF8LIPvR8LxoXPlr2pCRIjekrqx8Ikdbmud
qX+voOh3mdC/ritXkqMb48gJKlm+Z52Ws3vm9rijRZmq1Hhss/VrqQG6Mpe9S1tnKgoAkKFg
K2npFuE1p2fC8lnI0p</vt:lpwstr>
  </property>
  <property fmtid="{D5CDD505-2E9C-101B-9397-08002B2CF9AE}" pid="3" name="_2015_ms_pID_7253431">
    <vt:lpwstr>n6IYo4WMNUBryS51fnEye9SuDJriAJckULLso2l4NTr9UWWa59PYd+
JtZ9SN9j8s7dAN6iPfUbMF/VQKFMxOY8toTQM6l7tZZhijTK21Hd/2ZSlCjzJJO3N2IfRs4O
k41d46aZ6fJAl6BsQbOpSdyJalHQVLQ2mDVzoRscJKlIYgWZa3SAFeo+vinEBRXykjbLaJG9
A7aXH34JyRVK9iz3lGXKw8DFt8BX/i25GA0Z</vt:lpwstr>
  </property>
  <property fmtid="{D5CDD505-2E9C-101B-9397-08002B2CF9AE}" pid="4" name="_2015_ms_pID_7253432">
    <vt:lpwstr>jK5hOv68p/JIWxUK8fi/WTI=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