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100-e</w:t>
      </w:r>
      <w:r>
        <w:rPr>
          <w:rFonts w:hint="eastAsia" w:ascii="Arial" w:hAnsi="Arial" w:cs="Arial"/>
          <w:b/>
          <w:sz w:val="24"/>
          <w:szCs w:val="24"/>
          <w:highlight w:val="none"/>
        </w:rPr>
        <w:t xml:space="preserve">                               R4-2113923</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16</w:t>
      </w:r>
      <w:r>
        <w:rPr>
          <w:rFonts w:hint="eastAsia" w:ascii="Arial" w:hAnsi="Arial" w:eastAsia="MS Mincho" w:cs="Arial"/>
          <w:b/>
          <w:sz w:val="24"/>
          <w:szCs w:val="24"/>
          <w:highlight w:val="none"/>
          <w:vertAlign w:val="superscript"/>
          <w:lang w:eastAsia="en-US"/>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27</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rPr>
        <w:t>9.16.5.</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spacing w:after="60"/>
        <w:ind w:left="1985" w:hanging="1985"/>
        <w:rPr>
          <w:rFonts w:hint="default" w:ascii="Arial" w:hAnsi="Arial" w:cs="Arial"/>
          <w:b/>
          <w:sz w:val="22"/>
          <w:szCs w:val="22"/>
          <w:highlight w:val="none"/>
          <w:lang w:val="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Discussion on BS Rx requirements for 52.6-71GHz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3"/>
        <w:tabs>
          <w:tab w:val="left" w:pos="567"/>
          <w:tab w:val="clear" w:pos="1985"/>
        </w:tabs>
        <w:adjustRightInd w:val="0"/>
        <w:ind w:left="510" w:hanging="510"/>
        <w:rPr>
          <w:highlight w:val="none"/>
        </w:rPr>
      </w:pPr>
      <w:r>
        <w:rPr>
          <w:highlight w:val="none"/>
        </w:rP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In the previous RAN4 meetings, there were some initial discussions on BS RX requirements for 60GHz and some high level agreement has been reached in WF [1]. In this contribution, we want to share some further considerations on each Rx requirements.</w:t>
      </w:r>
    </w:p>
    <w:p>
      <w:pPr>
        <w:pStyle w:val="53"/>
        <w:tabs>
          <w:tab w:val="left" w:pos="567"/>
          <w:tab w:val="clear" w:pos="1985"/>
        </w:tabs>
        <w:adjustRightInd w:val="0"/>
        <w:ind w:left="510" w:hanging="510"/>
        <w:rPr>
          <w:rFonts w:hint="default"/>
          <w:highlight w:val="none"/>
          <w:lang w:val="en-US" w:eastAsia="zh-CN"/>
        </w:rPr>
      </w:pPr>
      <w:r>
        <w:rPr>
          <w:rFonts w:hint="eastAsia"/>
          <w:highlight w:val="none"/>
        </w:rPr>
        <w:t xml:space="preserve">Discussion </w:t>
      </w:r>
      <w:bookmarkStart w:id="1" w:name="OLE_LINK20"/>
      <w:bookmarkStart w:id="2" w:name="OLE_LINK13"/>
      <w:bookmarkStart w:id="3" w:name="OLE_LINK10"/>
      <w:bookmarkStart w:id="4" w:name="OLE_LINK14"/>
    </w:p>
    <w:p>
      <w:pPr>
        <w:outlineLvl w:val="1"/>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 xml:space="preserve">2.1. </w:t>
      </w:r>
      <w:r>
        <w:rPr>
          <w:rFonts w:hint="default" w:ascii="Arial" w:hAnsi="Arial" w:eastAsia="Times New Roman" w:cs="Arial"/>
          <w:sz w:val="24"/>
          <w:szCs w:val="24"/>
          <w:highlight w:val="none"/>
        </w:rPr>
        <w:t>Sensitivity</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 xml:space="preserve">related </w:t>
      </w:r>
      <w:r>
        <w:rPr>
          <w:rFonts w:hint="default" w:ascii="Arial" w:hAnsi="Arial" w:cs="Arial"/>
          <w:sz w:val="24"/>
          <w:szCs w:val="24"/>
          <w:highlight w:val="none"/>
          <w:lang w:val="en-US" w:eastAsia="zh-CN"/>
        </w:rPr>
        <w:t>requirements</w:t>
      </w:r>
    </w:p>
    <w:p>
      <w:pPr>
        <w:rPr>
          <w:rFonts w:hint="default" w:ascii="Arial" w:hAnsi="Arial" w:cs="Arial"/>
          <w:sz w:val="24"/>
          <w:szCs w:val="24"/>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default" w:ascii="Arial" w:hAnsi="Arial" w:cs="Arial"/>
          <w:sz w:val="24"/>
          <w:szCs w:val="24"/>
          <w:highlight w:val="none"/>
          <w:lang w:val="en-US" w:eastAsia="zh-CN"/>
        </w:rPr>
      </w:pPr>
      <w:r>
        <w:rPr>
          <w:rFonts w:hint="eastAsia"/>
          <w:kern w:val="0"/>
          <w:sz w:val="20"/>
          <w:szCs w:val="20"/>
          <w:highlight w:val="none"/>
          <w:lang w:val="en-US" w:eastAsia="zh-CN"/>
        </w:rPr>
        <w:t>In the last RAN4 meeting, there were some extensive discussions on minimum and maximum channel bandwidth for 60GHz and the remaining issue left for further discussions is maximum channel bandwidth for 960kHz (e.g. 2000MHz or 2160MHz to align with IEEE 802.11ad/ay). However from Sensitivity requirement definition perspective, the minimum channel bandwidth matters more than maximum channel bandwidth since FRC definition is mainly replying on the transmission bandwidth configuration of minimum channel bandwidth.</w:t>
      </w:r>
    </w:p>
    <w:p>
      <w:pPr>
        <w:jc w:val="center"/>
        <w:rPr>
          <w:highlight w:val="none"/>
        </w:rPr>
      </w:pPr>
      <w:r>
        <w:rPr>
          <w:highlight w:val="none"/>
        </w:rPr>
        <w:drawing>
          <wp:inline distT="0" distB="0" distL="114300" distR="114300">
            <wp:extent cx="4724400" cy="1419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724400" cy="1419225"/>
                    </a:xfrm>
                    <a:prstGeom prst="rect">
                      <a:avLst/>
                    </a:prstGeom>
                    <a:noFill/>
                    <a:ln>
                      <a:noFill/>
                    </a:ln>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jc w:val="center"/>
        <w:rPr>
          <w:rFonts w:hint="default"/>
          <w:kern w:val="0"/>
          <w:sz w:val="20"/>
          <w:szCs w:val="20"/>
          <w:highlight w:val="none"/>
          <w:lang w:val="en-US" w:eastAsia="zh-CN"/>
        </w:rPr>
      </w:pPr>
      <w:r>
        <w:rPr>
          <w:rFonts w:hint="eastAsia"/>
          <w:b/>
          <w:bCs/>
          <w:kern w:val="0"/>
          <w:sz w:val="20"/>
          <w:szCs w:val="20"/>
          <w:highlight w:val="none"/>
          <w:lang w:val="en-US" w:eastAsia="zh-CN"/>
        </w:rPr>
        <w:t>Figure 1</w:t>
      </w:r>
      <w:r>
        <w:rPr>
          <w:rFonts w:hint="eastAsia"/>
          <w:kern w:val="0"/>
          <w:sz w:val="20"/>
          <w:szCs w:val="20"/>
          <w:highlight w:val="none"/>
          <w:lang w:val="en-US" w:eastAsia="zh-CN"/>
        </w:rPr>
        <w:t>. the proposed CBW for 52.6-71GHz</w:t>
      </w:r>
    </w:p>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highlight w:val="none"/>
          <w:lang w:val="en-US" w:eastAsia="zh-CN"/>
        </w:rPr>
      </w:pPr>
      <w:r>
        <w:rPr>
          <w:rFonts w:hint="eastAsia"/>
          <w:kern w:val="0"/>
          <w:sz w:val="20"/>
          <w:szCs w:val="20"/>
          <w:highlight w:val="none"/>
          <w:lang w:val="en-US" w:eastAsia="zh-CN"/>
        </w:rPr>
        <w:t>Based on the legacy approach used for existing FR2 BS Sensitivity definition, the following Sensitivity requirement in Table 1 could be applied for 60GHz. One concern might be whether exiting range specified for EIS</w:t>
      </w:r>
      <w:r>
        <w:rPr>
          <w:rFonts w:hint="eastAsia"/>
          <w:kern w:val="0"/>
          <w:sz w:val="20"/>
          <w:szCs w:val="20"/>
          <w:highlight w:val="none"/>
          <w:vertAlign w:val="subscript"/>
          <w:lang w:val="en-US" w:eastAsia="zh-CN"/>
        </w:rPr>
        <w:t>REFSENS_50M</w:t>
      </w:r>
      <w:r>
        <w:rPr>
          <w:rFonts w:hint="eastAsia"/>
          <w:kern w:val="0"/>
          <w:sz w:val="20"/>
          <w:szCs w:val="20"/>
          <w:highlight w:val="none"/>
          <w:lang w:val="en-US" w:eastAsia="zh-CN"/>
        </w:rPr>
        <w:t xml:space="preserve"> could also applicable for 60GHz. Based on the previous discussions for expected antenna array size for 60GHz and also legacy antenna array size in Rel-15 as documented in TR38.817-02, the higher operating frequency rang, correspondingly larger antenna array gain and also higher noise figure, at the end, these two factors would be counteracted in the EIS_50MHz calculation formula at the end, the existing range specified for EIS</w:t>
      </w:r>
      <w:r>
        <w:rPr>
          <w:rFonts w:hint="eastAsia"/>
          <w:kern w:val="0"/>
          <w:sz w:val="20"/>
          <w:szCs w:val="20"/>
          <w:highlight w:val="none"/>
          <w:vertAlign w:val="subscript"/>
          <w:lang w:val="en-US" w:eastAsia="zh-CN"/>
        </w:rPr>
        <w:t>REFSENS_50M</w:t>
      </w:r>
      <w:r>
        <w:rPr>
          <w:rFonts w:hint="eastAsia"/>
          <w:kern w:val="0"/>
          <w:sz w:val="20"/>
          <w:szCs w:val="20"/>
          <w:highlight w:val="none"/>
          <w:lang w:val="en-US" w:eastAsia="zh-CN"/>
        </w:rPr>
        <w:t xml:space="preserve"> could also applicable for 52.6-71GHz.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However we don</w:t>
      </w:r>
      <w:r>
        <w:rPr>
          <w:rFonts w:hint="default"/>
          <w:kern w:val="0"/>
          <w:sz w:val="20"/>
          <w:szCs w:val="20"/>
          <w:highlight w:val="none"/>
          <w:lang w:val="en-US" w:eastAsia="zh-CN"/>
        </w:rPr>
        <w:t>’</w:t>
      </w:r>
      <w:r>
        <w:rPr>
          <w:rFonts w:hint="eastAsia"/>
          <w:kern w:val="0"/>
          <w:sz w:val="20"/>
          <w:szCs w:val="20"/>
          <w:highlight w:val="none"/>
          <w:lang w:val="en-US" w:eastAsia="zh-CN"/>
        </w:rPr>
        <w:t>t have strong opinions whether to reuse 50MHz for REFSENS definition or to use 100MHz for REFSENS definition, both alternative are fine for us. In the following Table 1, we demonstrated how to specify REFSESNS for 52.6-71GHz with EISREFSENS_50M.</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Observation 1</w:t>
      </w:r>
      <w:r>
        <w:rPr>
          <w:rFonts w:hint="eastAsia"/>
          <w:kern w:val="0"/>
          <w:sz w:val="20"/>
          <w:szCs w:val="20"/>
          <w:highlight w:val="none"/>
          <w:lang w:val="en-US" w:eastAsia="zh-CN"/>
        </w:rPr>
        <w:t xml:space="preserve">:the existing range specified for EISREFSENS_50M or EISREFSENS_100M are both feasible for 52.6-71GHz REFSENS definition. </w:t>
      </w:r>
    </w:p>
    <w:p>
      <w:pPr>
        <w:pStyle w:val="42"/>
        <w:rPr>
          <w:rFonts w:hint="default" w:eastAsia="宋体"/>
          <w:highlight w:val="none"/>
          <w:lang w:val="en-US" w:eastAsia="zh-CN"/>
        </w:rPr>
      </w:pPr>
      <w:r>
        <w:rPr>
          <w:rFonts w:hint="eastAsia"/>
          <w:highlight w:val="none"/>
          <w:lang w:val="en-US" w:eastAsia="zh-CN"/>
        </w:rPr>
        <w:t>Table 1.</w:t>
      </w:r>
      <w:r>
        <w:rPr>
          <w:highlight w:val="none"/>
        </w:rPr>
        <w:t xml:space="preserve"> OTA reference sensitivity requirement</w:t>
      </w:r>
      <w:r>
        <w:rPr>
          <w:rFonts w:hint="eastAsia"/>
          <w:highlight w:val="none"/>
          <w:lang w:val="en-US" w:eastAsia="zh-CN"/>
        </w:rPr>
        <w:t xml:space="preserve"> for 60GHz</w:t>
      </w:r>
    </w:p>
    <w:tbl>
      <w:tblPr>
        <w:tblStyle w:val="21"/>
        <w:tblW w:w="7087" w:type="dxa"/>
        <w:jc w:val="center"/>
        <w:tblLayout w:type="fixed"/>
        <w:tblCellMar>
          <w:top w:w="0" w:type="dxa"/>
          <w:left w:w="108" w:type="dxa"/>
          <w:bottom w:w="0" w:type="dxa"/>
          <w:right w:w="108" w:type="dxa"/>
        </w:tblCellMar>
      </w:tblPr>
      <w:tblGrid>
        <w:gridCol w:w="1701"/>
        <w:gridCol w:w="1256"/>
        <w:gridCol w:w="1740"/>
        <w:gridCol w:w="2390"/>
      </w:tblGrid>
      <w:tr>
        <w:tblPrEx>
          <w:tblCellMar>
            <w:top w:w="0" w:type="dxa"/>
            <w:left w:w="108" w:type="dxa"/>
            <w:bottom w:w="0" w:type="dxa"/>
            <w:right w:w="108" w:type="dxa"/>
          </w:tblCellMar>
        </w:tblPrEx>
        <w:trPr>
          <w:trHeight w:val="724"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pStyle w:val="32"/>
              <w:rPr>
                <w:i/>
                <w:highlight w:val="none"/>
                <w:lang w:val="it-IT"/>
              </w:rPr>
            </w:pPr>
            <w:r>
              <w:rPr>
                <w:i/>
                <w:highlight w:val="none"/>
                <w:lang w:val="it-IT"/>
              </w:rPr>
              <w:t>BS channel Bandwidth</w:t>
            </w:r>
          </w:p>
          <w:p>
            <w:pPr>
              <w:pStyle w:val="32"/>
              <w:rPr>
                <w:highlight w:val="none"/>
                <w:lang w:eastAsia="en-GB"/>
              </w:rPr>
            </w:pPr>
            <w:r>
              <w:rPr>
                <w:highlight w:val="none"/>
                <w:lang w:val="it-IT"/>
              </w:rPr>
              <w:t>(MHz)</w:t>
            </w:r>
          </w:p>
        </w:tc>
        <w:tc>
          <w:tcPr>
            <w:tcW w:w="1256" w:type="dxa"/>
            <w:tcBorders>
              <w:top w:val="single" w:color="auto" w:sz="4" w:space="0"/>
              <w:left w:val="single" w:color="auto" w:sz="4" w:space="0"/>
              <w:bottom w:val="single" w:color="auto" w:sz="4" w:space="0"/>
              <w:right w:val="single" w:color="auto" w:sz="4" w:space="0"/>
            </w:tcBorders>
            <w:vAlign w:val="center"/>
          </w:tcPr>
          <w:p>
            <w:pPr>
              <w:pStyle w:val="32"/>
              <w:rPr>
                <w:highlight w:val="none"/>
                <w:lang w:eastAsia="en-GB"/>
              </w:rPr>
            </w:pPr>
            <w:r>
              <w:rPr>
                <w:highlight w:val="none"/>
                <w:lang w:val="it-IT"/>
              </w:rPr>
              <w:t>Sub-carrier spacing (kHz)</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highlight w:val="none"/>
                <w:lang w:eastAsia="en-GB"/>
              </w:rPr>
            </w:pPr>
            <w:r>
              <w:rPr>
                <w:rFonts w:cs="Arial"/>
                <w:highlight w:val="none"/>
              </w:rPr>
              <w:t>Reference measurement channel</w:t>
            </w:r>
          </w:p>
        </w:tc>
        <w:tc>
          <w:tcPr>
            <w:tcW w:w="2390" w:type="dxa"/>
            <w:tcBorders>
              <w:top w:val="single" w:color="auto" w:sz="4" w:space="0"/>
              <w:left w:val="single" w:color="auto" w:sz="4" w:space="0"/>
              <w:bottom w:val="single" w:color="auto" w:sz="4" w:space="0"/>
              <w:right w:val="single" w:color="auto" w:sz="4" w:space="0"/>
            </w:tcBorders>
            <w:vAlign w:val="center"/>
          </w:tcPr>
          <w:p>
            <w:pPr>
              <w:pStyle w:val="32"/>
              <w:rPr>
                <w:highlight w:val="none"/>
                <w:lang w:eastAsia="en-GB"/>
              </w:rPr>
            </w:pPr>
            <w:r>
              <w:rPr>
                <w:rFonts w:cs="Arial"/>
                <w:highlight w:val="none"/>
              </w:rPr>
              <w:t xml:space="preserve">OTA reference sensitivity level, </w:t>
            </w:r>
            <w:r>
              <w:rPr>
                <w:highlight w:val="none"/>
                <w:lang w:eastAsia="zh-CN"/>
              </w:rPr>
              <w:t>EIS</w:t>
            </w:r>
            <w:r>
              <w:rPr>
                <w:highlight w:val="none"/>
                <w:vertAlign w:val="subscript"/>
                <w:lang w:eastAsia="zh-CN"/>
              </w:rPr>
              <w:t>REFSENS</w:t>
            </w:r>
            <w:r>
              <w:rPr>
                <w:highlight w:val="none"/>
                <w:lang w:eastAsia="en-GB"/>
              </w:rPr>
              <w:t xml:space="preserve"> (dBm)</w:t>
            </w:r>
          </w:p>
        </w:tc>
      </w:tr>
      <w:tr>
        <w:tblPrEx>
          <w:tblCellMar>
            <w:top w:w="0" w:type="dxa"/>
            <w:left w:w="108" w:type="dxa"/>
            <w:bottom w:w="0" w:type="dxa"/>
            <w:right w:w="108" w:type="dxa"/>
          </w:tblCellMar>
        </w:tblPrEx>
        <w:trPr>
          <w:trHeight w:val="70" w:hRule="atLeast"/>
          <w:jc w:val="center"/>
        </w:trPr>
        <w:tc>
          <w:tcPr>
            <w:tcW w:w="1701" w:type="dxa"/>
            <w:tcBorders>
              <w:top w:val="single" w:color="auto" w:sz="4" w:space="0"/>
              <w:left w:val="single" w:color="auto" w:sz="4" w:space="0"/>
              <w:bottom w:val="single" w:color="auto" w:sz="4" w:space="0"/>
              <w:right w:val="single" w:color="auto" w:sz="4" w:space="0"/>
            </w:tcBorders>
          </w:tcPr>
          <w:p>
            <w:pPr>
              <w:pStyle w:val="33"/>
              <w:rPr>
                <w:highlight w:val="none"/>
                <w:lang w:eastAsia="en-GB"/>
              </w:rPr>
            </w:pPr>
            <w:r>
              <w:rPr>
                <w:highlight w:val="none"/>
              </w:rPr>
              <w:t>100, 200, 400</w:t>
            </w:r>
          </w:p>
        </w:tc>
        <w:tc>
          <w:tcPr>
            <w:tcW w:w="1256" w:type="dxa"/>
            <w:tcBorders>
              <w:top w:val="single" w:color="auto" w:sz="4" w:space="0"/>
              <w:left w:val="single" w:color="auto" w:sz="4" w:space="0"/>
              <w:bottom w:val="single" w:color="auto" w:sz="4" w:space="0"/>
              <w:right w:val="single" w:color="auto" w:sz="4" w:space="0"/>
            </w:tcBorders>
          </w:tcPr>
          <w:p>
            <w:pPr>
              <w:pStyle w:val="33"/>
              <w:rPr>
                <w:highlight w:val="none"/>
                <w:lang w:eastAsia="en-GB"/>
              </w:rPr>
            </w:pPr>
            <w:r>
              <w:rPr>
                <w:highlight w:val="none"/>
                <w:lang w:eastAsia="en-GB"/>
              </w:rPr>
              <w:t>120</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rPr>
                <w:highlight w:val="none"/>
                <w:lang w:eastAsia="en-GB"/>
              </w:rPr>
            </w:pPr>
            <w:r>
              <w:rPr>
                <w:highlight w:val="none"/>
                <w:lang w:eastAsia="en-GB"/>
              </w:rPr>
              <w:t>G-FR2-A1-3</w:t>
            </w:r>
          </w:p>
        </w:tc>
        <w:tc>
          <w:tcPr>
            <w:tcW w:w="2390" w:type="dxa"/>
            <w:tcBorders>
              <w:top w:val="single" w:color="auto" w:sz="4" w:space="0"/>
              <w:left w:val="single" w:color="auto" w:sz="4" w:space="0"/>
              <w:bottom w:val="single" w:color="auto" w:sz="4" w:space="0"/>
              <w:right w:val="single" w:color="auto" w:sz="4" w:space="0"/>
            </w:tcBorders>
          </w:tcPr>
          <w:p>
            <w:pPr>
              <w:pStyle w:val="33"/>
              <w:rPr>
                <w:highlight w:val="none"/>
                <w:lang w:eastAsia="en-GB"/>
              </w:rPr>
            </w:pPr>
            <w:r>
              <w:rPr>
                <w:highlight w:val="none"/>
                <w:lang w:eastAsia="en-GB"/>
              </w:rPr>
              <w:t>EIS</w:t>
            </w:r>
            <w:r>
              <w:rPr>
                <w:highlight w:val="none"/>
                <w:vertAlign w:val="subscript"/>
                <w:lang w:eastAsia="en-GB"/>
              </w:rPr>
              <w:t xml:space="preserve">REFSENS_50M </w:t>
            </w:r>
            <w:r>
              <w:rPr>
                <w:highlight w:val="none"/>
                <w:lang w:eastAsia="en-GB"/>
              </w:rPr>
              <w:t>+ 3</w:t>
            </w:r>
            <w:r>
              <w:rPr>
                <w:highlight w:val="none"/>
                <w:vertAlign w:val="subscript"/>
                <w:lang w:eastAsia="en-GB"/>
              </w:rPr>
              <w:t xml:space="preserve"> </w:t>
            </w:r>
            <w:r>
              <w:rPr>
                <w:rFonts w:cs="Arial"/>
                <w:highlight w:val="none"/>
              </w:rPr>
              <w:t xml:space="preserve">+ </w:t>
            </w:r>
            <w:r>
              <w:rPr>
                <w:highlight w:val="none"/>
              </w:rPr>
              <w:t>Δ</w:t>
            </w:r>
            <w:r>
              <w:rPr>
                <w:highlight w:val="none"/>
                <w:vertAlign w:val="subscript"/>
              </w:rPr>
              <w:t>FR2_REFSENS</w:t>
            </w:r>
          </w:p>
        </w:tc>
      </w:tr>
      <w:tr>
        <w:tblPrEx>
          <w:tblCellMar>
            <w:top w:w="0" w:type="dxa"/>
            <w:left w:w="108" w:type="dxa"/>
            <w:bottom w:w="0" w:type="dxa"/>
            <w:right w:w="108" w:type="dxa"/>
          </w:tblCellMar>
        </w:tblPrEx>
        <w:trPr>
          <w:trHeight w:val="70" w:hRule="atLeast"/>
          <w:jc w:val="center"/>
        </w:trPr>
        <w:tc>
          <w:tcPr>
            <w:tcW w:w="1701" w:type="dxa"/>
            <w:tcBorders>
              <w:top w:val="single" w:color="auto" w:sz="4" w:space="0"/>
              <w:left w:val="single" w:color="auto" w:sz="4" w:space="0"/>
              <w:bottom w:val="single" w:color="auto" w:sz="4" w:space="0"/>
              <w:right w:val="single" w:color="auto" w:sz="4" w:space="0"/>
            </w:tcBorders>
          </w:tcPr>
          <w:p>
            <w:pPr>
              <w:pStyle w:val="33"/>
              <w:rPr>
                <w:rFonts w:hint="default" w:eastAsia="宋体"/>
                <w:highlight w:val="none"/>
                <w:lang w:val="en-US" w:eastAsia="zh-CN"/>
              </w:rPr>
            </w:pPr>
            <w:r>
              <w:rPr>
                <w:rFonts w:hint="eastAsia" w:eastAsia="宋体"/>
                <w:highlight w:val="none"/>
                <w:lang w:val="en-US" w:eastAsia="zh-CN"/>
              </w:rPr>
              <w:t>400,800,1200,1600</w:t>
            </w:r>
          </w:p>
        </w:tc>
        <w:tc>
          <w:tcPr>
            <w:tcW w:w="1256" w:type="dxa"/>
            <w:tcBorders>
              <w:top w:val="single" w:color="auto" w:sz="4" w:space="0"/>
              <w:left w:val="single" w:color="auto" w:sz="4" w:space="0"/>
              <w:bottom w:val="single" w:color="auto" w:sz="4" w:space="0"/>
              <w:right w:val="single" w:color="auto" w:sz="4" w:space="0"/>
            </w:tcBorders>
          </w:tcPr>
          <w:p>
            <w:pPr>
              <w:pStyle w:val="33"/>
              <w:rPr>
                <w:rFonts w:hint="default" w:eastAsia="宋体"/>
                <w:highlight w:val="none"/>
                <w:lang w:val="en-US" w:eastAsia="zh-CN"/>
              </w:rPr>
            </w:pPr>
            <w:r>
              <w:rPr>
                <w:rFonts w:hint="eastAsia" w:eastAsia="宋体"/>
                <w:highlight w:val="none"/>
                <w:lang w:val="en-US" w:eastAsia="zh-CN"/>
              </w:rPr>
              <w:t>480</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rPr>
                <w:rFonts w:hint="default" w:eastAsia="宋体"/>
                <w:highlight w:val="none"/>
                <w:lang w:val="en-US" w:eastAsia="zh-CN"/>
              </w:rPr>
            </w:pPr>
            <w:r>
              <w:rPr>
                <w:rFonts w:hint="eastAsia" w:eastAsia="宋体"/>
                <w:highlight w:val="none"/>
                <w:lang w:val="en-US" w:eastAsia="zh-CN"/>
              </w:rPr>
              <w:t>TBD</w:t>
            </w:r>
          </w:p>
        </w:tc>
        <w:tc>
          <w:tcPr>
            <w:tcW w:w="2390" w:type="dxa"/>
            <w:tcBorders>
              <w:top w:val="single" w:color="auto" w:sz="4" w:space="0"/>
              <w:left w:val="single" w:color="auto" w:sz="4" w:space="0"/>
              <w:bottom w:val="single" w:color="auto" w:sz="4" w:space="0"/>
              <w:right w:val="single" w:color="auto" w:sz="4" w:space="0"/>
            </w:tcBorders>
          </w:tcPr>
          <w:p>
            <w:pPr>
              <w:pStyle w:val="33"/>
              <w:rPr>
                <w:highlight w:val="none"/>
                <w:lang w:eastAsia="en-GB"/>
              </w:rPr>
            </w:pPr>
            <w:r>
              <w:rPr>
                <w:highlight w:val="none"/>
                <w:lang w:eastAsia="en-GB"/>
              </w:rPr>
              <w:t>EIS</w:t>
            </w:r>
            <w:r>
              <w:rPr>
                <w:highlight w:val="none"/>
                <w:vertAlign w:val="subscript"/>
                <w:lang w:eastAsia="en-GB"/>
              </w:rPr>
              <w:t xml:space="preserve">REFSENS_50M </w:t>
            </w:r>
            <w:r>
              <w:rPr>
                <w:highlight w:val="none"/>
                <w:lang w:eastAsia="en-GB"/>
              </w:rPr>
              <w:t xml:space="preserve">+ </w:t>
            </w:r>
            <w:r>
              <w:rPr>
                <w:rFonts w:hint="eastAsia" w:eastAsia="宋体"/>
                <w:highlight w:val="none"/>
                <w:lang w:val="en-US" w:eastAsia="zh-CN"/>
              </w:rPr>
              <w:t>9</w:t>
            </w:r>
            <w:r>
              <w:rPr>
                <w:highlight w:val="none"/>
                <w:vertAlign w:val="subscript"/>
                <w:lang w:eastAsia="en-GB"/>
              </w:rPr>
              <w:t xml:space="preserve"> </w:t>
            </w:r>
            <w:r>
              <w:rPr>
                <w:rFonts w:cs="Arial"/>
                <w:highlight w:val="none"/>
              </w:rPr>
              <w:t xml:space="preserve">+ </w:t>
            </w:r>
            <w:r>
              <w:rPr>
                <w:highlight w:val="none"/>
              </w:rPr>
              <w:t>Δ</w:t>
            </w:r>
            <w:r>
              <w:rPr>
                <w:highlight w:val="none"/>
                <w:vertAlign w:val="subscript"/>
              </w:rPr>
              <w:t>FR2_REFSENS</w:t>
            </w:r>
          </w:p>
        </w:tc>
      </w:tr>
      <w:tr>
        <w:tblPrEx>
          <w:tblCellMar>
            <w:top w:w="0" w:type="dxa"/>
            <w:left w:w="108" w:type="dxa"/>
            <w:bottom w:w="0" w:type="dxa"/>
            <w:right w:w="108" w:type="dxa"/>
          </w:tblCellMar>
        </w:tblPrEx>
        <w:trPr>
          <w:trHeight w:val="70" w:hRule="atLeast"/>
          <w:jc w:val="center"/>
        </w:trPr>
        <w:tc>
          <w:tcPr>
            <w:tcW w:w="1701" w:type="dxa"/>
            <w:tcBorders>
              <w:top w:val="single" w:color="auto" w:sz="4" w:space="0"/>
              <w:left w:val="single" w:color="auto" w:sz="4" w:space="0"/>
              <w:bottom w:val="single" w:color="auto" w:sz="4" w:space="0"/>
              <w:right w:val="single" w:color="auto" w:sz="4" w:space="0"/>
            </w:tcBorders>
          </w:tcPr>
          <w:p>
            <w:pPr>
              <w:pStyle w:val="33"/>
              <w:rPr>
                <w:rFonts w:hint="default"/>
                <w:highlight w:val="none"/>
                <w:lang w:val="en-US"/>
              </w:rPr>
            </w:pPr>
            <w:r>
              <w:rPr>
                <w:rFonts w:hint="eastAsia" w:eastAsia="宋体"/>
                <w:highlight w:val="none"/>
                <w:lang w:val="en-US" w:eastAsia="zh-CN"/>
              </w:rPr>
              <w:t>400,800,1200,1600, 2000</w:t>
            </w:r>
          </w:p>
        </w:tc>
        <w:tc>
          <w:tcPr>
            <w:tcW w:w="1256" w:type="dxa"/>
            <w:tcBorders>
              <w:top w:val="single" w:color="auto" w:sz="4" w:space="0"/>
              <w:left w:val="single" w:color="auto" w:sz="4" w:space="0"/>
              <w:bottom w:val="single" w:color="auto" w:sz="4" w:space="0"/>
              <w:right w:val="single" w:color="auto" w:sz="4" w:space="0"/>
            </w:tcBorders>
          </w:tcPr>
          <w:p>
            <w:pPr>
              <w:pStyle w:val="33"/>
              <w:rPr>
                <w:rFonts w:hint="default" w:eastAsia="宋体"/>
                <w:highlight w:val="none"/>
                <w:lang w:val="en-US" w:eastAsia="zh-CN"/>
              </w:rPr>
            </w:pPr>
            <w:r>
              <w:rPr>
                <w:rFonts w:hint="eastAsia" w:eastAsia="宋体"/>
                <w:highlight w:val="none"/>
                <w:lang w:val="en-US" w:eastAsia="zh-CN"/>
              </w:rPr>
              <w:t>960</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3"/>
              <w:rPr>
                <w:rFonts w:hint="default" w:eastAsia="宋体"/>
                <w:highlight w:val="none"/>
                <w:lang w:val="en-US" w:eastAsia="zh-CN"/>
              </w:rPr>
            </w:pPr>
            <w:r>
              <w:rPr>
                <w:rFonts w:hint="eastAsia" w:eastAsia="宋体"/>
                <w:highlight w:val="none"/>
                <w:lang w:val="en-US" w:eastAsia="zh-CN"/>
              </w:rPr>
              <w:t>TBD</w:t>
            </w:r>
          </w:p>
        </w:tc>
        <w:tc>
          <w:tcPr>
            <w:tcW w:w="2390" w:type="dxa"/>
            <w:tcBorders>
              <w:top w:val="single" w:color="auto" w:sz="4" w:space="0"/>
              <w:left w:val="single" w:color="auto" w:sz="4" w:space="0"/>
              <w:bottom w:val="single" w:color="auto" w:sz="4" w:space="0"/>
              <w:right w:val="single" w:color="auto" w:sz="4" w:space="0"/>
            </w:tcBorders>
          </w:tcPr>
          <w:p>
            <w:pPr>
              <w:pStyle w:val="33"/>
              <w:rPr>
                <w:highlight w:val="none"/>
                <w:lang w:eastAsia="en-GB"/>
              </w:rPr>
            </w:pPr>
            <w:r>
              <w:rPr>
                <w:highlight w:val="none"/>
                <w:lang w:eastAsia="en-GB"/>
              </w:rPr>
              <w:t>EIS</w:t>
            </w:r>
            <w:r>
              <w:rPr>
                <w:highlight w:val="none"/>
                <w:vertAlign w:val="subscript"/>
                <w:lang w:eastAsia="en-GB"/>
              </w:rPr>
              <w:t xml:space="preserve">REFSENS_50M </w:t>
            </w:r>
            <w:r>
              <w:rPr>
                <w:highlight w:val="none"/>
                <w:lang w:eastAsia="en-GB"/>
              </w:rPr>
              <w:t xml:space="preserve">+ </w:t>
            </w:r>
            <w:r>
              <w:rPr>
                <w:rFonts w:hint="eastAsia" w:eastAsia="宋体"/>
                <w:highlight w:val="none"/>
                <w:lang w:val="en-US" w:eastAsia="zh-CN"/>
              </w:rPr>
              <w:t>9</w:t>
            </w:r>
            <w:r>
              <w:rPr>
                <w:highlight w:val="none"/>
                <w:vertAlign w:val="subscript"/>
                <w:lang w:eastAsia="en-GB"/>
              </w:rPr>
              <w:t xml:space="preserve"> </w:t>
            </w:r>
            <w:r>
              <w:rPr>
                <w:rFonts w:cs="Arial"/>
                <w:highlight w:val="none"/>
              </w:rPr>
              <w:t xml:space="preserve">+ </w:t>
            </w:r>
            <w:r>
              <w:rPr>
                <w:highlight w:val="none"/>
              </w:rPr>
              <w:t>Δ</w:t>
            </w:r>
            <w:r>
              <w:rPr>
                <w:highlight w:val="none"/>
                <w:vertAlign w:val="subscript"/>
              </w:rPr>
              <w:t>FR2_REFSENS</w:t>
            </w:r>
          </w:p>
        </w:tc>
      </w:tr>
      <w:tr>
        <w:tblPrEx>
          <w:tblCellMar>
            <w:top w:w="0" w:type="dxa"/>
            <w:left w:w="108" w:type="dxa"/>
            <w:bottom w:w="0" w:type="dxa"/>
            <w:right w:w="108" w:type="dxa"/>
          </w:tblCellMar>
        </w:tblPrEx>
        <w:trPr>
          <w:trHeight w:val="70" w:hRule="atLeast"/>
          <w:jc w:val="center"/>
        </w:trPr>
        <w:tc>
          <w:tcPr>
            <w:tcW w:w="7087" w:type="dxa"/>
            <w:gridSpan w:val="4"/>
            <w:tcBorders>
              <w:top w:val="single" w:color="auto" w:sz="4" w:space="0"/>
              <w:left w:val="single" w:color="auto" w:sz="4" w:space="0"/>
              <w:bottom w:val="single" w:color="auto" w:sz="4" w:space="0"/>
              <w:right w:val="single" w:color="auto" w:sz="4" w:space="0"/>
            </w:tcBorders>
          </w:tcPr>
          <w:p>
            <w:pPr>
              <w:pStyle w:val="46"/>
              <w:rPr>
                <w:rFonts w:eastAsia="宋体"/>
                <w:highlight w:val="none"/>
                <w:lang w:eastAsia="zh-CN"/>
              </w:rPr>
            </w:pPr>
            <w:r>
              <w:rPr>
                <w:rFonts w:cs="Arial"/>
                <w:highlight w:val="none"/>
              </w:rPr>
              <w:t>NOTE 1:</w:t>
            </w:r>
            <w:r>
              <w:rPr>
                <w:rFonts w:cs="Arial"/>
                <w:highlight w:val="none"/>
              </w:rPr>
              <w:tab/>
            </w:r>
            <w:r>
              <w:rPr>
                <w:rFonts w:cs="Arial"/>
                <w:highlight w:val="none"/>
              </w:rPr>
              <w:t>EIS</w:t>
            </w:r>
            <w:r>
              <w:rPr>
                <w:rFonts w:cs="Arial"/>
                <w:highlight w:val="none"/>
                <w:vertAlign w:val="subscript"/>
              </w:rPr>
              <w:t>REFSENS</w:t>
            </w:r>
            <w:r>
              <w:rPr>
                <w:rFonts w:cs="Arial"/>
                <w:highlight w:val="none"/>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highlight w:val="none"/>
                <w:lang w:eastAsia="ko-KR"/>
              </w:rPr>
              <w:t xml:space="preserve">, except for one instance that might overlap one other instance to cover the full </w:t>
            </w:r>
            <w:r>
              <w:rPr>
                <w:rFonts w:cs="Arial"/>
                <w:i/>
                <w:highlight w:val="none"/>
                <w:lang w:eastAsia="ko-KR"/>
              </w:rPr>
              <w:t>BS channel bandwidth</w:t>
            </w:r>
            <w:r>
              <w:rPr>
                <w:rFonts w:cs="Arial"/>
                <w:highlight w:val="none"/>
                <w:lang w:eastAsia="ko-KR"/>
              </w:rPr>
              <w:t>.</w:t>
            </w:r>
          </w:p>
          <w:p>
            <w:pPr>
              <w:pStyle w:val="46"/>
              <w:rPr>
                <w:highlight w:val="none"/>
                <w:lang w:eastAsia="en-GB"/>
              </w:rPr>
            </w:pPr>
            <w:r>
              <w:rPr>
                <w:rFonts w:eastAsia="宋体"/>
                <w:highlight w:val="none"/>
                <w:lang w:eastAsia="zh-CN"/>
              </w:rPr>
              <w:t>NOTE 2:</w:t>
            </w:r>
            <w:r>
              <w:rPr>
                <w:rFonts w:cs="Arial"/>
                <w:highlight w:val="none"/>
              </w:rPr>
              <w:tab/>
            </w:r>
            <w:r>
              <w:rPr>
                <w:rFonts w:eastAsia="宋体"/>
                <w:highlight w:val="none"/>
                <w:lang w:eastAsia="zh-CN"/>
              </w:rPr>
              <w:t xml:space="preserve">The declared </w:t>
            </w:r>
            <w:r>
              <w:rPr>
                <w:rFonts w:eastAsia="宋体"/>
                <w:highlight w:val="none"/>
              </w:rPr>
              <w:t>EIS</w:t>
            </w:r>
            <w:r>
              <w:rPr>
                <w:rFonts w:eastAsia="宋体"/>
                <w:highlight w:val="none"/>
                <w:vertAlign w:val="subscript"/>
              </w:rPr>
              <w:t>REFSENS_50M</w:t>
            </w:r>
            <w:r>
              <w:rPr>
                <w:rFonts w:eastAsia="宋体"/>
                <w:highlight w:val="none"/>
              </w:rPr>
              <w:t xml:space="preserve"> shall be within the range specified above.</w:t>
            </w:r>
          </w:p>
        </w:tc>
      </w:tr>
    </w:tbl>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highlight w:val="none"/>
          <w:lang w:val="en-US" w:eastAsia="zh-CN"/>
        </w:rPr>
      </w:pPr>
      <w:r>
        <w:rPr>
          <w:rFonts w:hint="eastAsia"/>
          <w:kern w:val="0"/>
          <w:sz w:val="20"/>
          <w:szCs w:val="20"/>
          <w:highlight w:val="none"/>
          <w:lang w:val="en-US" w:eastAsia="zh-CN"/>
        </w:rPr>
        <w:t>In addition, regarding whether the existing FR2 FRC could be reused, indeed we could discuss its applicability from two perspective:</w:t>
      </w:r>
    </w:p>
    <w:p>
      <w:pPr>
        <w:numPr>
          <w:ilvl w:val="0"/>
          <w:numId w:val="2"/>
        </w:numPr>
        <w:pBdr>
          <w:top w:val="none" w:color="auto" w:sz="0" w:space="0"/>
          <w:left w:val="none" w:color="auto" w:sz="0" w:space="0"/>
          <w:bottom w:val="none" w:color="auto" w:sz="0" w:space="0"/>
          <w:right w:val="none" w:color="auto" w:sz="0" w:space="0"/>
          <w:between w:val="none" w:color="auto" w:sz="0" w:space="0"/>
        </w:pBdr>
        <w:rPr>
          <w:rFonts w:hint="eastAsia"/>
          <w:kern w:val="0"/>
          <w:sz w:val="20"/>
          <w:szCs w:val="20"/>
          <w:highlight w:val="none"/>
          <w:lang w:val="en-US" w:eastAsia="zh-CN"/>
        </w:rPr>
      </w:pPr>
      <w:r>
        <w:rPr>
          <w:rFonts w:hint="eastAsia"/>
          <w:kern w:val="0"/>
          <w:sz w:val="20"/>
          <w:szCs w:val="20"/>
          <w:highlight w:val="none"/>
          <w:lang w:val="en-US" w:eastAsia="zh-CN"/>
        </w:rPr>
        <w:t>Whether the existing PT-RS configuration for PUSCH in FR2 FRC could be reused for 52.6-71GHz, even though PT-RS configuration is not used in practice in FR2 REFSENS testing, however whether this configuration is still typical for 52.6-71GHz might need more discussion. From our initial understanding, the existing PT-RS configuration is already most stringent case with LPTRS=1, therefore it could also been applied for 52.6-71GHz</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firstLine="400" w:firstLineChars="200"/>
        <w:textAlignment w:val="auto"/>
        <w:rPr>
          <w:rFonts w:hint="default"/>
          <w:kern w:val="0"/>
          <w:sz w:val="20"/>
          <w:szCs w:val="20"/>
          <w:highlight w:val="none"/>
          <w:lang w:val="en-US" w:eastAsia="zh-CN"/>
        </w:rPr>
      </w:pPr>
      <w:r>
        <w:rPr>
          <w:rFonts w:hint="default"/>
          <w:kern w:val="0"/>
          <w:sz w:val="20"/>
          <w:szCs w:val="20"/>
          <w:highlight w:val="none"/>
          <w:lang w:val="en-US" w:eastAsia="zh-CN"/>
        </w:rPr>
        <w:t>For FR2, following PTRS parameters: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firstLine="400" w:firstLineChars="200"/>
        <w:textAlignment w:val="auto"/>
        <w:rPr>
          <w:rFonts w:hint="default"/>
          <w:kern w:val="0"/>
          <w:sz w:val="20"/>
          <w:szCs w:val="20"/>
          <w:highlight w:val="none"/>
          <w:lang w:val="en-US" w:eastAsia="zh-CN"/>
        </w:rPr>
      </w:pPr>
      <w:r>
        <w:rPr>
          <w:rFonts w:hint="default"/>
          <w:kern w:val="0"/>
          <w:sz w:val="20"/>
          <w:szCs w:val="20"/>
          <w:highlight w:val="none"/>
          <w:lang w:val="en-US" w:eastAsia="zh-CN"/>
        </w:rPr>
        <w:t>K</w:t>
      </w:r>
      <w:r>
        <w:rPr>
          <w:rFonts w:hint="default"/>
          <w:kern w:val="0"/>
          <w:sz w:val="20"/>
          <w:szCs w:val="20"/>
          <w:highlight w:val="none"/>
          <w:vertAlign w:val="subscript"/>
          <w:lang w:val="en-US" w:eastAsia="zh-CN"/>
        </w:rPr>
        <w:t>PTRS</w:t>
      </w:r>
      <w:r>
        <w:rPr>
          <w:rFonts w:hint="default"/>
          <w:kern w:val="0"/>
          <w:sz w:val="20"/>
          <w:szCs w:val="20"/>
          <w:highlight w:val="none"/>
          <w:lang w:val="en-US" w:eastAsia="zh-CN"/>
        </w:rPr>
        <w:t xml:space="preserve"> : 2 (PTRS every 2 RBs)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firstLine="400" w:firstLineChars="200"/>
        <w:textAlignment w:val="auto"/>
        <w:rPr>
          <w:rFonts w:hint="default"/>
          <w:kern w:val="0"/>
          <w:sz w:val="20"/>
          <w:szCs w:val="20"/>
          <w:highlight w:val="none"/>
          <w:lang w:val="en-US" w:eastAsia="zh-CN"/>
        </w:rPr>
      </w:pPr>
      <w:r>
        <w:rPr>
          <w:rFonts w:hint="default"/>
          <w:kern w:val="0"/>
          <w:sz w:val="20"/>
          <w:szCs w:val="20"/>
          <w:highlight w:val="none"/>
          <w:lang w:val="en-US" w:eastAsia="zh-CN"/>
        </w:rPr>
        <w:t>L</w:t>
      </w:r>
      <w:r>
        <w:rPr>
          <w:rFonts w:hint="default"/>
          <w:kern w:val="0"/>
          <w:sz w:val="20"/>
          <w:szCs w:val="20"/>
          <w:highlight w:val="none"/>
          <w:vertAlign w:val="subscript"/>
          <w:lang w:val="en-US" w:eastAsia="zh-CN"/>
        </w:rPr>
        <w:t>PTRS</w:t>
      </w:r>
      <w:r>
        <w:rPr>
          <w:rFonts w:hint="default"/>
          <w:kern w:val="0"/>
          <w:sz w:val="20"/>
          <w:szCs w:val="20"/>
          <w:highlight w:val="none"/>
          <w:lang w:val="en-US" w:eastAsia="zh-CN"/>
        </w:rPr>
        <w:t xml:space="preserve"> : 1 (all symbols with PTRS)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firstLine="400" w:firstLineChars="200"/>
        <w:textAlignment w:val="auto"/>
        <w:rPr>
          <w:rFonts w:hint="eastAsia"/>
          <w:kern w:val="0"/>
          <w:sz w:val="20"/>
          <w:szCs w:val="20"/>
          <w:highlight w:val="none"/>
          <w:lang w:val="en-US" w:eastAsia="zh-CN"/>
        </w:rPr>
      </w:pPr>
      <w:r>
        <w:rPr>
          <w:rFonts w:hint="default"/>
          <w:kern w:val="0"/>
          <w:sz w:val="20"/>
          <w:szCs w:val="20"/>
          <w:highlight w:val="none"/>
          <w:lang w:val="en-US" w:eastAsia="zh-CN"/>
        </w:rPr>
        <w:t>No phase noise simulation, PTRS REs are not used for data</w:t>
      </w:r>
    </w:p>
    <w:p>
      <w:pPr>
        <w:numPr>
          <w:ilvl w:val="0"/>
          <w:numId w:val="0"/>
        </w:num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 xml:space="preserve">2) For BW with 120kHz SCS, the existing </w:t>
      </w:r>
      <w:r>
        <w:rPr>
          <w:rFonts w:hint="eastAsia"/>
          <w:kern w:val="0"/>
          <w:sz w:val="20"/>
          <w:szCs w:val="20"/>
          <w:highlight w:val="none"/>
          <w:lang w:val="en-US" w:eastAsia="en-GB"/>
        </w:rPr>
        <w:t>G-FR2-A1-3</w:t>
      </w:r>
      <w:r>
        <w:rPr>
          <w:rFonts w:hint="eastAsia"/>
          <w:kern w:val="0"/>
          <w:sz w:val="20"/>
          <w:szCs w:val="20"/>
          <w:highlight w:val="none"/>
          <w:lang w:val="en-US" w:eastAsia="zh-CN"/>
        </w:rPr>
        <w:t xml:space="preserve"> could be reused; for BW with 480kHz and 960kHz, new FRC for minimum BW 400MHz with 480kHz and 400MHz with 960kHz should be defined. </w:t>
      </w:r>
    </w:p>
    <w:p>
      <w:pPr>
        <w:numPr>
          <w:ilvl w:val="0"/>
          <w:numId w:val="0"/>
        </w:num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Proposal 1</w:t>
      </w:r>
      <w:r>
        <w:rPr>
          <w:rFonts w:hint="eastAsia"/>
          <w:kern w:val="0"/>
          <w:sz w:val="20"/>
          <w:szCs w:val="20"/>
          <w:highlight w:val="none"/>
          <w:lang w:val="en-US" w:eastAsia="zh-CN"/>
        </w:rPr>
        <w:t>: the existing PT-RS configuration in FR2 FRC could also been applied for 52.6-71GHz.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xml:space="preserve">: for BW with 120kHz SCS, the existing </w:t>
      </w:r>
      <w:r>
        <w:rPr>
          <w:rFonts w:hint="eastAsia"/>
          <w:kern w:val="0"/>
          <w:sz w:val="20"/>
          <w:szCs w:val="20"/>
          <w:highlight w:val="none"/>
          <w:lang w:val="en-US" w:eastAsia="en-GB"/>
        </w:rPr>
        <w:t>G-FR2-A1-3</w:t>
      </w:r>
      <w:r>
        <w:rPr>
          <w:rFonts w:hint="eastAsia"/>
          <w:kern w:val="0"/>
          <w:sz w:val="20"/>
          <w:szCs w:val="20"/>
          <w:highlight w:val="none"/>
          <w:lang w:val="en-US" w:eastAsia="zh-CN"/>
        </w:rPr>
        <w:t xml:space="preserve"> could be reused; for BW with 480kHz and 960kHz, new FRC for minimum BW 400MHz with 480kHz and 400MHz with 960kHz should be defined. </w:t>
      </w:r>
    </w:p>
    <w:p>
      <w:pPr>
        <w:rPr>
          <w:rFonts w:hint="default" w:eastAsia="宋体"/>
          <w:highlight w:val="none"/>
          <w:lang w:val="en-US" w:eastAsia="zh-CN"/>
        </w:rPr>
      </w:pPr>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2.2. ACS/IBB requirements</w:t>
      </w:r>
    </w:p>
    <w:p>
      <w:pPr>
        <w:rPr>
          <w:rFonts w:hint="eastAsia"/>
          <w:kern w:val="0"/>
          <w:sz w:val="20"/>
          <w:szCs w:val="20"/>
          <w:highlight w:val="none"/>
          <w:lang w:val="en-US" w:eastAsia="zh-CN"/>
        </w:rPr>
      </w:pPr>
      <w:r>
        <w:rPr>
          <w:rFonts w:hint="eastAsia"/>
          <w:kern w:val="0"/>
          <w:sz w:val="20"/>
          <w:szCs w:val="20"/>
          <w:highlight w:val="none"/>
          <w:lang w:val="en-US" w:eastAsia="zh-CN"/>
        </w:rPr>
        <w:t xml:space="preserve">In the last RAN4 meeting, </w:t>
      </w:r>
      <w:r>
        <w:rPr>
          <w:rFonts w:hint="eastAsia" w:eastAsia="宋体"/>
          <w:kern w:val="0"/>
          <w:sz w:val="20"/>
          <w:szCs w:val="20"/>
          <w:highlight w:val="none"/>
          <w:lang w:val="en-US" w:eastAsia="zh-CN"/>
        </w:rPr>
        <w:t xml:space="preserve">there were some initial discussions to further evaluate coexistence performance for 60GHz </w:t>
      </w:r>
      <w:r>
        <w:rPr>
          <w:rFonts w:hint="eastAsia"/>
          <w:kern w:val="0"/>
          <w:sz w:val="20"/>
          <w:szCs w:val="20"/>
          <w:highlight w:val="none"/>
          <w:lang w:val="en-US" w:eastAsia="zh-CN"/>
        </w:rPr>
        <w:t>or</w:t>
      </w:r>
      <w:r>
        <w:rPr>
          <w:rFonts w:hint="eastAsia" w:eastAsia="宋体"/>
          <w:kern w:val="0"/>
          <w:sz w:val="20"/>
          <w:szCs w:val="20"/>
          <w:highlight w:val="none"/>
          <w:lang w:val="en-US" w:eastAsia="zh-CN"/>
        </w:rPr>
        <w:t xml:space="preserve"> whether coexistence work in TR 38.803 can be used as reference for the coexistence study for 60GHz. </w:t>
      </w:r>
      <w:r>
        <w:rPr>
          <w:rFonts w:hint="eastAsia"/>
          <w:kern w:val="0"/>
          <w:sz w:val="20"/>
          <w:szCs w:val="20"/>
          <w:highlight w:val="none"/>
          <w:lang w:val="en-US" w:eastAsia="zh-CN"/>
        </w:rPr>
        <w:t>Based on our initial simulation results in the companion contribution [3], for indoor scenario, it seems that more stringent DL ACIR requirement are expected due to the lower output power of NR BS in the the simulation assumption, therefore we propose to discuss the simulation assumption for 52.6-71GHz in the ACLR/ACS agenda firstly.</w:t>
      </w:r>
    </w:p>
    <w:p>
      <w:pPr>
        <w:rPr>
          <w:rFonts w:hint="default"/>
          <w:kern w:val="0"/>
          <w:sz w:val="20"/>
          <w:szCs w:val="20"/>
          <w:highlight w:val="none"/>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propose to discuss the simulation assumptions for 52.6-71GHz for ACLR/ACS evaluation firstly;  </w:t>
      </w:r>
    </w:p>
    <w:p>
      <w:pPr>
        <w:rPr>
          <w:rFonts w:hint="default" w:eastAsia="宋体"/>
          <w:kern w:val="0"/>
          <w:sz w:val="20"/>
          <w:szCs w:val="20"/>
          <w:highlight w:val="none"/>
          <w:lang w:val="en-US" w:eastAsia="zh-CN"/>
        </w:rPr>
      </w:pPr>
    </w:p>
    <w:p>
      <w:pPr>
        <w:jc w:val="center"/>
        <w:rPr>
          <w:rFonts w:hint="eastAsia"/>
          <w:highlight w:val="none"/>
          <w:lang w:val="en-US" w:eastAsia="zh-CN"/>
        </w:rPr>
      </w:pPr>
      <w:r>
        <w:rPr>
          <w:rFonts w:hint="eastAsia" w:eastAsia="宋体"/>
          <w:b/>
          <w:bCs/>
          <w:kern w:val="0"/>
          <w:sz w:val="20"/>
          <w:szCs w:val="20"/>
          <w:highlight w:val="none"/>
          <w:lang w:val="en-US" w:eastAsia="zh-CN"/>
        </w:rPr>
        <w:t>Table 2. Way forward on BS ACLR and ACS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827"/>
        <w:gridCol w:w="827"/>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bottom"/>
          </w:tcPr>
          <w:p>
            <w:pPr>
              <w:pStyle w:val="32"/>
              <w:rPr>
                <w:rFonts w:hint="eastAsia"/>
                <w:i w:val="0"/>
                <w:iCs/>
                <w:highlight w:val="none"/>
                <w:lang w:val="en-US" w:eastAsia="zh-CN"/>
              </w:rPr>
            </w:pPr>
            <w:r>
              <w:rPr>
                <w:i w:val="0"/>
                <w:iCs/>
                <w:highlight w:val="none"/>
              </w:rPr>
              <w:t>BS</w:t>
            </w:r>
          </w:p>
        </w:tc>
        <w:tc>
          <w:tcPr>
            <w:tcW w:w="0" w:type="auto"/>
            <w:vAlign w:val="bottom"/>
          </w:tcPr>
          <w:p>
            <w:pPr>
              <w:pStyle w:val="32"/>
              <w:rPr>
                <w:rFonts w:hint="eastAsia"/>
                <w:i w:val="0"/>
                <w:iCs/>
                <w:highlight w:val="none"/>
                <w:lang w:val="en-US" w:eastAsia="zh-CN"/>
              </w:rPr>
            </w:pPr>
            <w:r>
              <w:rPr>
                <w:rFonts w:hint="default"/>
                <w:i w:val="0"/>
                <w:iCs/>
                <w:highlight w:val="none"/>
              </w:rPr>
              <w:t>30 GHz</w:t>
            </w:r>
          </w:p>
        </w:tc>
        <w:tc>
          <w:tcPr>
            <w:tcW w:w="0" w:type="auto"/>
            <w:vAlign w:val="bottom"/>
          </w:tcPr>
          <w:p>
            <w:pPr>
              <w:pStyle w:val="32"/>
              <w:rPr>
                <w:rFonts w:hint="eastAsia"/>
                <w:i w:val="0"/>
                <w:iCs/>
                <w:highlight w:val="none"/>
                <w:lang w:val="en-US" w:eastAsia="zh-CN"/>
              </w:rPr>
            </w:pPr>
            <w:r>
              <w:rPr>
                <w:rFonts w:hint="default"/>
                <w:i w:val="0"/>
                <w:iCs/>
                <w:highlight w:val="none"/>
              </w:rPr>
              <w:t>45 GHz</w:t>
            </w:r>
          </w:p>
        </w:tc>
        <w:tc>
          <w:tcPr>
            <w:tcW w:w="0" w:type="auto"/>
            <w:vAlign w:val="bottom"/>
          </w:tcPr>
          <w:p>
            <w:pPr>
              <w:pStyle w:val="32"/>
              <w:rPr>
                <w:rFonts w:hint="eastAsia"/>
                <w:i w:val="0"/>
                <w:iCs/>
                <w:highlight w:val="none"/>
                <w:lang w:val="en-US" w:eastAsia="zh-CN"/>
              </w:rPr>
            </w:pPr>
            <w:r>
              <w:rPr>
                <w:rFonts w:hint="default"/>
                <w:i w:val="0"/>
                <w:iCs/>
                <w:highlight w:val="none"/>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0" w:type="auto"/>
            <w:vAlign w:val="bottom"/>
          </w:tcPr>
          <w:p>
            <w:pPr>
              <w:pStyle w:val="32"/>
              <w:rPr>
                <w:rFonts w:hint="eastAsia"/>
                <w:i w:val="0"/>
                <w:iCs/>
                <w:highlight w:val="none"/>
                <w:lang w:val="en-US" w:eastAsia="zh-CN"/>
              </w:rPr>
            </w:pPr>
            <w:r>
              <w:rPr>
                <w:rFonts w:hint="default"/>
                <w:i w:val="0"/>
                <w:iCs/>
                <w:highlight w:val="none"/>
              </w:rPr>
              <w:t>ACLR</w:t>
            </w:r>
          </w:p>
        </w:tc>
        <w:tc>
          <w:tcPr>
            <w:tcW w:w="0" w:type="auto"/>
            <w:vAlign w:val="bottom"/>
          </w:tcPr>
          <w:p>
            <w:pPr>
              <w:pStyle w:val="32"/>
              <w:rPr>
                <w:rFonts w:hint="eastAsia"/>
                <w:i w:val="0"/>
                <w:iCs/>
                <w:highlight w:val="none"/>
                <w:lang w:val="en-US" w:eastAsia="zh-CN"/>
              </w:rPr>
            </w:pPr>
            <w:r>
              <w:rPr>
                <w:rFonts w:hint="default"/>
                <w:i w:val="0"/>
                <w:iCs/>
                <w:highlight w:val="none"/>
              </w:rPr>
              <w:t>27.5</w:t>
            </w:r>
          </w:p>
        </w:tc>
        <w:tc>
          <w:tcPr>
            <w:tcW w:w="0" w:type="auto"/>
            <w:vAlign w:val="bottom"/>
          </w:tcPr>
          <w:p>
            <w:pPr>
              <w:pStyle w:val="32"/>
              <w:rPr>
                <w:rFonts w:hint="eastAsia"/>
                <w:i w:val="0"/>
                <w:iCs/>
                <w:highlight w:val="none"/>
                <w:lang w:val="en-US" w:eastAsia="zh-CN"/>
              </w:rPr>
            </w:pPr>
            <w:r>
              <w:rPr>
                <w:rFonts w:hint="default"/>
                <w:i w:val="0"/>
                <w:iCs/>
                <w:highlight w:val="none"/>
              </w:rPr>
              <w:t>25.5</w:t>
            </w:r>
          </w:p>
        </w:tc>
        <w:tc>
          <w:tcPr>
            <w:tcW w:w="0" w:type="auto"/>
            <w:vAlign w:val="bottom"/>
          </w:tcPr>
          <w:p>
            <w:pPr>
              <w:pStyle w:val="32"/>
              <w:rPr>
                <w:rFonts w:hint="eastAsia"/>
                <w:i w:val="0"/>
                <w:iCs/>
                <w:highlight w:val="none"/>
                <w:lang w:val="en-US" w:eastAsia="zh-CN"/>
              </w:rPr>
            </w:pPr>
            <w:r>
              <w:rPr>
                <w:rFonts w:hint="default"/>
                <w:i w:val="0"/>
                <w:iCs/>
                <w:highlight w:val="none"/>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bottom"/>
          </w:tcPr>
          <w:p>
            <w:pPr>
              <w:pStyle w:val="32"/>
              <w:rPr>
                <w:rFonts w:hint="eastAsia"/>
                <w:i w:val="0"/>
                <w:iCs/>
                <w:highlight w:val="none"/>
                <w:lang w:val="en-US" w:eastAsia="zh-CN"/>
              </w:rPr>
            </w:pPr>
            <w:r>
              <w:rPr>
                <w:rFonts w:hint="default"/>
                <w:i w:val="0"/>
                <w:iCs/>
                <w:highlight w:val="none"/>
              </w:rPr>
              <w:t>ACS</w:t>
            </w:r>
          </w:p>
        </w:tc>
        <w:tc>
          <w:tcPr>
            <w:tcW w:w="0" w:type="auto"/>
            <w:vAlign w:val="bottom"/>
          </w:tcPr>
          <w:p>
            <w:pPr>
              <w:pStyle w:val="32"/>
              <w:rPr>
                <w:rFonts w:hint="eastAsia"/>
                <w:i w:val="0"/>
                <w:iCs/>
                <w:highlight w:val="none"/>
                <w:lang w:val="en-US" w:eastAsia="zh-CN"/>
              </w:rPr>
            </w:pPr>
            <w:r>
              <w:rPr>
                <w:rFonts w:hint="default"/>
                <w:i w:val="0"/>
                <w:iCs/>
                <w:highlight w:val="none"/>
              </w:rPr>
              <w:t>23.5</w:t>
            </w:r>
          </w:p>
        </w:tc>
        <w:tc>
          <w:tcPr>
            <w:tcW w:w="0" w:type="auto"/>
            <w:vAlign w:val="bottom"/>
          </w:tcPr>
          <w:p>
            <w:pPr>
              <w:pStyle w:val="32"/>
              <w:rPr>
                <w:rFonts w:hint="eastAsia"/>
                <w:i w:val="0"/>
                <w:iCs/>
                <w:highlight w:val="none"/>
                <w:lang w:val="en-US" w:eastAsia="zh-CN"/>
              </w:rPr>
            </w:pPr>
            <w:r>
              <w:rPr>
                <w:rFonts w:hint="default"/>
                <w:i w:val="0"/>
                <w:iCs/>
                <w:highlight w:val="none"/>
              </w:rPr>
              <w:t>22.5</w:t>
            </w:r>
          </w:p>
        </w:tc>
        <w:tc>
          <w:tcPr>
            <w:tcW w:w="0" w:type="auto"/>
            <w:vAlign w:val="bottom"/>
          </w:tcPr>
          <w:p>
            <w:pPr>
              <w:pStyle w:val="32"/>
              <w:rPr>
                <w:rFonts w:hint="eastAsia"/>
                <w:i w:val="0"/>
                <w:iCs/>
                <w:highlight w:val="none"/>
                <w:lang w:val="en-US" w:eastAsia="zh-CN"/>
              </w:rPr>
            </w:pPr>
            <w:r>
              <w:rPr>
                <w:rFonts w:hint="default"/>
                <w:i w:val="0"/>
                <w:iCs/>
                <w:highlight w:val="none"/>
              </w:rPr>
              <w:t>21.5</w:t>
            </w:r>
          </w:p>
        </w:tc>
      </w:tr>
    </w:tbl>
    <w:p>
      <w:pPr>
        <w:rPr>
          <w:rFonts w:hint="eastAsia"/>
          <w:b/>
          <w:bCs/>
          <w:kern w:val="0"/>
          <w:sz w:val="20"/>
          <w:szCs w:val="20"/>
          <w:highlight w:val="none"/>
          <w:lang w:val="en-US" w:eastAsia="zh-CN"/>
        </w:rPr>
      </w:pPr>
      <w:r>
        <w:rPr>
          <w:rFonts w:hint="eastAsia"/>
          <w:kern w:val="0"/>
          <w:sz w:val="20"/>
          <w:szCs w:val="20"/>
          <w:highlight w:val="none"/>
          <w:lang w:val="en-US" w:eastAsia="zh-CN"/>
        </w:rPr>
        <w:t xml:space="preserve">In addition, for interfering signal of ACS requirement and IBB requirements, it should be updated as 100MHz instead of 50MHz since it was agreed that minimum channel bandwidth for this frequency range is 100MHz already. </w:t>
      </w:r>
    </w:p>
    <w:p>
      <w:pPr>
        <w:pStyle w:val="42"/>
        <w:rPr>
          <w:rFonts w:hint="default" w:eastAsia="宋体"/>
          <w:highlight w:val="none"/>
          <w:lang w:val="en-US" w:eastAsia="zh-CN"/>
        </w:rPr>
      </w:pPr>
      <w:r>
        <w:rPr>
          <w:highlight w:val="none"/>
        </w:rPr>
        <w:t xml:space="preserve">Table </w:t>
      </w:r>
      <w:r>
        <w:rPr>
          <w:rFonts w:eastAsia="宋体"/>
          <w:highlight w:val="none"/>
          <w:lang w:eastAsia="zh-CN"/>
        </w:rPr>
        <w:t>10.5.1.3</w:t>
      </w:r>
      <w:r>
        <w:rPr>
          <w:highlight w:val="none"/>
        </w:rPr>
        <w:t>-</w:t>
      </w:r>
      <w:r>
        <w:rPr>
          <w:rFonts w:eastAsia="宋体"/>
          <w:highlight w:val="none"/>
          <w:lang w:eastAsia="zh-CN"/>
        </w:rPr>
        <w:t>1</w:t>
      </w:r>
      <w:r>
        <w:rPr>
          <w:highlight w:val="none"/>
        </w:rPr>
        <w:t>: OTA A</w:t>
      </w:r>
      <w:r>
        <w:rPr>
          <w:rFonts w:eastAsia="宋体"/>
          <w:highlight w:val="none"/>
          <w:lang w:eastAsia="zh-CN"/>
        </w:rPr>
        <w:t xml:space="preserve">CS requirement for </w:t>
      </w:r>
      <w:r>
        <w:rPr>
          <w:rFonts w:hint="eastAsia" w:eastAsia="宋体"/>
          <w:i/>
          <w:highlight w:val="none"/>
          <w:lang w:val="en-US" w:eastAsia="zh-CN"/>
        </w:rPr>
        <w:t>60GHz</w:t>
      </w:r>
    </w:p>
    <w:tbl>
      <w:tblPr>
        <w:tblStyle w:val="21"/>
        <w:tblW w:w="7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highlight w:val="none"/>
              </w:rPr>
              <w:t>Wanted signal mean power (dBm)</w:t>
            </w:r>
          </w:p>
          <w:p>
            <w:pPr>
              <w:pStyle w:val="32"/>
              <w:tabs>
                <w:tab w:val="left" w:pos="540"/>
                <w:tab w:val="left" w:pos="1260"/>
                <w:tab w:val="left" w:pos="1800"/>
              </w:tabs>
              <w:rPr>
                <w:highlight w:val="none"/>
                <w:lang w:eastAsia="ja-JP"/>
              </w:rPr>
            </w:pPr>
          </w:p>
        </w:tc>
        <w:tc>
          <w:tcPr>
            <w:tcW w:w="328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rFonts w:cs="Arial"/>
                <w:highlight w:val="none"/>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vAlign w:val="center"/>
          </w:tcPr>
          <w:p>
            <w:pPr>
              <w:pStyle w:val="33"/>
              <w:tabs>
                <w:tab w:val="left" w:pos="540"/>
                <w:tab w:val="left" w:pos="1260"/>
                <w:tab w:val="left" w:pos="1800"/>
              </w:tabs>
              <w:rPr>
                <w:rFonts w:hint="default" w:eastAsia="宋体"/>
                <w:highlight w:val="none"/>
                <w:lang w:val="en-US" w:eastAsia="zh-CN"/>
              </w:rPr>
            </w:pPr>
            <w:r>
              <w:rPr>
                <w:highlight w:val="none"/>
              </w:rPr>
              <w:t>100, 200, 400</w:t>
            </w:r>
            <w:r>
              <w:rPr>
                <w:rFonts w:hint="eastAsia" w:eastAsia="宋体"/>
                <w:highlight w:val="none"/>
                <w:lang w:val="en-US" w:eastAsia="zh-CN"/>
              </w:rPr>
              <w:t>,800,1200,1600,2000</w:t>
            </w:r>
          </w:p>
        </w:tc>
        <w:tc>
          <w:tcPr>
            <w:tcW w:w="1792" w:type="dxa"/>
            <w:tcBorders>
              <w:top w:val="single" w:color="auto" w:sz="4" w:space="0"/>
              <w:left w:val="single" w:color="auto" w:sz="4" w:space="0"/>
              <w:bottom w:val="single" w:color="auto" w:sz="4" w:space="0"/>
              <w:right w:val="single" w:color="auto" w:sz="4" w:space="0"/>
            </w:tcBorders>
            <w:vAlign w:val="center"/>
          </w:tcPr>
          <w:p>
            <w:pPr>
              <w:pStyle w:val="33"/>
              <w:tabs>
                <w:tab w:val="left" w:pos="540"/>
                <w:tab w:val="left" w:pos="1260"/>
                <w:tab w:val="left" w:pos="1800"/>
              </w:tabs>
              <w:rPr>
                <w:highlight w:val="none"/>
                <w:lang w:eastAsia="ja-JP"/>
              </w:rPr>
            </w:pPr>
            <w:r>
              <w:rPr>
                <w:rFonts w:cs="Arial"/>
                <w:highlight w:val="none"/>
              </w:rPr>
              <w:t>EIS</w:t>
            </w:r>
            <w:r>
              <w:rPr>
                <w:rFonts w:cs="Arial"/>
                <w:highlight w:val="none"/>
                <w:vertAlign w:val="subscript"/>
              </w:rPr>
              <w:t>REFSENS</w:t>
            </w:r>
            <w:r>
              <w:rPr>
                <w:highlight w:val="none"/>
              </w:rPr>
              <w:t xml:space="preserve"> + 6 dB </w:t>
            </w:r>
          </w:p>
        </w:tc>
        <w:tc>
          <w:tcPr>
            <w:tcW w:w="328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eastAsia="zh-CN"/>
              </w:rPr>
            </w:pPr>
            <w:r>
              <w:rPr>
                <w:rFonts w:cs="Arial"/>
                <w:highlight w:val="none"/>
              </w:rPr>
              <w:t>EIS</w:t>
            </w:r>
            <w:r>
              <w:rPr>
                <w:rFonts w:cs="Arial"/>
                <w:highlight w:val="none"/>
                <w:vertAlign w:val="subscript"/>
              </w:rPr>
              <w:t>REFSENS_50M</w:t>
            </w:r>
            <w:r>
              <w:rPr>
                <w:rFonts w:eastAsia="宋体"/>
                <w:highlight w:val="none"/>
                <w:lang w:eastAsia="zh-CN"/>
              </w:rPr>
              <w:t xml:space="preserve"> + 2</w:t>
            </w:r>
            <w:r>
              <w:rPr>
                <w:rFonts w:hint="eastAsia" w:eastAsia="宋体"/>
                <w:highlight w:val="none"/>
                <w:lang w:val="en-US" w:eastAsia="zh-CN"/>
              </w:rPr>
              <w:t>5</w:t>
            </w:r>
            <w:r>
              <w:rPr>
                <w:rFonts w:eastAsia="宋体"/>
                <w:highlight w:val="none"/>
                <w:lang w:eastAsia="zh-CN"/>
              </w:rPr>
              <w:t xml:space="preserve">.7 </w:t>
            </w:r>
            <w:r>
              <w:rPr>
                <w:rFonts w:cs="Arial"/>
                <w:highlight w:val="none"/>
              </w:rPr>
              <w:t xml:space="preserve">+ </w:t>
            </w:r>
            <w:r>
              <w:rPr>
                <w:highlight w:val="none"/>
              </w:rPr>
              <w:t>Δ</w:t>
            </w:r>
            <w:r>
              <w:rPr>
                <w:highlight w:val="none"/>
                <w:vertAlign w:val="subscript"/>
              </w:rPr>
              <w:t>FR2_REFSENS</w:t>
            </w:r>
            <w:r>
              <w:rPr>
                <w:rFonts w:eastAsia="宋体"/>
                <w:highlight w:val="non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029" w:type="dxa"/>
            <w:gridSpan w:val="3"/>
            <w:tcBorders>
              <w:top w:val="single" w:color="auto" w:sz="4" w:space="0"/>
              <w:left w:val="single" w:color="auto" w:sz="4" w:space="0"/>
              <w:bottom w:val="single" w:color="auto" w:sz="4" w:space="0"/>
              <w:right w:val="single" w:color="auto" w:sz="4" w:space="0"/>
            </w:tcBorders>
          </w:tcPr>
          <w:p>
            <w:pPr>
              <w:pStyle w:val="46"/>
              <w:rPr>
                <w:rFonts w:cs="Arial"/>
                <w:highlight w:val="none"/>
              </w:rPr>
            </w:pPr>
            <w:r>
              <w:rPr>
                <w:rFonts w:eastAsia="宋体"/>
                <w:highlight w:val="none"/>
                <w:lang w:eastAsia="zh-CN"/>
              </w:rPr>
              <w:t>NOTE 3:</w:t>
            </w:r>
            <w:r>
              <w:rPr>
                <w:rFonts w:eastAsia="宋体"/>
                <w:highlight w:val="none"/>
                <w:lang w:eastAsia="zh-CN"/>
              </w:rPr>
              <w:tab/>
            </w:r>
            <w:r>
              <w:rPr>
                <w:highlight w:val="none"/>
              </w:rPr>
              <w:t>EIS</w:t>
            </w:r>
            <w:r>
              <w:rPr>
                <w:highlight w:val="none"/>
                <w:vertAlign w:val="subscript"/>
              </w:rPr>
              <w:t>REFSENS</w:t>
            </w:r>
            <w:r>
              <w:rPr>
                <w:highlight w:val="none"/>
              </w:rPr>
              <w:t xml:space="preserve"> is given in clause 10.3.3</w:t>
            </w:r>
          </w:p>
        </w:tc>
      </w:tr>
    </w:tbl>
    <w:p>
      <w:pPr>
        <w:rPr>
          <w:highlight w:val="none"/>
        </w:rPr>
      </w:pPr>
    </w:p>
    <w:p>
      <w:pPr>
        <w:pStyle w:val="42"/>
        <w:rPr>
          <w:rFonts w:hint="default" w:eastAsia="宋体"/>
          <w:highlight w:val="none"/>
          <w:lang w:val="en-US" w:eastAsia="zh-CN"/>
        </w:rPr>
      </w:pPr>
      <w:r>
        <w:rPr>
          <w:highlight w:val="none"/>
        </w:rPr>
        <w:t xml:space="preserve">Table </w:t>
      </w:r>
      <w:r>
        <w:rPr>
          <w:rFonts w:eastAsia="宋体"/>
          <w:highlight w:val="none"/>
          <w:lang w:eastAsia="zh-CN"/>
        </w:rPr>
        <w:t>10.5.1.3</w:t>
      </w:r>
      <w:r>
        <w:rPr>
          <w:highlight w:val="none"/>
        </w:rPr>
        <w:t>-</w:t>
      </w:r>
      <w:r>
        <w:rPr>
          <w:rFonts w:eastAsia="宋体"/>
          <w:highlight w:val="none"/>
          <w:lang w:eastAsia="zh-CN"/>
        </w:rPr>
        <w:t>2</w:t>
      </w:r>
      <w:r>
        <w:rPr>
          <w:highlight w:val="none"/>
        </w:rPr>
        <w:t>: OTA A</w:t>
      </w:r>
      <w:r>
        <w:rPr>
          <w:rFonts w:eastAsia="宋体"/>
          <w:highlight w:val="none"/>
          <w:lang w:eastAsia="zh-CN"/>
        </w:rPr>
        <w:t xml:space="preserve">CS interferer frequency offset for </w:t>
      </w:r>
      <w:r>
        <w:rPr>
          <w:rFonts w:hint="eastAsia" w:eastAsia="宋体"/>
          <w:i/>
          <w:highlight w:val="none"/>
          <w:lang w:val="en-US" w:eastAsia="zh-CN"/>
        </w:rPr>
        <w:t>60GHz</w:t>
      </w:r>
    </w:p>
    <w:tbl>
      <w:tblPr>
        <w:tblStyle w:val="21"/>
        <w:tblW w:w="7182"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pStyle w:val="32"/>
              <w:rPr>
                <w:rFonts w:eastAsia="宋体"/>
                <w:highlight w:val="none"/>
                <w:lang w:eastAsia="zh-CN"/>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2646" w:type="dxa"/>
            <w:shd w:val="clear" w:color="auto" w:fill="auto"/>
          </w:tcPr>
          <w:p>
            <w:pPr>
              <w:pStyle w:val="32"/>
              <w:rPr>
                <w:rFonts w:eastAsia="宋体"/>
                <w:highlight w:val="none"/>
                <w:lang w:eastAsia="zh-CN"/>
              </w:rPr>
            </w:pPr>
            <w:r>
              <w:rPr>
                <w:highlight w:val="none"/>
              </w:rPr>
              <w:t xml:space="preserve">Interfering signal centre frequency offset </w:t>
            </w:r>
            <w:r>
              <w:rPr>
                <w:rFonts w:cs="Arial"/>
                <w:highlight w:val="none"/>
              </w:rPr>
              <w:t xml:space="preserve">from the lower/upper </w:t>
            </w:r>
            <w:r>
              <w:rPr>
                <w:rFonts w:cs="Arial"/>
                <w:i/>
                <w:highlight w:val="none"/>
              </w:rPr>
              <w:t>Base Station RF Bandwidth</w:t>
            </w:r>
            <w:r>
              <w:rPr>
                <w:rFonts w:cs="Arial"/>
                <w:highlight w:val="none"/>
              </w:rPr>
              <w:t xml:space="preserve"> </w:t>
            </w:r>
            <w:r>
              <w:rPr>
                <w:rFonts w:cs="Arial"/>
                <w:i/>
                <w:highlight w:val="none"/>
              </w:rPr>
              <w:t>edge</w:t>
            </w:r>
            <w:r>
              <w:rPr>
                <w:rFonts w:cs="Arial"/>
                <w:highlight w:val="none"/>
              </w:rPr>
              <w:t xml:space="preserve"> or sub</w:t>
            </w:r>
            <w:r>
              <w:rPr>
                <w:rFonts w:cs="Arial"/>
                <w:i/>
                <w:highlight w:val="none"/>
              </w:rPr>
              <w:t>-block edge</w:t>
            </w:r>
            <w:r>
              <w:rPr>
                <w:rFonts w:cs="Arial"/>
                <w:highlight w:val="none"/>
              </w:rPr>
              <w:t xml:space="preserve"> inside a </w:t>
            </w:r>
            <w:r>
              <w:rPr>
                <w:rFonts w:cs="Arial"/>
                <w:i/>
                <w:highlight w:val="none"/>
              </w:rPr>
              <w:t>sub-block gap</w:t>
            </w:r>
            <w:r>
              <w:rPr>
                <w:highlight w:val="none"/>
              </w:rPr>
              <w:t xml:space="preserve"> (MHz)</w:t>
            </w:r>
          </w:p>
        </w:tc>
        <w:tc>
          <w:tcPr>
            <w:tcW w:w="2835" w:type="dxa"/>
            <w:shd w:val="clear" w:color="auto" w:fill="auto"/>
          </w:tcPr>
          <w:p>
            <w:pPr>
              <w:pStyle w:val="32"/>
              <w:rPr>
                <w:rFonts w:eastAsia="宋体"/>
                <w:highlight w:val="none"/>
                <w:lang w:eastAsia="zh-CN"/>
              </w:rPr>
            </w:pPr>
            <w:r>
              <w:rPr>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100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restart"/>
            <w:tcBorders>
              <w:top w:val="single" w:color="auto" w:sz="4" w:space="0"/>
              <w:left w:val="single" w:color="auto" w:sz="4" w:space="0"/>
              <w:right w:val="single" w:color="auto" w:sz="4" w:space="0"/>
            </w:tcBorders>
            <w:shd w:val="clear" w:color="auto" w:fill="auto"/>
            <w:vAlign w:val="center"/>
          </w:tcPr>
          <w:p>
            <w:pPr>
              <w:pStyle w:val="33"/>
              <w:tabs>
                <w:tab w:val="left" w:pos="540"/>
                <w:tab w:val="left" w:pos="1260"/>
                <w:tab w:val="left" w:pos="1800"/>
              </w:tabs>
              <w:rPr>
                <w:rFonts w:eastAsia="宋体"/>
                <w:highlight w:val="none"/>
                <w:lang w:eastAsia="zh-CN"/>
              </w:rPr>
            </w:pPr>
            <w:r>
              <w:rPr>
                <w:rFonts w:hint="eastAsia" w:eastAsia="宋体"/>
                <w:highlight w:val="none"/>
                <w:lang w:val="en-US" w:eastAsia="zh-CN"/>
              </w:rPr>
              <w:t>10</w:t>
            </w:r>
            <w:r>
              <w:rPr>
                <w:rFonts w:eastAsia="宋体"/>
                <w:highlight w:val="none"/>
                <w:lang w:eastAsia="zh-CN"/>
              </w:rPr>
              <w:t>0</w:t>
            </w:r>
            <w:r>
              <w:rPr>
                <w:rFonts w:eastAsia="宋体"/>
                <w:highlight w:val="none"/>
                <w:lang w:val="en-US" w:eastAsia="zh-CN"/>
              </w:rPr>
              <w:t> </w:t>
            </w:r>
            <w:r>
              <w:rPr>
                <w:rFonts w:eastAsia="宋体"/>
                <w:highlight w:val="none"/>
                <w:lang w:eastAsia="zh-CN"/>
              </w:rPr>
              <w:t>MHz DFT-s-OFDM NR signal,</w:t>
            </w:r>
            <w:r>
              <w:rPr>
                <w:rFonts w:hint="eastAsia" w:eastAsia="宋体"/>
                <w:highlight w:val="none"/>
                <w:lang w:val="en-US" w:eastAsia="zh-CN"/>
              </w:rPr>
              <w:t>120</w:t>
            </w:r>
            <w:r>
              <w:rPr>
                <w:rFonts w:eastAsia="宋体"/>
                <w:highlight w:val="none"/>
                <w:lang w:eastAsia="zh-CN"/>
              </w:rPr>
              <w:t xml:space="preserve"> kHz SCS, 6</w:t>
            </w:r>
            <w:r>
              <w:rPr>
                <w:rFonts w:hint="eastAsia" w:eastAsia="宋体"/>
                <w:highlight w:val="none"/>
                <w:lang w:val="en-US" w:eastAsia="zh-CN"/>
              </w:rPr>
              <w:t>4</w:t>
            </w:r>
            <w:r>
              <w:rPr>
                <w:rFonts w:eastAsia="宋体"/>
                <w:highlight w:val="none"/>
                <w:lang w:eastAsia="zh-CN"/>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400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800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1200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49.38</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1600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2000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bl>
    <w:p>
      <w:pPr>
        <w:pBdr>
          <w:top w:val="none" w:color="auto" w:sz="0" w:space="0"/>
          <w:left w:val="none" w:color="auto" w:sz="0" w:space="0"/>
          <w:bottom w:val="none" w:color="auto" w:sz="0" w:space="0"/>
          <w:right w:val="none" w:color="auto" w:sz="0" w:space="0"/>
          <w:between w:val="none" w:color="auto" w:sz="0" w:space="0"/>
        </w:pBdr>
        <w:rPr>
          <w:rFonts w:hint="eastAsia"/>
          <w:b w:val="0"/>
          <w:bCs w:val="0"/>
          <w:kern w:val="0"/>
          <w:sz w:val="20"/>
          <w:szCs w:val="20"/>
          <w:highlight w:val="none"/>
          <w:lang w:val="en-US" w:eastAsia="zh-CN"/>
        </w:rPr>
      </w:pPr>
    </w:p>
    <w:p>
      <w:pPr>
        <w:rPr>
          <w:rFonts w:hint="default"/>
          <w:kern w:val="0"/>
          <w:sz w:val="20"/>
          <w:szCs w:val="20"/>
          <w:highlight w:val="none"/>
          <w:lang w:val="en-US" w:eastAsia="zh-CN"/>
        </w:rPr>
      </w:pPr>
      <w:r>
        <w:rPr>
          <w:rFonts w:hint="eastAsia"/>
          <w:kern w:val="0"/>
          <w:sz w:val="20"/>
          <w:szCs w:val="20"/>
          <w:highlight w:val="none"/>
          <w:lang w:val="en-US" w:eastAsia="zh-CN"/>
        </w:rPr>
        <w:t>For IBB requirements, typically 33dB offset from reference sensitivity used for interfering signal needed to be checked again based on the agreeable simulation assumption since the simulation assumption for FR2 coexistence study in Rel-15 is different from what has been proposed in last meeting [6].</w:t>
      </w:r>
    </w:p>
    <w:p>
      <w:pPr>
        <w:rPr>
          <w:rFonts w:hint="default"/>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a 33dB offset from the reference sensitivity used for interfering signal of IBB needed to be checked again based on the agreeable simulation assumption for 52.6-71GHz</w:t>
      </w:r>
    </w:p>
    <w:p>
      <w:pPr>
        <w:pStyle w:val="42"/>
        <w:rPr>
          <w:rFonts w:hint="default" w:eastAsia="宋体"/>
          <w:highlight w:val="none"/>
          <w:lang w:val="en-US" w:eastAsia="zh-CN"/>
        </w:rPr>
      </w:pPr>
      <w:r>
        <w:rPr>
          <w:highlight w:val="none"/>
        </w:rPr>
        <w:t xml:space="preserve">Table </w:t>
      </w:r>
      <w:r>
        <w:rPr>
          <w:rFonts w:eastAsia="宋体"/>
          <w:highlight w:val="none"/>
          <w:lang w:eastAsia="zh-CN"/>
        </w:rPr>
        <w:t>10.5.2.3</w:t>
      </w:r>
      <w:r>
        <w:rPr>
          <w:highlight w:val="none"/>
        </w:rPr>
        <w:t>-</w:t>
      </w:r>
      <w:r>
        <w:rPr>
          <w:rFonts w:eastAsia="宋体"/>
          <w:highlight w:val="none"/>
          <w:lang w:eastAsia="zh-CN"/>
        </w:rPr>
        <w:t>1</w:t>
      </w:r>
      <w:r>
        <w:rPr>
          <w:highlight w:val="none"/>
        </w:rPr>
        <w:t xml:space="preserve">: General OTA blocking requirement for </w:t>
      </w:r>
      <w:r>
        <w:rPr>
          <w:rFonts w:hint="eastAsia"/>
          <w:i/>
          <w:highlight w:val="none"/>
          <w:lang w:val="en-US" w:eastAsia="zh-CN"/>
        </w:rPr>
        <w:t>60GHz</w:t>
      </w:r>
    </w:p>
    <w:tbl>
      <w:tblPr>
        <w:tblStyle w:val="2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1768"/>
        <w:gridCol w:w="1962"/>
        <w:gridCol w:w="1749"/>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1"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176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highlight w:val="none"/>
              </w:rPr>
              <w:t>OTA wanted signal mean power (dBm)</w:t>
            </w:r>
          </w:p>
        </w:tc>
        <w:tc>
          <w:tcPr>
            <w:tcW w:w="196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rFonts w:cs="Arial"/>
                <w:highlight w:val="none"/>
              </w:rPr>
              <w:t>OTA interfering signal mean power (dBm)</w:t>
            </w:r>
          </w:p>
        </w:tc>
        <w:tc>
          <w:tcPr>
            <w:tcW w:w="174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highlight w:val="none"/>
              </w:rPr>
              <w:t>OTA interfering signal centre frequency offset</w:t>
            </w:r>
          </w:p>
          <w:p>
            <w:pPr>
              <w:pStyle w:val="32"/>
              <w:tabs>
                <w:tab w:val="left" w:pos="540"/>
                <w:tab w:val="left" w:pos="1260"/>
                <w:tab w:val="left" w:pos="1800"/>
              </w:tabs>
              <w:rPr>
                <w:highlight w:val="none"/>
                <w:lang w:eastAsia="ja-JP"/>
              </w:rPr>
            </w:pPr>
            <w:r>
              <w:rPr>
                <w:rFonts w:cs="Arial"/>
                <w:highlight w:val="none"/>
              </w:rPr>
              <w:t xml:space="preserve">from the lower/upper </w:t>
            </w:r>
            <w:r>
              <w:rPr>
                <w:rFonts w:cs="Arial"/>
                <w:i/>
                <w:highlight w:val="none"/>
              </w:rPr>
              <w:t>Base Station RF Bandwidth</w:t>
            </w:r>
            <w:r>
              <w:rPr>
                <w:rFonts w:cs="Arial"/>
                <w:highlight w:val="none"/>
              </w:rPr>
              <w:t xml:space="preserve"> edge or </w:t>
            </w:r>
            <w:r>
              <w:rPr>
                <w:rFonts w:cs="Arial"/>
                <w:i/>
                <w:highlight w:val="none"/>
              </w:rPr>
              <w:t>sub-block</w:t>
            </w:r>
            <w:r>
              <w:rPr>
                <w:rFonts w:cs="Arial"/>
                <w:highlight w:val="none"/>
              </w:rPr>
              <w:t xml:space="preserve"> edge inside a </w:t>
            </w:r>
            <w:r>
              <w:rPr>
                <w:rFonts w:cs="Arial"/>
                <w:i/>
                <w:highlight w:val="none"/>
              </w:rPr>
              <w:t>sub-block gap</w:t>
            </w:r>
            <w:r>
              <w:rPr>
                <w:highlight w:val="none"/>
              </w:rPr>
              <w:t xml:space="preserve"> (MHz)</w:t>
            </w:r>
          </w:p>
        </w:tc>
        <w:tc>
          <w:tcPr>
            <w:tcW w:w="221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highlight w:val="none"/>
              </w:rPr>
              <w:t>Type of OTA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1"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eastAsia="zh-CN"/>
              </w:rPr>
            </w:pPr>
            <w:r>
              <w:rPr>
                <w:highlight w:val="none"/>
              </w:rPr>
              <w:t>100, 200, 400</w:t>
            </w:r>
            <w:r>
              <w:rPr>
                <w:rFonts w:hint="eastAsia" w:eastAsia="宋体"/>
                <w:highlight w:val="none"/>
                <w:lang w:val="en-US" w:eastAsia="zh-CN"/>
              </w:rPr>
              <w:t>,800,1200,1600,2000</w:t>
            </w:r>
          </w:p>
        </w:tc>
        <w:tc>
          <w:tcPr>
            <w:tcW w:w="1768"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highlight w:val="none"/>
                <w:lang w:eastAsia="ja-JP"/>
              </w:rPr>
            </w:pPr>
            <w:r>
              <w:rPr>
                <w:rFonts w:cs="Arial"/>
                <w:highlight w:val="none"/>
              </w:rPr>
              <w:t>EIS</w:t>
            </w:r>
            <w:r>
              <w:rPr>
                <w:rFonts w:cs="Arial"/>
                <w:highlight w:val="none"/>
                <w:vertAlign w:val="subscript"/>
              </w:rPr>
              <w:t>REFSENS</w:t>
            </w:r>
            <w:r>
              <w:rPr>
                <w:highlight w:val="none"/>
              </w:rPr>
              <w:t xml:space="preserve"> + 6 dB</w:t>
            </w:r>
          </w:p>
        </w:tc>
        <w:tc>
          <w:tcPr>
            <w:tcW w:w="1962"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val="sv-SE" w:eastAsia="zh-CN"/>
              </w:rPr>
            </w:pPr>
            <w:r>
              <w:rPr>
                <w:rFonts w:cs="Arial"/>
                <w:highlight w:val="none"/>
                <w:lang w:val="sv-SE"/>
              </w:rPr>
              <w:t>EIS</w:t>
            </w:r>
            <w:r>
              <w:rPr>
                <w:rFonts w:cs="Arial"/>
                <w:highlight w:val="none"/>
                <w:vertAlign w:val="subscript"/>
                <w:lang w:val="sv-SE"/>
              </w:rPr>
              <w:t>REFSENS_50M</w:t>
            </w:r>
            <w:r>
              <w:rPr>
                <w:highlight w:val="none"/>
                <w:lang w:val="sv-SE"/>
              </w:rPr>
              <w:t xml:space="preserve"> + </w:t>
            </w:r>
            <w:r>
              <w:rPr>
                <w:rFonts w:hint="eastAsia" w:eastAsia="宋体"/>
                <w:highlight w:val="none"/>
                <w:lang w:val="en-US" w:eastAsia="zh-CN"/>
              </w:rPr>
              <w:t>[</w:t>
            </w:r>
            <w:r>
              <w:rPr>
                <w:highlight w:val="none"/>
                <w:lang w:val="sv-SE"/>
              </w:rPr>
              <w:t>33</w:t>
            </w:r>
            <w:r>
              <w:rPr>
                <w:rFonts w:hint="eastAsia" w:eastAsia="宋体"/>
                <w:highlight w:val="none"/>
                <w:lang w:val="en-US" w:eastAsia="zh-CN"/>
              </w:rPr>
              <w:t>]</w:t>
            </w:r>
            <w:r>
              <w:rPr>
                <w:highlight w:val="none"/>
                <w:lang w:val="sv-SE"/>
              </w:rPr>
              <w:t xml:space="preserve"> </w:t>
            </w:r>
            <w:r>
              <w:rPr>
                <w:rFonts w:cs="Arial"/>
                <w:highlight w:val="none"/>
                <w:lang w:val="sv-SE"/>
              </w:rPr>
              <w:t xml:space="preserve">+ </w:t>
            </w:r>
            <w:r>
              <w:rPr>
                <w:highlight w:val="none"/>
              </w:rPr>
              <w:t>Δ</w:t>
            </w:r>
            <w:r>
              <w:rPr>
                <w:highlight w:val="none"/>
                <w:vertAlign w:val="subscript"/>
                <w:lang w:val="sv-SE"/>
              </w:rPr>
              <w:t>FR2_REFSENS</w:t>
            </w:r>
          </w:p>
        </w:tc>
        <w:tc>
          <w:tcPr>
            <w:tcW w:w="174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eastAsia="zh-CN"/>
              </w:rPr>
            </w:pPr>
            <w:r>
              <w:rPr>
                <w:rFonts w:cs="Arial"/>
                <w:highlight w:val="none"/>
              </w:rPr>
              <w:t>±</w:t>
            </w:r>
            <w:r>
              <w:rPr>
                <w:highlight w:val="none"/>
              </w:rPr>
              <w:t>75</w:t>
            </w:r>
          </w:p>
        </w:tc>
        <w:tc>
          <w:tcPr>
            <w:tcW w:w="221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highlight w:val="none"/>
              </w:rPr>
            </w:pPr>
            <w:r>
              <w:rPr>
                <w:rFonts w:hint="eastAsia" w:eastAsia="宋体"/>
                <w:highlight w:val="none"/>
                <w:lang w:val="en-US" w:eastAsia="zh-CN"/>
              </w:rPr>
              <w:t>10</w:t>
            </w:r>
            <w:r>
              <w:rPr>
                <w:highlight w:val="none"/>
              </w:rPr>
              <w:t xml:space="preserve">0 MHz </w:t>
            </w:r>
            <w:r>
              <w:rPr>
                <w:highlight w:val="none"/>
                <w:lang w:val="en-US"/>
              </w:rPr>
              <w:t xml:space="preserve">DFT-s-OFDM </w:t>
            </w:r>
            <w:r>
              <w:rPr>
                <w:rFonts w:eastAsia="宋体"/>
                <w:highlight w:val="none"/>
                <w:lang w:eastAsia="zh-CN"/>
              </w:rPr>
              <w:t>NR</w:t>
            </w:r>
            <w:r>
              <w:rPr>
                <w:highlight w:val="none"/>
              </w:rPr>
              <w:t xml:space="preserve"> signal,</w:t>
            </w:r>
          </w:p>
          <w:p>
            <w:pPr>
              <w:pStyle w:val="33"/>
              <w:tabs>
                <w:tab w:val="left" w:pos="540"/>
                <w:tab w:val="left" w:pos="1260"/>
                <w:tab w:val="left" w:pos="1800"/>
              </w:tabs>
              <w:rPr>
                <w:highlight w:val="none"/>
                <w:lang w:eastAsia="ja-JP"/>
              </w:rPr>
            </w:pPr>
            <w:r>
              <w:rPr>
                <w:rFonts w:hint="eastAsia" w:eastAsia="宋体"/>
                <w:highlight w:val="none"/>
                <w:lang w:val="en-US" w:eastAsia="zh-CN"/>
              </w:rPr>
              <w:t>12</w:t>
            </w:r>
            <w:r>
              <w:rPr>
                <w:highlight w:val="none"/>
              </w:rPr>
              <w:t>0 kHz SCS</w:t>
            </w:r>
            <w:r>
              <w:rPr>
                <w:rFonts w:cs="Arial"/>
                <w:highlight w:val="none"/>
              </w:rPr>
              <w:t>, 64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46"/>
              <w:rPr>
                <w:highlight w:val="none"/>
              </w:rPr>
            </w:pPr>
            <w:r>
              <w:rPr>
                <w:rFonts w:eastAsia="宋体"/>
                <w:highlight w:val="none"/>
              </w:rPr>
              <w:t>NOTE:</w:t>
            </w:r>
            <w:r>
              <w:rPr>
                <w:highlight w:val="none"/>
              </w:rPr>
              <w:tab/>
            </w:r>
            <w:r>
              <w:rPr>
                <w:highlight w:val="none"/>
              </w:rPr>
              <w:t>EIS</w:t>
            </w:r>
            <w:r>
              <w:rPr>
                <w:highlight w:val="none"/>
                <w:vertAlign w:val="subscript"/>
              </w:rPr>
              <w:t>REFSENS</w:t>
            </w:r>
            <w:r>
              <w:rPr>
                <w:highlight w:val="none"/>
              </w:rPr>
              <w:t xml:space="preserve"> and EIS</w:t>
            </w:r>
            <w:r>
              <w:rPr>
                <w:highlight w:val="none"/>
                <w:vertAlign w:val="subscript"/>
              </w:rPr>
              <w:t>REFSENS_50M</w:t>
            </w:r>
            <w:r>
              <w:rPr>
                <w:highlight w:val="none"/>
              </w:rPr>
              <w:t xml:space="preserve"> are given in clause 10.3.3.</w:t>
            </w:r>
          </w:p>
        </w:tc>
      </w:tr>
    </w:tbl>
    <w:p>
      <w:pPr>
        <w:rPr>
          <w:rFonts w:hint="default"/>
          <w:highlight w:val="none"/>
          <w:lang w:val="en-US" w:eastAsia="zh-CN"/>
        </w:rPr>
      </w:pPr>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3</w:t>
      </w:r>
      <w:r>
        <w:rPr>
          <w:rFonts w:hint="eastAsia" w:ascii="Arial" w:hAnsi="Arial" w:eastAsia="宋体" w:cs="Arial"/>
          <w:sz w:val="24"/>
          <w:szCs w:val="24"/>
          <w:highlight w:val="none"/>
          <w:lang w:val="en-US" w:eastAsia="zh-CN"/>
        </w:rPr>
        <w:t>. RX IMD requirements</w:t>
      </w:r>
    </w:p>
    <w:p>
      <w:pPr>
        <w:rPr>
          <w:rFonts w:hint="eastAsia"/>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default"/>
          <w:b w:val="0"/>
          <w:bCs w:val="0"/>
          <w:kern w:val="0"/>
          <w:sz w:val="20"/>
          <w:szCs w:val="20"/>
          <w:highlight w:val="none"/>
          <w:lang w:val="en-US" w:eastAsia="zh-CN"/>
        </w:rPr>
      </w:pPr>
      <w:r>
        <w:rPr>
          <w:rFonts w:hint="eastAsia"/>
          <w:b w:val="0"/>
          <w:bCs w:val="0"/>
          <w:kern w:val="0"/>
          <w:sz w:val="20"/>
          <w:szCs w:val="20"/>
          <w:highlight w:val="none"/>
          <w:lang w:val="en-US" w:eastAsia="zh-CN"/>
        </w:rPr>
        <w:t>Similar as in-band blocking, the interferer levels for general receiver intermodulation should be derived by applying an offset of 8 dB below OTA blocking levels. For the frequency offset of RX IMD requirement, since this is related with SU of wanted signal and interfering signal, therefore it</w:t>
      </w:r>
      <w:r>
        <w:rPr>
          <w:rFonts w:hint="default"/>
          <w:b w:val="0"/>
          <w:bCs w:val="0"/>
          <w:kern w:val="0"/>
          <w:sz w:val="20"/>
          <w:szCs w:val="20"/>
          <w:highlight w:val="none"/>
          <w:lang w:val="en-US" w:eastAsia="zh-CN"/>
        </w:rPr>
        <w:t>’</w:t>
      </w:r>
      <w:r>
        <w:rPr>
          <w:rFonts w:hint="eastAsia"/>
          <w:b w:val="0"/>
          <w:bCs w:val="0"/>
          <w:kern w:val="0"/>
          <w:sz w:val="20"/>
          <w:szCs w:val="20"/>
          <w:highlight w:val="none"/>
          <w:lang w:val="en-US" w:eastAsia="zh-CN"/>
        </w:rPr>
        <w:t>s better to postpone the discussion until there are clear agreement for SU of 60GHz.</w:t>
      </w:r>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4</w:t>
      </w:r>
      <w:r>
        <w:rPr>
          <w:rFonts w:hint="eastAsia" w:ascii="Arial" w:hAnsi="Arial" w:eastAsia="宋体" w:cs="Arial"/>
          <w:sz w:val="24"/>
          <w:szCs w:val="24"/>
          <w:highlight w:val="none"/>
          <w:lang w:val="en-US" w:eastAsia="zh-CN"/>
        </w:rPr>
        <w:t xml:space="preserve">. RX </w:t>
      </w:r>
      <w:r>
        <w:rPr>
          <w:rFonts w:hint="eastAsia" w:ascii="Arial" w:hAnsi="Arial" w:cs="Arial"/>
          <w:sz w:val="24"/>
          <w:szCs w:val="24"/>
          <w:highlight w:val="none"/>
          <w:lang w:val="en-US" w:eastAsia="zh-CN"/>
        </w:rPr>
        <w:t>ICS</w:t>
      </w:r>
      <w:r>
        <w:rPr>
          <w:rFonts w:hint="eastAsia" w:ascii="Arial" w:hAnsi="Arial" w:eastAsia="宋体" w:cs="Arial"/>
          <w:sz w:val="24"/>
          <w:szCs w:val="24"/>
          <w:highlight w:val="none"/>
          <w:lang w:val="en-US" w:eastAsia="zh-CN"/>
        </w:rPr>
        <w:t xml:space="preserve"> requirements</w:t>
      </w:r>
    </w:p>
    <w:p>
      <w:pPr>
        <w:pBdr>
          <w:top w:val="none" w:color="auto" w:sz="0" w:space="0"/>
          <w:left w:val="none" w:color="auto" w:sz="0" w:space="0"/>
          <w:bottom w:val="none" w:color="auto" w:sz="0" w:space="0"/>
          <w:right w:val="none" w:color="auto" w:sz="0" w:space="0"/>
          <w:between w:val="none" w:color="auto" w:sz="0" w:space="0"/>
        </w:pBdr>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For </w:t>
      </w:r>
      <w:r>
        <w:rPr>
          <w:rFonts w:hint="eastAsia" w:ascii="Times New Roman" w:hAnsi="Times New Roman" w:cs="Times New Roman"/>
          <w:sz w:val="20"/>
          <w:szCs w:val="20"/>
          <w:highlight w:val="none"/>
        </w:rPr>
        <w:t xml:space="preserve">IoT level obtained </w:t>
      </w:r>
      <w:r>
        <w:rPr>
          <w:rFonts w:hint="eastAsia" w:ascii="Times New Roman" w:hAnsi="Times New Roman" w:cs="Times New Roman"/>
          <w:sz w:val="20"/>
          <w:szCs w:val="20"/>
          <w:highlight w:val="none"/>
          <w:lang w:val="en-US" w:eastAsia="zh-CN"/>
        </w:rPr>
        <w:t>for ICS requirements, similar as previous ACS/ACLR analysis, we need to evaluate the Iot level based on the agreeable and stable simulation assumption for 52.6-71GHz.</w:t>
      </w:r>
    </w:p>
    <w:p>
      <w:pPr>
        <w:pBdr>
          <w:top w:val="none" w:color="auto" w:sz="0" w:space="0"/>
          <w:left w:val="none" w:color="auto" w:sz="0" w:space="0"/>
          <w:bottom w:val="none" w:color="auto" w:sz="0" w:space="0"/>
          <w:right w:val="none" w:color="auto" w:sz="0" w:space="0"/>
          <w:between w:val="none" w:color="auto" w:sz="0" w:space="0"/>
        </w:pBdr>
        <w:rPr>
          <w:rFonts w:hint="default"/>
          <w:b w:val="0"/>
          <w:bCs w:val="0"/>
          <w:kern w:val="2"/>
          <w:sz w:val="20"/>
          <w:szCs w:val="20"/>
          <w:highlight w:val="green"/>
          <w:lang w:val="en-US" w:eastAsia="zh-CN"/>
        </w:rPr>
      </w:pPr>
      <w:r>
        <w:rPr>
          <w:rFonts w:hint="eastAsia"/>
          <w:b/>
          <w:bCs/>
          <w:kern w:val="0"/>
          <w:sz w:val="20"/>
          <w:szCs w:val="20"/>
          <w:highlight w:val="none"/>
          <w:lang w:val="en-US" w:eastAsia="zh-CN"/>
        </w:rPr>
        <w:t>Proposal 5:</w:t>
      </w:r>
      <w:r>
        <w:rPr>
          <w:rFonts w:hint="eastAsia"/>
          <w:kern w:val="0"/>
          <w:sz w:val="20"/>
          <w:szCs w:val="20"/>
          <w:highlight w:val="none"/>
          <w:lang w:val="en-US" w:eastAsia="zh-CN"/>
        </w:rPr>
        <w:t xml:space="preserve"> to propose to discuss the simulation assumptions for 52.6-71GHz for ICS IoT level evaluation firstly;  </w:t>
      </w:r>
    </w:p>
    <w:bookmarkEnd w:id="1"/>
    <w:bookmarkEnd w:id="2"/>
    <w:bookmarkEnd w:id="3"/>
    <w:bookmarkEnd w:id="4"/>
    <w:p>
      <w:pPr>
        <w:pStyle w:val="53"/>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further</w:t>
      </w:r>
      <w:r>
        <w:rPr>
          <w:rFonts w:hint="eastAsia"/>
          <w:kern w:val="0"/>
          <w:sz w:val="20"/>
          <w:szCs w:val="20"/>
          <w:highlight w:val="none"/>
          <w:lang w:val="en-US" w:eastAsia="zh-CN"/>
        </w:rPr>
        <w:t xml:space="preserve"> considerations on each BS Rx requirements for 60GHz and some proposals and observations are made as following:</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Observation 1</w:t>
      </w:r>
      <w:r>
        <w:rPr>
          <w:rFonts w:hint="eastAsia"/>
          <w:kern w:val="0"/>
          <w:sz w:val="20"/>
          <w:szCs w:val="20"/>
          <w:highlight w:val="none"/>
          <w:lang w:val="en-US" w:eastAsia="zh-CN"/>
        </w:rPr>
        <w:t xml:space="preserve">:the existing range specified for EISREFSENS_50M or EISREFSENS_100M are both feasible for 52.6-71GHz REFSENS definition. </w:t>
      </w:r>
    </w:p>
    <w:p>
      <w:pPr>
        <w:numPr>
          <w:ilvl w:val="0"/>
          <w:numId w:val="0"/>
        </w:num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Proposal 1</w:t>
      </w:r>
      <w:r>
        <w:rPr>
          <w:rFonts w:hint="eastAsia"/>
          <w:kern w:val="0"/>
          <w:sz w:val="20"/>
          <w:szCs w:val="20"/>
          <w:highlight w:val="none"/>
          <w:lang w:val="en-US" w:eastAsia="zh-CN"/>
        </w:rPr>
        <w:t>: the existing PT-RS configuration in FR2 FRC could also been applied for 52.6-71GHz.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xml:space="preserve">: for BW with 120kHz SCS, the existing </w:t>
      </w:r>
      <w:r>
        <w:rPr>
          <w:rFonts w:hint="eastAsia"/>
          <w:kern w:val="0"/>
          <w:sz w:val="20"/>
          <w:szCs w:val="20"/>
          <w:highlight w:val="none"/>
          <w:lang w:val="en-US" w:eastAsia="en-GB"/>
        </w:rPr>
        <w:t>G-FR2-A1-3</w:t>
      </w:r>
      <w:r>
        <w:rPr>
          <w:rFonts w:hint="eastAsia"/>
          <w:kern w:val="0"/>
          <w:sz w:val="20"/>
          <w:szCs w:val="20"/>
          <w:highlight w:val="none"/>
          <w:lang w:val="en-US" w:eastAsia="zh-CN"/>
        </w:rPr>
        <w:t xml:space="preserve"> could be reused; for BW with 480kHz and 960kHz, new FRCs for minimum BW 400MHz with 480kHz and 400MHz with 960kHz should be defined. </w:t>
      </w:r>
    </w:p>
    <w:p>
      <w:pPr>
        <w:rPr>
          <w:rFonts w:hint="default"/>
          <w:kern w:val="0"/>
          <w:sz w:val="20"/>
          <w:szCs w:val="20"/>
          <w:highlight w:val="none"/>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propose to discuss the simulation assumptions for 52.6-71GHz for ACLR/ACS evaluation firstly;  </w:t>
      </w:r>
    </w:p>
    <w:p>
      <w:pPr>
        <w:rPr>
          <w:rFonts w:hint="default"/>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33dB offset from the reference sensitivity for interfering signal of IBB needed to be checked again based on the agreeable simulation assumption for 52.6-71GHz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Proposal 5:</w:t>
      </w:r>
      <w:r>
        <w:rPr>
          <w:rFonts w:hint="eastAsia"/>
          <w:kern w:val="0"/>
          <w:sz w:val="20"/>
          <w:szCs w:val="20"/>
          <w:highlight w:val="none"/>
          <w:lang w:val="en-US" w:eastAsia="zh-CN"/>
        </w:rPr>
        <w:t xml:space="preserve"> to propose to discuss the simulation assumptions for 52.6-71GHz for ICS IoT level evaluation firstly;  </w:t>
      </w:r>
    </w:p>
    <w:p>
      <w:pPr>
        <w:pStyle w:val="53"/>
        <w:tabs>
          <w:tab w:val="left" w:pos="567"/>
          <w:tab w:val="clear" w:pos="1985"/>
        </w:tabs>
        <w:adjustRightInd w:val="0"/>
        <w:ind w:left="510" w:hanging="510"/>
        <w:rPr>
          <w:highlight w:val="none"/>
        </w:rPr>
      </w:pPr>
      <w:r>
        <w:rPr>
          <w:highlight w:val="none"/>
        </w:rPr>
        <w:t>References</w:t>
      </w:r>
    </w:p>
    <w:p>
      <w:pPr>
        <w:pStyle w:val="51"/>
        <w:numPr>
          <w:ilvl w:val="0"/>
          <w:numId w:val="3"/>
        </w:numPr>
        <w:rPr>
          <w:rFonts w:hint="default"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rPr>
        <w:t>R4-2106114</w:t>
      </w:r>
      <w:r>
        <w:rPr>
          <w:rFonts w:hint="eastAsia" w:cs="Times New Roman"/>
          <w:b w:val="0"/>
          <w:i w:val="0"/>
          <w:caps w:val="0"/>
          <w:color w:val="000000"/>
          <w:spacing w:val="0"/>
          <w:sz w:val="18"/>
          <w:szCs w:val="18"/>
          <w:highlight w:val="none"/>
          <w:shd w:val="clear" w:fill="FFFFFF"/>
          <w:lang w:val="en-US" w:eastAsia="zh-CN"/>
        </w:rPr>
        <w:t xml:space="preserve">, </w:t>
      </w:r>
      <w:r>
        <w:rPr>
          <w:rFonts w:hint="eastAsia" w:ascii="Times New Roman" w:hAnsi="Times New Roman" w:eastAsia="宋体" w:cs="Times New Roman"/>
          <w:b w:val="0"/>
          <w:i w:val="0"/>
          <w:caps w:val="0"/>
          <w:color w:val="000000"/>
          <w:spacing w:val="0"/>
          <w:sz w:val="18"/>
          <w:szCs w:val="18"/>
          <w:highlight w:val="none"/>
          <w:shd w:val="clear" w:fill="FFFFFF"/>
        </w:rPr>
        <w:t>WF on BS RF RX requirements for 52.6 – 71 GHz, approved.</w:t>
      </w:r>
    </w:p>
    <w:p>
      <w:pPr>
        <w:pStyle w:val="51"/>
        <w:numPr>
          <w:ilvl w:val="0"/>
          <w:numId w:val="3"/>
        </w:numPr>
        <w:rPr>
          <w:rFonts w:ascii="Arial" w:hAnsi="Arial" w:eastAsia="宋体" w:cs="Arial"/>
          <w:b w:val="0"/>
          <w:i w:val="0"/>
          <w:caps w:val="0"/>
          <w:color w:val="000000"/>
          <w:spacing w:val="0"/>
          <w:sz w:val="18"/>
          <w:szCs w:val="18"/>
          <w:highlight w:val="none"/>
          <w:shd w:val="clear" w:fill="FFFFFF"/>
        </w:rPr>
      </w:pPr>
      <w:r>
        <w:rPr>
          <w:rFonts w:hint="eastAsia" w:cs="Times New Roman"/>
          <w:b w:val="0"/>
          <w:i w:val="0"/>
          <w:caps w:val="0"/>
          <w:color w:val="000000"/>
          <w:spacing w:val="0"/>
          <w:sz w:val="18"/>
          <w:szCs w:val="18"/>
          <w:highlight w:val="none"/>
          <w:shd w:val="clear" w:fill="FFFFFF"/>
          <w:lang w:val="en-US" w:eastAsia="zh-CN"/>
        </w:rPr>
        <w:t>TR 38.808</w:t>
      </w:r>
    </w:p>
    <w:p>
      <w:pPr>
        <w:pStyle w:val="51"/>
        <w:numPr>
          <w:ilvl w:val="0"/>
          <w:numId w:val="3"/>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R4-1700302</w:t>
      </w:r>
      <w:r>
        <w:rPr>
          <w:rFonts w:hint="eastAsia" w:cs="Times New Roman"/>
          <w:sz w:val="20"/>
          <w:szCs w:val="20"/>
          <w:highlight w:val="none"/>
          <w:lang w:val="en-US" w:eastAsia="zh-CN"/>
        </w:rPr>
        <w:t>,Way forward on ACLR &amp; ACS for WP5D LS, approved.</w:t>
      </w:r>
    </w:p>
    <w:p>
      <w:pPr>
        <w:pStyle w:val="51"/>
        <w:numPr>
          <w:ilvl w:val="0"/>
          <w:numId w:val="3"/>
        </w:numPr>
        <w:rPr>
          <w:rFonts w:hint="default" w:ascii="Times New Roman" w:hAnsi="Times New Roman" w:eastAsia="宋体" w:cs="Times New Roman"/>
          <w:b w:val="0"/>
          <w:i w:val="0"/>
          <w:caps w:val="0"/>
          <w:color w:val="000000"/>
          <w:spacing w:val="0"/>
          <w:sz w:val="18"/>
          <w:szCs w:val="18"/>
          <w:highlight w:val="none"/>
          <w:shd w:val="clear" w:fill="FFFFFF"/>
        </w:rPr>
      </w:pPr>
      <w:r>
        <w:rPr>
          <w:rFonts w:hint="default" w:ascii="Times New Roman" w:hAnsi="Times New Roman" w:eastAsia="宋体" w:cs="Times New Roman"/>
          <w:b w:val="0"/>
          <w:i w:val="0"/>
          <w:caps w:val="0"/>
          <w:color w:val="000000"/>
          <w:spacing w:val="0"/>
          <w:sz w:val="18"/>
          <w:szCs w:val="18"/>
          <w:highlight w:val="none"/>
          <w:shd w:val="clear" w:fill="FFFFFF"/>
        </w:rPr>
        <w:t>R4-2108639</w:t>
      </w:r>
      <w:r>
        <w:rPr>
          <w:rFonts w:hint="eastAsia" w:cs="Times New Roman"/>
          <w:b w:val="0"/>
          <w:i w:val="0"/>
          <w:caps w:val="0"/>
          <w:color w:val="000000"/>
          <w:spacing w:val="0"/>
          <w:sz w:val="18"/>
          <w:szCs w:val="18"/>
          <w:highlight w:val="none"/>
          <w:shd w:val="clear" w:fill="FFFFFF"/>
          <w:lang w:val="en-US" w:eastAsia="zh-CN"/>
        </w:rPr>
        <w:t>,</w:t>
      </w:r>
      <w:r>
        <w:rPr>
          <w:rFonts w:hint="default" w:ascii="Times New Roman" w:hAnsi="Times New Roman" w:eastAsia="宋体" w:cs="Times New Roman"/>
          <w:b w:val="0"/>
          <w:i w:val="0"/>
          <w:caps w:val="0"/>
          <w:color w:val="000000"/>
          <w:spacing w:val="0"/>
          <w:sz w:val="18"/>
          <w:szCs w:val="18"/>
          <w:highlight w:val="none"/>
          <w:shd w:val="clear" w:fill="FFFFFF"/>
        </w:rPr>
        <w:t>WF on BS RX RF requirements for 52.6 – 71 GHz, approved</w:t>
      </w:r>
    </w:p>
    <w:p>
      <w:pPr>
        <w:pStyle w:val="51"/>
        <w:numPr>
          <w:ilvl w:val="0"/>
          <w:numId w:val="3"/>
        </w:numPr>
        <w:rPr>
          <w:rFonts w:ascii="Times New Roman" w:hAnsi="Times New Roman" w:cs="Times New Roman"/>
          <w:sz w:val="20"/>
          <w:szCs w:val="20"/>
          <w:highlight w:val="none"/>
          <w:shd w:val="clear"/>
        </w:rPr>
      </w:pPr>
      <w:r>
        <w:rPr>
          <w:rFonts w:hint="default" w:cs="Times New Roman"/>
          <w:b w:val="0"/>
          <w:i w:val="0"/>
          <w:caps w:val="0"/>
          <w:spacing w:val="0"/>
          <w:sz w:val="20"/>
          <w:szCs w:val="20"/>
          <w:highlight w:val="none"/>
          <w:shd w:val="clear"/>
          <w:lang w:val="en-US" w:eastAsia="zh-CN"/>
        </w:rPr>
        <w:t>R4-210xxx, initial coexistence simulation results for 52.6-71GHz, ZTE</w:t>
      </w:r>
    </w:p>
    <w:p>
      <w:pPr>
        <w:pStyle w:val="51"/>
        <w:numPr>
          <w:ilvl w:val="0"/>
          <w:numId w:val="3"/>
        </w:numPr>
        <w:rPr>
          <w:rFonts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R4-2107915</w:t>
      </w:r>
      <w:r>
        <w:rPr>
          <w:rFonts w:hint="default" w:ascii="Times New Roman" w:hAnsi="Times New Roman" w:cs="Times New Roman"/>
          <w:sz w:val="20"/>
          <w:szCs w:val="20"/>
          <w:highlight w:val="none"/>
          <w:shd w:val="clear"/>
        </w:rPr>
        <w:tab/>
      </w:r>
      <w:r>
        <w:rPr>
          <w:rFonts w:hint="default" w:ascii="Times New Roman" w:hAnsi="Times New Roman" w:cs="Times New Roman"/>
          <w:sz w:val="20"/>
          <w:szCs w:val="20"/>
          <w:highlight w:val="none"/>
          <w:shd w:val="clear"/>
        </w:rPr>
        <w:t>WF on 60 GHz coexistence, ACLR, and ACS, approved.</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3E236E9"/>
    <w:multiLevelType w:val="singleLevel"/>
    <w:tmpl w:val="13E236E9"/>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816"/>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67D"/>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386"/>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215E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796A37"/>
    <w:rsid w:val="027E7FD1"/>
    <w:rsid w:val="028748E0"/>
    <w:rsid w:val="02892A7A"/>
    <w:rsid w:val="029342BD"/>
    <w:rsid w:val="02B06DC0"/>
    <w:rsid w:val="02B31189"/>
    <w:rsid w:val="02B5012C"/>
    <w:rsid w:val="02C86D51"/>
    <w:rsid w:val="02CE3DD2"/>
    <w:rsid w:val="02DC6BBC"/>
    <w:rsid w:val="02E3271D"/>
    <w:rsid w:val="02E929C0"/>
    <w:rsid w:val="02F573DC"/>
    <w:rsid w:val="02F95CD1"/>
    <w:rsid w:val="030150CB"/>
    <w:rsid w:val="03186045"/>
    <w:rsid w:val="031E0FAC"/>
    <w:rsid w:val="031E4C95"/>
    <w:rsid w:val="032E4DBB"/>
    <w:rsid w:val="0331128A"/>
    <w:rsid w:val="03332CAE"/>
    <w:rsid w:val="03343BC7"/>
    <w:rsid w:val="033D4705"/>
    <w:rsid w:val="033F52A3"/>
    <w:rsid w:val="03402EB3"/>
    <w:rsid w:val="034D5654"/>
    <w:rsid w:val="0354325C"/>
    <w:rsid w:val="035C4C68"/>
    <w:rsid w:val="03651217"/>
    <w:rsid w:val="03687ADD"/>
    <w:rsid w:val="036A231E"/>
    <w:rsid w:val="03774924"/>
    <w:rsid w:val="03822F79"/>
    <w:rsid w:val="039B69FD"/>
    <w:rsid w:val="03A32E58"/>
    <w:rsid w:val="03C0647A"/>
    <w:rsid w:val="03D4427A"/>
    <w:rsid w:val="03F54B29"/>
    <w:rsid w:val="03FF3D36"/>
    <w:rsid w:val="04105E9A"/>
    <w:rsid w:val="041875C1"/>
    <w:rsid w:val="04252816"/>
    <w:rsid w:val="04376B0F"/>
    <w:rsid w:val="0444783F"/>
    <w:rsid w:val="044753DC"/>
    <w:rsid w:val="045E1DEE"/>
    <w:rsid w:val="04786ED3"/>
    <w:rsid w:val="048829D4"/>
    <w:rsid w:val="04BC324F"/>
    <w:rsid w:val="050C5E3D"/>
    <w:rsid w:val="051034CD"/>
    <w:rsid w:val="051F43BC"/>
    <w:rsid w:val="053E1AC2"/>
    <w:rsid w:val="05583DC1"/>
    <w:rsid w:val="05816D10"/>
    <w:rsid w:val="05930F73"/>
    <w:rsid w:val="05940F3F"/>
    <w:rsid w:val="0599211D"/>
    <w:rsid w:val="05B173DC"/>
    <w:rsid w:val="05B27D07"/>
    <w:rsid w:val="05B658ED"/>
    <w:rsid w:val="05BE42A5"/>
    <w:rsid w:val="05D16BC6"/>
    <w:rsid w:val="05EE3B4E"/>
    <w:rsid w:val="060C4FD6"/>
    <w:rsid w:val="060D249E"/>
    <w:rsid w:val="06111076"/>
    <w:rsid w:val="06260B4B"/>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D5028"/>
    <w:rsid w:val="076F4BA4"/>
    <w:rsid w:val="077F542D"/>
    <w:rsid w:val="077F5D16"/>
    <w:rsid w:val="07817B19"/>
    <w:rsid w:val="07916BE4"/>
    <w:rsid w:val="07A2728D"/>
    <w:rsid w:val="07AA3E51"/>
    <w:rsid w:val="07D835FB"/>
    <w:rsid w:val="07DD018B"/>
    <w:rsid w:val="07E014BE"/>
    <w:rsid w:val="07E85751"/>
    <w:rsid w:val="0800676F"/>
    <w:rsid w:val="08073429"/>
    <w:rsid w:val="08171593"/>
    <w:rsid w:val="0835476E"/>
    <w:rsid w:val="08367FC2"/>
    <w:rsid w:val="08410BDE"/>
    <w:rsid w:val="084E0029"/>
    <w:rsid w:val="08557BDD"/>
    <w:rsid w:val="085D6C7E"/>
    <w:rsid w:val="08611CAF"/>
    <w:rsid w:val="0865781A"/>
    <w:rsid w:val="0866133E"/>
    <w:rsid w:val="087E046C"/>
    <w:rsid w:val="08813C88"/>
    <w:rsid w:val="08942BDF"/>
    <w:rsid w:val="089852F1"/>
    <w:rsid w:val="08990610"/>
    <w:rsid w:val="089D6B7D"/>
    <w:rsid w:val="08B21918"/>
    <w:rsid w:val="08B40442"/>
    <w:rsid w:val="08B94847"/>
    <w:rsid w:val="08C14001"/>
    <w:rsid w:val="08E61B8C"/>
    <w:rsid w:val="09016732"/>
    <w:rsid w:val="09127CF4"/>
    <w:rsid w:val="092234B5"/>
    <w:rsid w:val="092C26C9"/>
    <w:rsid w:val="09353200"/>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6255E6"/>
    <w:rsid w:val="0A626407"/>
    <w:rsid w:val="0A7200B0"/>
    <w:rsid w:val="0A771CA5"/>
    <w:rsid w:val="0A843B9D"/>
    <w:rsid w:val="0A8621F2"/>
    <w:rsid w:val="0A8C711B"/>
    <w:rsid w:val="0A8F1F9F"/>
    <w:rsid w:val="0A9B6BF5"/>
    <w:rsid w:val="0AB329A9"/>
    <w:rsid w:val="0ABA55D8"/>
    <w:rsid w:val="0ACD4245"/>
    <w:rsid w:val="0AD57FD6"/>
    <w:rsid w:val="0ADD5980"/>
    <w:rsid w:val="0ADD7B55"/>
    <w:rsid w:val="0B110AC0"/>
    <w:rsid w:val="0B1157EF"/>
    <w:rsid w:val="0B1765E0"/>
    <w:rsid w:val="0B1C1D7C"/>
    <w:rsid w:val="0B22066E"/>
    <w:rsid w:val="0B2643BE"/>
    <w:rsid w:val="0B3E7077"/>
    <w:rsid w:val="0B3F2432"/>
    <w:rsid w:val="0B4B303F"/>
    <w:rsid w:val="0B4D5218"/>
    <w:rsid w:val="0B622E13"/>
    <w:rsid w:val="0B717521"/>
    <w:rsid w:val="0B884E90"/>
    <w:rsid w:val="0B892782"/>
    <w:rsid w:val="0BB2460A"/>
    <w:rsid w:val="0BB41CFB"/>
    <w:rsid w:val="0BB53F3C"/>
    <w:rsid w:val="0BC739F0"/>
    <w:rsid w:val="0BD626CE"/>
    <w:rsid w:val="0BDB5584"/>
    <w:rsid w:val="0BE17727"/>
    <w:rsid w:val="0BF427F9"/>
    <w:rsid w:val="0C0C632D"/>
    <w:rsid w:val="0C120111"/>
    <w:rsid w:val="0C37145B"/>
    <w:rsid w:val="0C3C0AB0"/>
    <w:rsid w:val="0C6038EF"/>
    <w:rsid w:val="0C603972"/>
    <w:rsid w:val="0C654C73"/>
    <w:rsid w:val="0C751214"/>
    <w:rsid w:val="0C780533"/>
    <w:rsid w:val="0C85742B"/>
    <w:rsid w:val="0C873353"/>
    <w:rsid w:val="0C8B4B61"/>
    <w:rsid w:val="0C9A4387"/>
    <w:rsid w:val="0C9D3F03"/>
    <w:rsid w:val="0CA92BAC"/>
    <w:rsid w:val="0CB471A1"/>
    <w:rsid w:val="0CB90F2E"/>
    <w:rsid w:val="0CE75BD1"/>
    <w:rsid w:val="0D0213CD"/>
    <w:rsid w:val="0D04575D"/>
    <w:rsid w:val="0D0612B8"/>
    <w:rsid w:val="0D066A9C"/>
    <w:rsid w:val="0D0714BC"/>
    <w:rsid w:val="0D193015"/>
    <w:rsid w:val="0D1A52C8"/>
    <w:rsid w:val="0D2767B5"/>
    <w:rsid w:val="0D346E85"/>
    <w:rsid w:val="0D3E327E"/>
    <w:rsid w:val="0D5552FB"/>
    <w:rsid w:val="0D5800C7"/>
    <w:rsid w:val="0D6A353C"/>
    <w:rsid w:val="0D904522"/>
    <w:rsid w:val="0D976014"/>
    <w:rsid w:val="0DA060E8"/>
    <w:rsid w:val="0DCE36F3"/>
    <w:rsid w:val="0DD621E4"/>
    <w:rsid w:val="0DDE1317"/>
    <w:rsid w:val="0E0313B1"/>
    <w:rsid w:val="0E0D1A47"/>
    <w:rsid w:val="0E3217E8"/>
    <w:rsid w:val="0E387AA5"/>
    <w:rsid w:val="0E400D03"/>
    <w:rsid w:val="0E520728"/>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3B6AEF"/>
    <w:rsid w:val="0F455F85"/>
    <w:rsid w:val="0F49564D"/>
    <w:rsid w:val="0F4A1EDB"/>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10045EE6"/>
    <w:rsid w:val="101C339B"/>
    <w:rsid w:val="10220F60"/>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80866"/>
    <w:rsid w:val="10FA45D2"/>
    <w:rsid w:val="11024527"/>
    <w:rsid w:val="110A4489"/>
    <w:rsid w:val="11150F62"/>
    <w:rsid w:val="111A28E5"/>
    <w:rsid w:val="1122559B"/>
    <w:rsid w:val="112F54D2"/>
    <w:rsid w:val="1133321C"/>
    <w:rsid w:val="11461F96"/>
    <w:rsid w:val="114C3CA8"/>
    <w:rsid w:val="114D3A1D"/>
    <w:rsid w:val="11576536"/>
    <w:rsid w:val="11607F73"/>
    <w:rsid w:val="117561EB"/>
    <w:rsid w:val="117824F0"/>
    <w:rsid w:val="117E2370"/>
    <w:rsid w:val="11847341"/>
    <w:rsid w:val="118E7D11"/>
    <w:rsid w:val="11AC7561"/>
    <w:rsid w:val="11AF439E"/>
    <w:rsid w:val="11B66269"/>
    <w:rsid w:val="11BA0839"/>
    <w:rsid w:val="11F267E8"/>
    <w:rsid w:val="11F427FC"/>
    <w:rsid w:val="1210456D"/>
    <w:rsid w:val="12134828"/>
    <w:rsid w:val="12143598"/>
    <w:rsid w:val="121729B6"/>
    <w:rsid w:val="122C6138"/>
    <w:rsid w:val="12322CFD"/>
    <w:rsid w:val="12396B0A"/>
    <w:rsid w:val="123A52C3"/>
    <w:rsid w:val="12431CBA"/>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384099"/>
    <w:rsid w:val="143B68D5"/>
    <w:rsid w:val="144442DA"/>
    <w:rsid w:val="144C6544"/>
    <w:rsid w:val="147E0276"/>
    <w:rsid w:val="14812D74"/>
    <w:rsid w:val="14836C15"/>
    <w:rsid w:val="14862300"/>
    <w:rsid w:val="148C00A0"/>
    <w:rsid w:val="148E59FC"/>
    <w:rsid w:val="14A82A63"/>
    <w:rsid w:val="14AC358C"/>
    <w:rsid w:val="14B76730"/>
    <w:rsid w:val="14DE753E"/>
    <w:rsid w:val="14F51028"/>
    <w:rsid w:val="14F549EC"/>
    <w:rsid w:val="14F84F6A"/>
    <w:rsid w:val="14F92549"/>
    <w:rsid w:val="14FD4800"/>
    <w:rsid w:val="15157DF4"/>
    <w:rsid w:val="151B0462"/>
    <w:rsid w:val="151C45D8"/>
    <w:rsid w:val="15290336"/>
    <w:rsid w:val="155424D6"/>
    <w:rsid w:val="155B1745"/>
    <w:rsid w:val="155F651D"/>
    <w:rsid w:val="15655F19"/>
    <w:rsid w:val="157348EB"/>
    <w:rsid w:val="15787FE5"/>
    <w:rsid w:val="157E21FE"/>
    <w:rsid w:val="15926C53"/>
    <w:rsid w:val="15AA7A19"/>
    <w:rsid w:val="15AC5259"/>
    <w:rsid w:val="15B06B12"/>
    <w:rsid w:val="15BE3D9D"/>
    <w:rsid w:val="15D4474D"/>
    <w:rsid w:val="15D7597F"/>
    <w:rsid w:val="160A09CB"/>
    <w:rsid w:val="160C437B"/>
    <w:rsid w:val="16160429"/>
    <w:rsid w:val="161C3234"/>
    <w:rsid w:val="16327AD4"/>
    <w:rsid w:val="1641433F"/>
    <w:rsid w:val="165C4863"/>
    <w:rsid w:val="1663476A"/>
    <w:rsid w:val="166C0D1B"/>
    <w:rsid w:val="167344C7"/>
    <w:rsid w:val="16794785"/>
    <w:rsid w:val="16853FE3"/>
    <w:rsid w:val="1690258B"/>
    <w:rsid w:val="1695742C"/>
    <w:rsid w:val="169C6D32"/>
    <w:rsid w:val="169D1595"/>
    <w:rsid w:val="16A65B92"/>
    <w:rsid w:val="16AD0A57"/>
    <w:rsid w:val="16AD18F1"/>
    <w:rsid w:val="16BA18A0"/>
    <w:rsid w:val="16C41FCF"/>
    <w:rsid w:val="16DC6856"/>
    <w:rsid w:val="16E7220A"/>
    <w:rsid w:val="16F7773E"/>
    <w:rsid w:val="16FD7F89"/>
    <w:rsid w:val="170133DA"/>
    <w:rsid w:val="170259E1"/>
    <w:rsid w:val="17026088"/>
    <w:rsid w:val="170353FD"/>
    <w:rsid w:val="171053FC"/>
    <w:rsid w:val="17165436"/>
    <w:rsid w:val="17343071"/>
    <w:rsid w:val="17361739"/>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4B7216"/>
    <w:rsid w:val="19537076"/>
    <w:rsid w:val="195621A4"/>
    <w:rsid w:val="19564B19"/>
    <w:rsid w:val="195E2D4F"/>
    <w:rsid w:val="195F336A"/>
    <w:rsid w:val="196A0432"/>
    <w:rsid w:val="19720BF1"/>
    <w:rsid w:val="19764535"/>
    <w:rsid w:val="198374F4"/>
    <w:rsid w:val="1989194D"/>
    <w:rsid w:val="19894C83"/>
    <w:rsid w:val="19A7296F"/>
    <w:rsid w:val="19AB49F1"/>
    <w:rsid w:val="19B94DE5"/>
    <w:rsid w:val="19BB7983"/>
    <w:rsid w:val="19D76F77"/>
    <w:rsid w:val="19DA3CF9"/>
    <w:rsid w:val="19DE7440"/>
    <w:rsid w:val="1A045B87"/>
    <w:rsid w:val="1A5F7253"/>
    <w:rsid w:val="1A725418"/>
    <w:rsid w:val="1A7A2EF9"/>
    <w:rsid w:val="1A7F4EDC"/>
    <w:rsid w:val="1A880294"/>
    <w:rsid w:val="1A8F2FDB"/>
    <w:rsid w:val="1A960E81"/>
    <w:rsid w:val="1A9A0C93"/>
    <w:rsid w:val="1AB02AE4"/>
    <w:rsid w:val="1AB359A1"/>
    <w:rsid w:val="1ABD31B9"/>
    <w:rsid w:val="1ABF3A95"/>
    <w:rsid w:val="1AC06F73"/>
    <w:rsid w:val="1AC91D4C"/>
    <w:rsid w:val="1ACE2A77"/>
    <w:rsid w:val="1AD431E8"/>
    <w:rsid w:val="1AD55B02"/>
    <w:rsid w:val="1ADA6731"/>
    <w:rsid w:val="1ADC2627"/>
    <w:rsid w:val="1AF06C95"/>
    <w:rsid w:val="1AF34AE5"/>
    <w:rsid w:val="1AF3712C"/>
    <w:rsid w:val="1AF45E17"/>
    <w:rsid w:val="1AF84C8C"/>
    <w:rsid w:val="1AFE2079"/>
    <w:rsid w:val="1B00502A"/>
    <w:rsid w:val="1B0B3B20"/>
    <w:rsid w:val="1B1613A0"/>
    <w:rsid w:val="1B1779E0"/>
    <w:rsid w:val="1B2A0175"/>
    <w:rsid w:val="1B2A7E36"/>
    <w:rsid w:val="1B324397"/>
    <w:rsid w:val="1B372EB9"/>
    <w:rsid w:val="1B40005E"/>
    <w:rsid w:val="1B4170C4"/>
    <w:rsid w:val="1B4268B4"/>
    <w:rsid w:val="1B4A7E52"/>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4F3198"/>
    <w:rsid w:val="1C561E66"/>
    <w:rsid w:val="1C6D4144"/>
    <w:rsid w:val="1C726EC3"/>
    <w:rsid w:val="1C793EB9"/>
    <w:rsid w:val="1C7F3D5F"/>
    <w:rsid w:val="1C807142"/>
    <w:rsid w:val="1C842984"/>
    <w:rsid w:val="1C9A166E"/>
    <w:rsid w:val="1CAA7318"/>
    <w:rsid w:val="1CB702E9"/>
    <w:rsid w:val="1CBE5026"/>
    <w:rsid w:val="1CF333A5"/>
    <w:rsid w:val="1D024F6E"/>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161CF"/>
    <w:rsid w:val="1E1D7E95"/>
    <w:rsid w:val="1E224747"/>
    <w:rsid w:val="1E304B88"/>
    <w:rsid w:val="1E3E02E7"/>
    <w:rsid w:val="1E6703B7"/>
    <w:rsid w:val="1E680B85"/>
    <w:rsid w:val="1E9D4737"/>
    <w:rsid w:val="1E9D55A8"/>
    <w:rsid w:val="1E9E37A0"/>
    <w:rsid w:val="1EA13E87"/>
    <w:rsid w:val="1EC11B39"/>
    <w:rsid w:val="1ED94E25"/>
    <w:rsid w:val="1EDB6C5F"/>
    <w:rsid w:val="1EE6740D"/>
    <w:rsid w:val="1F024ABD"/>
    <w:rsid w:val="1F141EF2"/>
    <w:rsid w:val="1F303EA7"/>
    <w:rsid w:val="1F3C6AF7"/>
    <w:rsid w:val="1F405E44"/>
    <w:rsid w:val="1F4E681F"/>
    <w:rsid w:val="1F5324C1"/>
    <w:rsid w:val="1F6833F6"/>
    <w:rsid w:val="1F7216B7"/>
    <w:rsid w:val="1F7959F4"/>
    <w:rsid w:val="1F7C19E4"/>
    <w:rsid w:val="1F83562C"/>
    <w:rsid w:val="1F9B2922"/>
    <w:rsid w:val="1FB63655"/>
    <w:rsid w:val="1FBD7AAE"/>
    <w:rsid w:val="1FBE77B2"/>
    <w:rsid w:val="1FC26AB9"/>
    <w:rsid w:val="1FD1309D"/>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035D"/>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464BF"/>
    <w:rsid w:val="217C7971"/>
    <w:rsid w:val="217D44BC"/>
    <w:rsid w:val="21986210"/>
    <w:rsid w:val="21997056"/>
    <w:rsid w:val="219B2AEE"/>
    <w:rsid w:val="219D3F2A"/>
    <w:rsid w:val="21AB77F7"/>
    <w:rsid w:val="21BF03BC"/>
    <w:rsid w:val="21BF480E"/>
    <w:rsid w:val="21D06D34"/>
    <w:rsid w:val="21D52CEC"/>
    <w:rsid w:val="21FF71D8"/>
    <w:rsid w:val="2209399D"/>
    <w:rsid w:val="22101F8E"/>
    <w:rsid w:val="2225227E"/>
    <w:rsid w:val="22461AAA"/>
    <w:rsid w:val="224E39DE"/>
    <w:rsid w:val="224E74D0"/>
    <w:rsid w:val="227F5037"/>
    <w:rsid w:val="228534D7"/>
    <w:rsid w:val="228A008B"/>
    <w:rsid w:val="229A7E25"/>
    <w:rsid w:val="229C6584"/>
    <w:rsid w:val="22AA0362"/>
    <w:rsid w:val="22B059F5"/>
    <w:rsid w:val="22B06BDB"/>
    <w:rsid w:val="22BD504B"/>
    <w:rsid w:val="22D40DC8"/>
    <w:rsid w:val="22D61781"/>
    <w:rsid w:val="22E95A8D"/>
    <w:rsid w:val="22EF2816"/>
    <w:rsid w:val="22F017B2"/>
    <w:rsid w:val="22F97E5B"/>
    <w:rsid w:val="22FA647A"/>
    <w:rsid w:val="230B07F6"/>
    <w:rsid w:val="23143B37"/>
    <w:rsid w:val="231637F9"/>
    <w:rsid w:val="23230E78"/>
    <w:rsid w:val="232670CF"/>
    <w:rsid w:val="232C27B2"/>
    <w:rsid w:val="233027B0"/>
    <w:rsid w:val="23415924"/>
    <w:rsid w:val="23546EB1"/>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34ED"/>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6023D72"/>
    <w:rsid w:val="260B255C"/>
    <w:rsid w:val="26217848"/>
    <w:rsid w:val="262E20E8"/>
    <w:rsid w:val="262E34C1"/>
    <w:rsid w:val="2640682F"/>
    <w:rsid w:val="26510DB8"/>
    <w:rsid w:val="26667EB2"/>
    <w:rsid w:val="266B1FB8"/>
    <w:rsid w:val="267E518B"/>
    <w:rsid w:val="26872779"/>
    <w:rsid w:val="269B3F13"/>
    <w:rsid w:val="26A4288C"/>
    <w:rsid w:val="26AA10DC"/>
    <w:rsid w:val="26B6478F"/>
    <w:rsid w:val="26BA59F2"/>
    <w:rsid w:val="26C36DE5"/>
    <w:rsid w:val="26C9404D"/>
    <w:rsid w:val="26E92B22"/>
    <w:rsid w:val="26F054D7"/>
    <w:rsid w:val="26F40E3F"/>
    <w:rsid w:val="26F40EBD"/>
    <w:rsid w:val="26FA2DE3"/>
    <w:rsid w:val="27222699"/>
    <w:rsid w:val="272A3F42"/>
    <w:rsid w:val="273216D6"/>
    <w:rsid w:val="273D1CBA"/>
    <w:rsid w:val="27450038"/>
    <w:rsid w:val="274A7B1A"/>
    <w:rsid w:val="275439E1"/>
    <w:rsid w:val="276320D7"/>
    <w:rsid w:val="279408D2"/>
    <w:rsid w:val="279A2ED3"/>
    <w:rsid w:val="27B02558"/>
    <w:rsid w:val="27B91021"/>
    <w:rsid w:val="27C06D17"/>
    <w:rsid w:val="27E852C3"/>
    <w:rsid w:val="27FE4240"/>
    <w:rsid w:val="280008FF"/>
    <w:rsid w:val="28050D91"/>
    <w:rsid w:val="281035C6"/>
    <w:rsid w:val="28255041"/>
    <w:rsid w:val="283A1E3E"/>
    <w:rsid w:val="284543A1"/>
    <w:rsid w:val="28553E1D"/>
    <w:rsid w:val="285C1E48"/>
    <w:rsid w:val="28750CA2"/>
    <w:rsid w:val="28821314"/>
    <w:rsid w:val="28AD2029"/>
    <w:rsid w:val="28B220F4"/>
    <w:rsid w:val="28C075A4"/>
    <w:rsid w:val="28C33C7D"/>
    <w:rsid w:val="28DA6C60"/>
    <w:rsid w:val="28DB0A30"/>
    <w:rsid w:val="28F33F0D"/>
    <w:rsid w:val="28F638CC"/>
    <w:rsid w:val="28F95F71"/>
    <w:rsid w:val="290753B9"/>
    <w:rsid w:val="291712DF"/>
    <w:rsid w:val="29192BE8"/>
    <w:rsid w:val="291C432F"/>
    <w:rsid w:val="291C4FD6"/>
    <w:rsid w:val="292A375F"/>
    <w:rsid w:val="293067E3"/>
    <w:rsid w:val="29316984"/>
    <w:rsid w:val="293310A0"/>
    <w:rsid w:val="2938092A"/>
    <w:rsid w:val="293966D9"/>
    <w:rsid w:val="2946144E"/>
    <w:rsid w:val="294A5BC8"/>
    <w:rsid w:val="29504176"/>
    <w:rsid w:val="29614C64"/>
    <w:rsid w:val="296B20A7"/>
    <w:rsid w:val="297D1A8B"/>
    <w:rsid w:val="29830015"/>
    <w:rsid w:val="29981CF5"/>
    <w:rsid w:val="29A4634A"/>
    <w:rsid w:val="29A84DD1"/>
    <w:rsid w:val="29AA2390"/>
    <w:rsid w:val="29B85AFC"/>
    <w:rsid w:val="29BB74AF"/>
    <w:rsid w:val="29CD2270"/>
    <w:rsid w:val="29CF5498"/>
    <w:rsid w:val="29D22D87"/>
    <w:rsid w:val="29EB2636"/>
    <w:rsid w:val="29F26903"/>
    <w:rsid w:val="2A0F7591"/>
    <w:rsid w:val="2A3B063B"/>
    <w:rsid w:val="2A447D8F"/>
    <w:rsid w:val="2A477F01"/>
    <w:rsid w:val="2A49761F"/>
    <w:rsid w:val="2A4C74B8"/>
    <w:rsid w:val="2A500712"/>
    <w:rsid w:val="2A627A42"/>
    <w:rsid w:val="2A630308"/>
    <w:rsid w:val="2A676AD0"/>
    <w:rsid w:val="2A687AA6"/>
    <w:rsid w:val="2A770CC7"/>
    <w:rsid w:val="2A8437F5"/>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3806"/>
    <w:rsid w:val="2B5B7165"/>
    <w:rsid w:val="2B611B55"/>
    <w:rsid w:val="2B686C09"/>
    <w:rsid w:val="2B8A43BC"/>
    <w:rsid w:val="2B8B34AB"/>
    <w:rsid w:val="2B914C5E"/>
    <w:rsid w:val="2BB44220"/>
    <w:rsid w:val="2BB61EA7"/>
    <w:rsid w:val="2BBA6EF5"/>
    <w:rsid w:val="2BC03979"/>
    <w:rsid w:val="2BC41961"/>
    <w:rsid w:val="2BC941AF"/>
    <w:rsid w:val="2BDC02CD"/>
    <w:rsid w:val="2BE044B3"/>
    <w:rsid w:val="2BEC4F7F"/>
    <w:rsid w:val="2BF01DD3"/>
    <w:rsid w:val="2BF02C47"/>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15DFA"/>
    <w:rsid w:val="2C9A28D3"/>
    <w:rsid w:val="2CBC4209"/>
    <w:rsid w:val="2CCB109D"/>
    <w:rsid w:val="2CDA4FDA"/>
    <w:rsid w:val="2CDC7091"/>
    <w:rsid w:val="2CFD5C64"/>
    <w:rsid w:val="2D0128E8"/>
    <w:rsid w:val="2D0E231B"/>
    <w:rsid w:val="2D1A1A6B"/>
    <w:rsid w:val="2D1A3529"/>
    <w:rsid w:val="2D1A4915"/>
    <w:rsid w:val="2D306B85"/>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4B3DA8"/>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3B8F"/>
    <w:rsid w:val="2F4530B9"/>
    <w:rsid w:val="2F4B7821"/>
    <w:rsid w:val="2F526911"/>
    <w:rsid w:val="2F612D64"/>
    <w:rsid w:val="2F712CF7"/>
    <w:rsid w:val="2F7645B8"/>
    <w:rsid w:val="2F805714"/>
    <w:rsid w:val="2F8E5F5C"/>
    <w:rsid w:val="2FA21231"/>
    <w:rsid w:val="2FAD4759"/>
    <w:rsid w:val="2FCA0967"/>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27F44"/>
    <w:rsid w:val="31C85770"/>
    <w:rsid w:val="31CA5CF8"/>
    <w:rsid w:val="31CB26CD"/>
    <w:rsid w:val="31D06A52"/>
    <w:rsid w:val="31F20023"/>
    <w:rsid w:val="31FA7AEE"/>
    <w:rsid w:val="31FB60C5"/>
    <w:rsid w:val="3209100C"/>
    <w:rsid w:val="32197273"/>
    <w:rsid w:val="32226597"/>
    <w:rsid w:val="3238698E"/>
    <w:rsid w:val="324968A9"/>
    <w:rsid w:val="324F1DD8"/>
    <w:rsid w:val="32563157"/>
    <w:rsid w:val="32666821"/>
    <w:rsid w:val="326B7BBB"/>
    <w:rsid w:val="327A3DD6"/>
    <w:rsid w:val="327E6AD8"/>
    <w:rsid w:val="32946A84"/>
    <w:rsid w:val="32B145E6"/>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E330B"/>
    <w:rsid w:val="337F446B"/>
    <w:rsid w:val="339902E6"/>
    <w:rsid w:val="33A156DE"/>
    <w:rsid w:val="33B70359"/>
    <w:rsid w:val="33BA1B32"/>
    <w:rsid w:val="33E20DF0"/>
    <w:rsid w:val="34087429"/>
    <w:rsid w:val="340B5F03"/>
    <w:rsid w:val="341315B5"/>
    <w:rsid w:val="34147AA7"/>
    <w:rsid w:val="341C7B90"/>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14DB5"/>
    <w:rsid w:val="34B51A96"/>
    <w:rsid w:val="34C800BD"/>
    <w:rsid w:val="34D47C8A"/>
    <w:rsid w:val="34DB0CAC"/>
    <w:rsid w:val="34E96A96"/>
    <w:rsid w:val="34E972FC"/>
    <w:rsid w:val="34FF2166"/>
    <w:rsid w:val="35086B54"/>
    <w:rsid w:val="351C075B"/>
    <w:rsid w:val="35333FF2"/>
    <w:rsid w:val="353C75ED"/>
    <w:rsid w:val="353E791E"/>
    <w:rsid w:val="354008AB"/>
    <w:rsid w:val="354C4714"/>
    <w:rsid w:val="354C7B38"/>
    <w:rsid w:val="354F28B8"/>
    <w:rsid w:val="35562F9E"/>
    <w:rsid w:val="355D687A"/>
    <w:rsid w:val="356579E8"/>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C4160"/>
    <w:rsid w:val="35F44E5C"/>
    <w:rsid w:val="35F45994"/>
    <w:rsid w:val="360164FC"/>
    <w:rsid w:val="3602050E"/>
    <w:rsid w:val="36101A49"/>
    <w:rsid w:val="361A2F27"/>
    <w:rsid w:val="36265F04"/>
    <w:rsid w:val="36297754"/>
    <w:rsid w:val="36366347"/>
    <w:rsid w:val="363F4D43"/>
    <w:rsid w:val="365F765A"/>
    <w:rsid w:val="36627C0A"/>
    <w:rsid w:val="36693B36"/>
    <w:rsid w:val="366B0AAA"/>
    <w:rsid w:val="366D49A8"/>
    <w:rsid w:val="36752210"/>
    <w:rsid w:val="36922B55"/>
    <w:rsid w:val="36980619"/>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4E71A6"/>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46A78"/>
    <w:rsid w:val="393544DD"/>
    <w:rsid w:val="393962EC"/>
    <w:rsid w:val="39457868"/>
    <w:rsid w:val="394935B8"/>
    <w:rsid w:val="394C557A"/>
    <w:rsid w:val="3952190F"/>
    <w:rsid w:val="395753F2"/>
    <w:rsid w:val="395C5A03"/>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7A245F"/>
    <w:rsid w:val="3A8B3C77"/>
    <w:rsid w:val="3A9A224E"/>
    <w:rsid w:val="3A9C1F8C"/>
    <w:rsid w:val="3A9D2551"/>
    <w:rsid w:val="3AA15A8E"/>
    <w:rsid w:val="3AA97F70"/>
    <w:rsid w:val="3ABF42F5"/>
    <w:rsid w:val="3ACA1E5F"/>
    <w:rsid w:val="3AFD37D0"/>
    <w:rsid w:val="3B016EE9"/>
    <w:rsid w:val="3B075C4E"/>
    <w:rsid w:val="3B333CFE"/>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A1130D"/>
    <w:rsid w:val="3DB17297"/>
    <w:rsid w:val="3DCD6921"/>
    <w:rsid w:val="3DCE0050"/>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767A1"/>
    <w:rsid w:val="3ECF0F50"/>
    <w:rsid w:val="3ECF234A"/>
    <w:rsid w:val="3ED04ACA"/>
    <w:rsid w:val="3ED671CD"/>
    <w:rsid w:val="3EE14A57"/>
    <w:rsid w:val="3EE21263"/>
    <w:rsid w:val="3EFB258B"/>
    <w:rsid w:val="3F144192"/>
    <w:rsid w:val="3F217DDA"/>
    <w:rsid w:val="3F384992"/>
    <w:rsid w:val="3F441B08"/>
    <w:rsid w:val="3F4A4087"/>
    <w:rsid w:val="3F5361F5"/>
    <w:rsid w:val="3F952814"/>
    <w:rsid w:val="3FA41C63"/>
    <w:rsid w:val="3FAB3D87"/>
    <w:rsid w:val="3FAB41A2"/>
    <w:rsid w:val="3FAE47F6"/>
    <w:rsid w:val="3FE210C1"/>
    <w:rsid w:val="3FEB1C22"/>
    <w:rsid w:val="3FEB1D33"/>
    <w:rsid w:val="3FF44FD5"/>
    <w:rsid w:val="400A1CFC"/>
    <w:rsid w:val="401E145A"/>
    <w:rsid w:val="40400533"/>
    <w:rsid w:val="405A424E"/>
    <w:rsid w:val="406B6CE3"/>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0C0621"/>
    <w:rsid w:val="412506DF"/>
    <w:rsid w:val="41304351"/>
    <w:rsid w:val="413B1BAB"/>
    <w:rsid w:val="414F41D7"/>
    <w:rsid w:val="414F7876"/>
    <w:rsid w:val="415A0FEF"/>
    <w:rsid w:val="41653B51"/>
    <w:rsid w:val="416C15E7"/>
    <w:rsid w:val="416E039C"/>
    <w:rsid w:val="41800377"/>
    <w:rsid w:val="418A1895"/>
    <w:rsid w:val="418B26ED"/>
    <w:rsid w:val="418D0CE3"/>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2FE215A"/>
    <w:rsid w:val="43112BE5"/>
    <w:rsid w:val="431B56C6"/>
    <w:rsid w:val="431C7B04"/>
    <w:rsid w:val="432E5E21"/>
    <w:rsid w:val="433C41B8"/>
    <w:rsid w:val="433D2335"/>
    <w:rsid w:val="43445D4A"/>
    <w:rsid w:val="43476354"/>
    <w:rsid w:val="4363090C"/>
    <w:rsid w:val="436A2192"/>
    <w:rsid w:val="438B6310"/>
    <w:rsid w:val="439C3431"/>
    <w:rsid w:val="439D0E7C"/>
    <w:rsid w:val="43A26A83"/>
    <w:rsid w:val="43CF2447"/>
    <w:rsid w:val="43D67A91"/>
    <w:rsid w:val="43E21F58"/>
    <w:rsid w:val="43E30134"/>
    <w:rsid w:val="43E35EF0"/>
    <w:rsid w:val="43F76F69"/>
    <w:rsid w:val="43FC0DB2"/>
    <w:rsid w:val="442F07CA"/>
    <w:rsid w:val="44373147"/>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244BE"/>
    <w:rsid w:val="459F2381"/>
    <w:rsid w:val="45A663F1"/>
    <w:rsid w:val="45B64B84"/>
    <w:rsid w:val="45E526A6"/>
    <w:rsid w:val="45E826B2"/>
    <w:rsid w:val="45E9423E"/>
    <w:rsid w:val="45EF7955"/>
    <w:rsid w:val="45F4334C"/>
    <w:rsid w:val="46466453"/>
    <w:rsid w:val="4662020E"/>
    <w:rsid w:val="466244F1"/>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64932"/>
    <w:rsid w:val="46CD1F17"/>
    <w:rsid w:val="46CF28DE"/>
    <w:rsid w:val="46D67289"/>
    <w:rsid w:val="46DD1D17"/>
    <w:rsid w:val="46E1018C"/>
    <w:rsid w:val="46E53AB0"/>
    <w:rsid w:val="46F37479"/>
    <w:rsid w:val="46FC2FE8"/>
    <w:rsid w:val="47033281"/>
    <w:rsid w:val="47065799"/>
    <w:rsid w:val="47073BE8"/>
    <w:rsid w:val="47333B1B"/>
    <w:rsid w:val="47351654"/>
    <w:rsid w:val="473D0BD8"/>
    <w:rsid w:val="47457188"/>
    <w:rsid w:val="47555092"/>
    <w:rsid w:val="47666951"/>
    <w:rsid w:val="47683159"/>
    <w:rsid w:val="479D7800"/>
    <w:rsid w:val="47B079D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C848BC"/>
    <w:rsid w:val="48D9514F"/>
    <w:rsid w:val="48DC218B"/>
    <w:rsid w:val="48F447F8"/>
    <w:rsid w:val="49075A63"/>
    <w:rsid w:val="490933FA"/>
    <w:rsid w:val="49224F55"/>
    <w:rsid w:val="49241D45"/>
    <w:rsid w:val="4935171C"/>
    <w:rsid w:val="49366254"/>
    <w:rsid w:val="49432B91"/>
    <w:rsid w:val="494502AA"/>
    <w:rsid w:val="494A12C6"/>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096C36"/>
    <w:rsid w:val="4A381BA6"/>
    <w:rsid w:val="4A3926E2"/>
    <w:rsid w:val="4A4172CE"/>
    <w:rsid w:val="4A43236C"/>
    <w:rsid w:val="4A4A176A"/>
    <w:rsid w:val="4A4D1B2E"/>
    <w:rsid w:val="4A6C0FC7"/>
    <w:rsid w:val="4A6D7FF3"/>
    <w:rsid w:val="4A7413BF"/>
    <w:rsid w:val="4A7D09F3"/>
    <w:rsid w:val="4A7F0E00"/>
    <w:rsid w:val="4A840EFE"/>
    <w:rsid w:val="4AA75186"/>
    <w:rsid w:val="4ABC0CF4"/>
    <w:rsid w:val="4AC4256B"/>
    <w:rsid w:val="4AC860DD"/>
    <w:rsid w:val="4AD162A8"/>
    <w:rsid w:val="4AD25C89"/>
    <w:rsid w:val="4AD768C6"/>
    <w:rsid w:val="4AF902F5"/>
    <w:rsid w:val="4AF94D42"/>
    <w:rsid w:val="4B0078B7"/>
    <w:rsid w:val="4B376E2E"/>
    <w:rsid w:val="4B385AE2"/>
    <w:rsid w:val="4B53122B"/>
    <w:rsid w:val="4B705844"/>
    <w:rsid w:val="4B7224D0"/>
    <w:rsid w:val="4B7A3C96"/>
    <w:rsid w:val="4B7D4F5D"/>
    <w:rsid w:val="4B82716C"/>
    <w:rsid w:val="4B8A2918"/>
    <w:rsid w:val="4B8E03BA"/>
    <w:rsid w:val="4B901807"/>
    <w:rsid w:val="4B973B0C"/>
    <w:rsid w:val="4B9B25E4"/>
    <w:rsid w:val="4BAD4CA2"/>
    <w:rsid w:val="4BC456EF"/>
    <w:rsid w:val="4BC647B0"/>
    <w:rsid w:val="4BDF4B49"/>
    <w:rsid w:val="4BE57E16"/>
    <w:rsid w:val="4BE819D0"/>
    <w:rsid w:val="4BE8649D"/>
    <w:rsid w:val="4C0236B4"/>
    <w:rsid w:val="4C192F75"/>
    <w:rsid w:val="4C1E085C"/>
    <w:rsid w:val="4C20259F"/>
    <w:rsid w:val="4C2C4418"/>
    <w:rsid w:val="4C312ECF"/>
    <w:rsid w:val="4C3A4874"/>
    <w:rsid w:val="4C422CA7"/>
    <w:rsid w:val="4C5035A1"/>
    <w:rsid w:val="4C5F0B5D"/>
    <w:rsid w:val="4C64471A"/>
    <w:rsid w:val="4C77619E"/>
    <w:rsid w:val="4C860543"/>
    <w:rsid w:val="4C880367"/>
    <w:rsid w:val="4C8C716F"/>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A111C"/>
    <w:rsid w:val="4D3F4840"/>
    <w:rsid w:val="4D410392"/>
    <w:rsid w:val="4D427BBD"/>
    <w:rsid w:val="4D570519"/>
    <w:rsid w:val="4D5C5732"/>
    <w:rsid w:val="4D656800"/>
    <w:rsid w:val="4D705706"/>
    <w:rsid w:val="4D891158"/>
    <w:rsid w:val="4D8B34C7"/>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74BFB"/>
    <w:rsid w:val="4E3A2C21"/>
    <w:rsid w:val="4E4475F5"/>
    <w:rsid w:val="4E587463"/>
    <w:rsid w:val="4E68543B"/>
    <w:rsid w:val="4E694E99"/>
    <w:rsid w:val="4E795FE9"/>
    <w:rsid w:val="4E797F06"/>
    <w:rsid w:val="4E904370"/>
    <w:rsid w:val="4E9F5613"/>
    <w:rsid w:val="4EAC241A"/>
    <w:rsid w:val="4EB67945"/>
    <w:rsid w:val="4ECA2CB3"/>
    <w:rsid w:val="4ECD01A7"/>
    <w:rsid w:val="4ED21D53"/>
    <w:rsid w:val="4EE4117D"/>
    <w:rsid w:val="4EE61722"/>
    <w:rsid w:val="4EE86D63"/>
    <w:rsid w:val="4EEC3838"/>
    <w:rsid w:val="4EEE11A3"/>
    <w:rsid w:val="4EFA78B0"/>
    <w:rsid w:val="4EFE4EC2"/>
    <w:rsid w:val="4EFF3444"/>
    <w:rsid w:val="4F0441E5"/>
    <w:rsid w:val="4F075A64"/>
    <w:rsid w:val="4F155F27"/>
    <w:rsid w:val="4F1A238F"/>
    <w:rsid w:val="4F264DF3"/>
    <w:rsid w:val="4F3D4163"/>
    <w:rsid w:val="4F50208E"/>
    <w:rsid w:val="4F584C20"/>
    <w:rsid w:val="4F7278C6"/>
    <w:rsid w:val="4F823D55"/>
    <w:rsid w:val="4F85034E"/>
    <w:rsid w:val="4F9775BC"/>
    <w:rsid w:val="4F983E33"/>
    <w:rsid w:val="4F9B5328"/>
    <w:rsid w:val="4FAB3627"/>
    <w:rsid w:val="4FB40C2C"/>
    <w:rsid w:val="4FBA52BE"/>
    <w:rsid w:val="4FBB5569"/>
    <w:rsid w:val="4FBF1E32"/>
    <w:rsid w:val="4FC803AA"/>
    <w:rsid w:val="4FD365FC"/>
    <w:rsid w:val="4FD62D61"/>
    <w:rsid w:val="4FDC6418"/>
    <w:rsid w:val="4FE15781"/>
    <w:rsid w:val="4FE3603D"/>
    <w:rsid w:val="4FF3706E"/>
    <w:rsid w:val="4FF5506D"/>
    <w:rsid w:val="4FF82C19"/>
    <w:rsid w:val="4FFF3806"/>
    <w:rsid w:val="50046739"/>
    <w:rsid w:val="50095827"/>
    <w:rsid w:val="50100572"/>
    <w:rsid w:val="50186BF6"/>
    <w:rsid w:val="501D3D62"/>
    <w:rsid w:val="50236D98"/>
    <w:rsid w:val="502B3674"/>
    <w:rsid w:val="502C4247"/>
    <w:rsid w:val="502D25A0"/>
    <w:rsid w:val="50347D28"/>
    <w:rsid w:val="503D5373"/>
    <w:rsid w:val="504261AC"/>
    <w:rsid w:val="5059498C"/>
    <w:rsid w:val="505F1426"/>
    <w:rsid w:val="50607726"/>
    <w:rsid w:val="506309DB"/>
    <w:rsid w:val="50752AF6"/>
    <w:rsid w:val="508431ED"/>
    <w:rsid w:val="509F1AB5"/>
    <w:rsid w:val="50B139BD"/>
    <w:rsid w:val="50BC25BD"/>
    <w:rsid w:val="50BD1498"/>
    <w:rsid w:val="50BE1B1D"/>
    <w:rsid w:val="50C51F05"/>
    <w:rsid w:val="50C65E30"/>
    <w:rsid w:val="50D228CF"/>
    <w:rsid w:val="50E63519"/>
    <w:rsid w:val="50ED76FB"/>
    <w:rsid w:val="51186B87"/>
    <w:rsid w:val="51187610"/>
    <w:rsid w:val="51375EB3"/>
    <w:rsid w:val="513853CC"/>
    <w:rsid w:val="51392D77"/>
    <w:rsid w:val="513F081D"/>
    <w:rsid w:val="514C1E16"/>
    <w:rsid w:val="51556F97"/>
    <w:rsid w:val="515A64E3"/>
    <w:rsid w:val="515C30A6"/>
    <w:rsid w:val="5161698E"/>
    <w:rsid w:val="51623986"/>
    <w:rsid w:val="517F00BC"/>
    <w:rsid w:val="5195533B"/>
    <w:rsid w:val="519B519C"/>
    <w:rsid w:val="519D2F03"/>
    <w:rsid w:val="51A1385A"/>
    <w:rsid w:val="51BE2EAE"/>
    <w:rsid w:val="51C32DF8"/>
    <w:rsid w:val="51DA5890"/>
    <w:rsid w:val="51EE7B3E"/>
    <w:rsid w:val="51F473EF"/>
    <w:rsid w:val="51F96848"/>
    <w:rsid w:val="52073487"/>
    <w:rsid w:val="521C5D43"/>
    <w:rsid w:val="521D7ED7"/>
    <w:rsid w:val="5239194F"/>
    <w:rsid w:val="52612620"/>
    <w:rsid w:val="526A546C"/>
    <w:rsid w:val="52790FD9"/>
    <w:rsid w:val="528C5E23"/>
    <w:rsid w:val="529F0D9B"/>
    <w:rsid w:val="52C60EA3"/>
    <w:rsid w:val="52CA3D8F"/>
    <w:rsid w:val="52CD21D8"/>
    <w:rsid w:val="52CF0A4A"/>
    <w:rsid w:val="52DD5B35"/>
    <w:rsid w:val="52DF42EC"/>
    <w:rsid w:val="52E427EA"/>
    <w:rsid w:val="52EF0051"/>
    <w:rsid w:val="52FC1C88"/>
    <w:rsid w:val="53112C1D"/>
    <w:rsid w:val="53155215"/>
    <w:rsid w:val="531621BA"/>
    <w:rsid w:val="531D0F10"/>
    <w:rsid w:val="531F319F"/>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B51AC2"/>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365F1"/>
    <w:rsid w:val="54B62C99"/>
    <w:rsid w:val="54DF688B"/>
    <w:rsid w:val="54E95643"/>
    <w:rsid w:val="550E6C32"/>
    <w:rsid w:val="55242C68"/>
    <w:rsid w:val="554E0863"/>
    <w:rsid w:val="555737A6"/>
    <w:rsid w:val="555953EB"/>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F03258"/>
    <w:rsid w:val="56214A7B"/>
    <w:rsid w:val="562E1F90"/>
    <w:rsid w:val="56373380"/>
    <w:rsid w:val="563B616D"/>
    <w:rsid w:val="56436207"/>
    <w:rsid w:val="566510CB"/>
    <w:rsid w:val="567215D4"/>
    <w:rsid w:val="56786B34"/>
    <w:rsid w:val="567A6CC0"/>
    <w:rsid w:val="567D540A"/>
    <w:rsid w:val="568D0940"/>
    <w:rsid w:val="56927DA4"/>
    <w:rsid w:val="56A04928"/>
    <w:rsid w:val="56A50EBB"/>
    <w:rsid w:val="56AD339E"/>
    <w:rsid w:val="56B16CBD"/>
    <w:rsid w:val="56B8020E"/>
    <w:rsid w:val="56B96F66"/>
    <w:rsid w:val="56BE75C0"/>
    <w:rsid w:val="56C71CAD"/>
    <w:rsid w:val="56CE5F20"/>
    <w:rsid w:val="56D20B58"/>
    <w:rsid w:val="56DA3EBA"/>
    <w:rsid w:val="56E33383"/>
    <w:rsid w:val="56ED5E03"/>
    <w:rsid w:val="56FB0134"/>
    <w:rsid w:val="56FC3D3B"/>
    <w:rsid w:val="57012351"/>
    <w:rsid w:val="57095761"/>
    <w:rsid w:val="5718006E"/>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D4409"/>
    <w:rsid w:val="585328D1"/>
    <w:rsid w:val="58590DD2"/>
    <w:rsid w:val="586E1447"/>
    <w:rsid w:val="5878285F"/>
    <w:rsid w:val="587E2D46"/>
    <w:rsid w:val="588509DD"/>
    <w:rsid w:val="58953B9F"/>
    <w:rsid w:val="58957A8C"/>
    <w:rsid w:val="589C0BA1"/>
    <w:rsid w:val="589F18E4"/>
    <w:rsid w:val="58A26665"/>
    <w:rsid w:val="58B156C4"/>
    <w:rsid w:val="58B8443B"/>
    <w:rsid w:val="58BC4002"/>
    <w:rsid w:val="58CA785A"/>
    <w:rsid w:val="58DB456A"/>
    <w:rsid w:val="58E909DD"/>
    <w:rsid w:val="58EB1C90"/>
    <w:rsid w:val="58F57D12"/>
    <w:rsid w:val="59241C32"/>
    <w:rsid w:val="59267EF0"/>
    <w:rsid w:val="59421F7E"/>
    <w:rsid w:val="59424509"/>
    <w:rsid w:val="594935F2"/>
    <w:rsid w:val="59573852"/>
    <w:rsid w:val="595748B2"/>
    <w:rsid w:val="595C0946"/>
    <w:rsid w:val="59604A5E"/>
    <w:rsid w:val="59642A7A"/>
    <w:rsid w:val="596B249E"/>
    <w:rsid w:val="596D32B4"/>
    <w:rsid w:val="59774D3E"/>
    <w:rsid w:val="599148CE"/>
    <w:rsid w:val="59A24ED6"/>
    <w:rsid w:val="59AF0514"/>
    <w:rsid w:val="59B64AF3"/>
    <w:rsid w:val="59B6531E"/>
    <w:rsid w:val="59B75E8A"/>
    <w:rsid w:val="59BC0F73"/>
    <w:rsid w:val="59BD2911"/>
    <w:rsid w:val="59BE1CC3"/>
    <w:rsid w:val="59C13A26"/>
    <w:rsid w:val="59D80915"/>
    <w:rsid w:val="59D906FD"/>
    <w:rsid w:val="59DA6C9E"/>
    <w:rsid w:val="59E11C9B"/>
    <w:rsid w:val="59EB0D06"/>
    <w:rsid w:val="59F511B7"/>
    <w:rsid w:val="59FF2F18"/>
    <w:rsid w:val="5A0640DE"/>
    <w:rsid w:val="5A1215B1"/>
    <w:rsid w:val="5A1855C0"/>
    <w:rsid w:val="5A1D0AF2"/>
    <w:rsid w:val="5A1F5196"/>
    <w:rsid w:val="5A227353"/>
    <w:rsid w:val="5A2D0557"/>
    <w:rsid w:val="5A340B09"/>
    <w:rsid w:val="5A3F3527"/>
    <w:rsid w:val="5A440B9D"/>
    <w:rsid w:val="5A5128C3"/>
    <w:rsid w:val="5A575C31"/>
    <w:rsid w:val="5A5C7772"/>
    <w:rsid w:val="5A6336A1"/>
    <w:rsid w:val="5A6B7C88"/>
    <w:rsid w:val="5A73612A"/>
    <w:rsid w:val="5A90223F"/>
    <w:rsid w:val="5A991629"/>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033B3"/>
    <w:rsid w:val="5B532679"/>
    <w:rsid w:val="5B5B64C5"/>
    <w:rsid w:val="5B5D71A8"/>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0C211E"/>
    <w:rsid w:val="5C1832F4"/>
    <w:rsid w:val="5C1A3044"/>
    <w:rsid w:val="5C463908"/>
    <w:rsid w:val="5C5E033F"/>
    <w:rsid w:val="5C6875EE"/>
    <w:rsid w:val="5C6F12DC"/>
    <w:rsid w:val="5C7534B9"/>
    <w:rsid w:val="5CB170DE"/>
    <w:rsid w:val="5CC43404"/>
    <w:rsid w:val="5CC93DAE"/>
    <w:rsid w:val="5CD31EE3"/>
    <w:rsid w:val="5CE1654F"/>
    <w:rsid w:val="5D072BC8"/>
    <w:rsid w:val="5D076525"/>
    <w:rsid w:val="5D0A3A75"/>
    <w:rsid w:val="5D210D2E"/>
    <w:rsid w:val="5D2B5629"/>
    <w:rsid w:val="5D2E45E5"/>
    <w:rsid w:val="5D315CEB"/>
    <w:rsid w:val="5D3B59DF"/>
    <w:rsid w:val="5D473075"/>
    <w:rsid w:val="5D5830EC"/>
    <w:rsid w:val="5D5864DB"/>
    <w:rsid w:val="5D73393B"/>
    <w:rsid w:val="5D784379"/>
    <w:rsid w:val="5D7B3457"/>
    <w:rsid w:val="5D8B2715"/>
    <w:rsid w:val="5D915AFD"/>
    <w:rsid w:val="5D930ED4"/>
    <w:rsid w:val="5D9F7C74"/>
    <w:rsid w:val="5DAE2E8C"/>
    <w:rsid w:val="5DAE7F34"/>
    <w:rsid w:val="5DB65502"/>
    <w:rsid w:val="5DFB7543"/>
    <w:rsid w:val="5E00720B"/>
    <w:rsid w:val="5E012896"/>
    <w:rsid w:val="5E0A6049"/>
    <w:rsid w:val="5E156B70"/>
    <w:rsid w:val="5E21165A"/>
    <w:rsid w:val="5E226508"/>
    <w:rsid w:val="5E54270A"/>
    <w:rsid w:val="5E5A786A"/>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340C2"/>
    <w:rsid w:val="5F966692"/>
    <w:rsid w:val="5FA00A10"/>
    <w:rsid w:val="5FA4374A"/>
    <w:rsid w:val="5FA4380A"/>
    <w:rsid w:val="5FB25387"/>
    <w:rsid w:val="5FC53509"/>
    <w:rsid w:val="5FD20829"/>
    <w:rsid w:val="5FFE6C22"/>
    <w:rsid w:val="60000309"/>
    <w:rsid w:val="600A1A34"/>
    <w:rsid w:val="600B6B90"/>
    <w:rsid w:val="600C3224"/>
    <w:rsid w:val="600F6605"/>
    <w:rsid w:val="60143AD3"/>
    <w:rsid w:val="60281FCD"/>
    <w:rsid w:val="60361BF9"/>
    <w:rsid w:val="60374F33"/>
    <w:rsid w:val="603771DA"/>
    <w:rsid w:val="60734371"/>
    <w:rsid w:val="6085543E"/>
    <w:rsid w:val="60885F4F"/>
    <w:rsid w:val="60907882"/>
    <w:rsid w:val="609517E9"/>
    <w:rsid w:val="609A2B73"/>
    <w:rsid w:val="60B30419"/>
    <w:rsid w:val="60BA0952"/>
    <w:rsid w:val="60C5483E"/>
    <w:rsid w:val="60C867C5"/>
    <w:rsid w:val="60D3354A"/>
    <w:rsid w:val="60DA2498"/>
    <w:rsid w:val="60DB0800"/>
    <w:rsid w:val="60DE0DB6"/>
    <w:rsid w:val="60E54273"/>
    <w:rsid w:val="60F46839"/>
    <w:rsid w:val="61067A64"/>
    <w:rsid w:val="610C7D1D"/>
    <w:rsid w:val="6112529A"/>
    <w:rsid w:val="611F0B09"/>
    <w:rsid w:val="61200AAF"/>
    <w:rsid w:val="612D2321"/>
    <w:rsid w:val="61421C60"/>
    <w:rsid w:val="61455CF4"/>
    <w:rsid w:val="616E223F"/>
    <w:rsid w:val="616F4360"/>
    <w:rsid w:val="61751F59"/>
    <w:rsid w:val="617C28AF"/>
    <w:rsid w:val="617D11C0"/>
    <w:rsid w:val="617E6703"/>
    <w:rsid w:val="61925C83"/>
    <w:rsid w:val="61963257"/>
    <w:rsid w:val="619C38B4"/>
    <w:rsid w:val="61A4486B"/>
    <w:rsid w:val="61B33DDF"/>
    <w:rsid w:val="61BB4A1B"/>
    <w:rsid w:val="61BC23E5"/>
    <w:rsid w:val="61D21120"/>
    <w:rsid w:val="61DB7751"/>
    <w:rsid w:val="61E728F9"/>
    <w:rsid w:val="61F3667F"/>
    <w:rsid w:val="61FB110C"/>
    <w:rsid w:val="620B2B74"/>
    <w:rsid w:val="62185165"/>
    <w:rsid w:val="62460FCD"/>
    <w:rsid w:val="62467E70"/>
    <w:rsid w:val="62480FF0"/>
    <w:rsid w:val="624B14C1"/>
    <w:rsid w:val="62630C6B"/>
    <w:rsid w:val="627301E8"/>
    <w:rsid w:val="6295194F"/>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5B7D3C"/>
    <w:rsid w:val="646C4EF1"/>
    <w:rsid w:val="64706C6F"/>
    <w:rsid w:val="648B777B"/>
    <w:rsid w:val="64937D17"/>
    <w:rsid w:val="6494650D"/>
    <w:rsid w:val="649611D3"/>
    <w:rsid w:val="649A6134"/>
    <w:rsid w:val="649D2569"/>
    <w:rsid w:val="64A41669"/>
    <w:rsid w:val="64A51362"/>
    <w:rsid w:val="64A55A03"/>
    <w:rsid w:val="64B125F0"/>
    <w:rsid w:val="64B453B1"/>
    <w:rsid w:val="64BE5702"/>
    <w:rsid w:val="64CF05E4"/>
    <w:rsid w:val="64D93F02"/>
    <w:rsid w:val="64EA4517"/>
    <w:rsid w:val="64FC561C"/>
    <w:rsid w:val="64FE0E31"/>
    <w:rsid w:val="651A5C6A"/>
    <w:rsid w:val="651C38DB"/>
    <w:rsid w:val="65204394"/>
    <w:rsid w:val="6522790C"/>
    <w:rsid w:val="653E30BA"/>
    <w:rsid w:val="653E78B1"/>
    <w:rsid w:val="65403733"/>
    <w:rsid w:val="655754CB"/>
    <w:rsid w:val="655E2D72"/>
    <w:rsid w:val="65611E60"/>
    <w:rsid w:val="656171FC"/>
    <w:rsid w:val="6570700F"/>
    <w:rsid w:val="657F0CE6"/>
    <w:rsid w:val="65833C4F"/>
    <w:rsid w:val="658B2EE1"/>
    <w:rsid w:val="658B37B6"/>
    <w:rsid w:val="658D4A39"/>
    <w:rsid w:val="659C17EE"/>
    <w:rsid w:val="65B40820"/>
    <w:rsid w:val="65BD3777"/>
    <w:rsid w:val="65C32ABF"/>
    <w:rsid w:val="65D70270"/>
    <w:rsid w:val="66032E7B"/>
    <w:rsid w:val="66053581"/>
    <w:rsid w:val="660A19B0"/>
    <w:rsid w:val="661002E8"/>
    <w:rsid w:val="661026AA"/>
    <w:rsid w:val="661177DB"/>
    <w:rsid w:val="66265B2E"/>
    <w:rsid w:val="663D054E"/>
    <w:rsid w:val="66460692"/>
    <w:rsid w:val="666503F2"/>
    <w:rsid w:val="666F5EBF"/>
    <w:rsid w:val="6679372B"/>
    <w:rsid w:val="667B3C56"/>
    <w:rsid w:val="66844CDD"/>
    <w:rsid w:val="66980BF6"/>
    <w:rsid w:val="66B35222"/>
    <w:rsid w:val="66B81454"/>
    <w:rsid w:val="66BE1292"/>
    <w:rsid w:val="66BF76F1"/>
    <w:rsid w:val="66CD47E0"/>
    <w:rsid w:val="66DA3497"/>
    <w:rsid w:val="66DC5BF8"/>
    <w:rsid w:val="66E173F9"/>
    <w:rsid w:val="66E3226C"/>
    <w:rsid w:val="66E611A7"/>
    <w:rsid w:val="66EC287F"/>
    <w:rsid w:val="66EC5E36"/>
    <w:rsid w:val="66F17695"/>
    <w:rsid w:val="67181932"/>
    <w:rsid w:val="672A4901"/>
    <w:rsid w:val="67441B08"/>
    <w:rsid w:val="67510C8A"/>
    <w:rsid w:val="67513E69"/>
    <w:rsid w:val="675A17FE"/>
    <w:rsid w:val="676E1585"/>
    <w:rsid w:val="677E2FA1"/>
    <w:rsid w:val="67836FB1"/>
    <w:rsid w:val="67854D6A"/>
    <w:rsid w:val="678A44B2"/>
    <w:rsid w:val="678C1D52"/>
    <w:rsid w:val="67901F4B"/>
    <w:rsid w:val="67973403"/>
    <w:rsid w:val="67A67078"/>
    <w:rsid w:val="67AC341B"/>
    <w:rsid w:val="67B0696C"/>
    <w:rsid w:val="67B74EAA"/>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8FE3B95"/>
    <w:rsid w:val="690C5E8F"/>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04F3B"/>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2064F"/>
    <w:rsid w:val="6AD6142A"/>
    <w:rsid w:val="6AE26C27"/>
    <w:rsid w:val="6AED013C"/>
    <w:rsid w:val="6AF159FF"/>
    <w:rsid w:val="6AF63F29"/>
    <w:rsid w:val="6B285741"/>
    <w:rsid w:val="6B340EF1"/>
    <w:rsid w:val="6B3D06AC"/>
    <w:rsid w:val="6B444BB7"/>
    <w:rsid w:val="6B4B2C3B"/>
    <w:rsid w:val="6B5B0A52"/>
    <w:rsid w:val="6B5B7218"/>
    <w:rsid w:val="6B5D2504"/>
    <w:rsid w:val="6B686E86"/>
    <w:rsid w:val="6B6C560D"/>
    <w:rsid w:val="6B846AF2"/>
    <w:rsid w:val="6B95396B"/>
    <w:rsid w:val="6BBB00B1"/>
    <w:rsid w:val="6BBD3E9D"/>
    <w:rsid w:val="6BC03721"/>
    <w:rsid w:val="6BC55B54"/>
    <w:rsid w:val="6BCC01D5"/>
    <w:rsid w:val="6BCF2DCA"/>
    <w:rsid w:val="6BDD0493"/>
    <w:rsid w:val="6BDE54AC"/>
    <w:rsid w:val="6BE068F6"/>
    <w:rsid w:val="6BF229CE"/>
    <w:rsid w:val="6BF25C39"/>
    <w:rsid w:val="6C06150E"/>
    <w:rsid w:val="6C155F31"/>
    <w:rsid w:val="6C206E21"/>
    <w:rsid w:val="6C263A06"/>
    <w:rsid w:val="6C375FAB"/>
    <w:rsid w:val="6C3A624E"/>
    <w:rsid w:val="6C3F4795"/>
    <w:rsid w:val="6C431738"/>
    <w:rsid w:val="6C505966"/>
    <w:rsid w:val="6C5D04BB"/>
    <w:rsid w:val="6C5D2B1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0832CF"/>
    <w:rsid w:val="6D274676"/>
    <w:rsid w:val="6D2F4B50"/>
    <w:rsid w:val="6D385ED1"/>
    <w:rsid w:val="6D3B5923"/>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265EB"/>
    <w:rsid w:val="6E035B81"/>
    <w:rsid w:val="6E0F0D37"/>
    <w:rsid w:val="6E0F320E"/>
    <w:rsid w:val="6E131686"/>
    <w:rsid w:val="6E141217"/>
    <w:rsid w:val="6E1B4CD0"/>
    <w:rsid w:val="6E2A0DD8"/>
    <w:rsid w:val="6E376A3A"/>
    <w:rsid w:val="6E3F1C0F"/>
    <w:rsid w:val="6E567CD0"/>
    <w:rsid w:val="6E575BA4"/>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F5C06"/>
    <w:rsid w:val="6FB80EE8"/>
    <w:rsid w:val="6FBA2B03"/>
    <w:rsid w:val="6FD36624"/>
    <w:rsid w:val="6FE53444"/>
    <w:rsid w:val="6FEC4532"/>
    <w:rsid w:val="6FF1528E"/>
    <w:rsid w:val="70015038"/>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CF3906"/>
    <w:rsid w:val="70D91094"/>
    <w:rsid w:val="70DB76EF"/>
    <w:rsid w:val="70E47264"/>
    <w:rsid w:val="710B03C6"/>
    <w:rsid w:val="71121177"/>
    <w:rsid w:val="712D2ADB"/>
    <w:rsid w:val="712D4159"/>
    <w:rsid w:val="71346CB6"/>
    <w:rsid w:val="7136388E"/>
    <w:rsid w:val="71397D34"/>
    <w:rsid w:val="714200B6"/>
    <w:rsid w:val="71431855"/>
    <w:rsid w:val="7143374A"/>
    <w:rsid w:val="715117C4"/>
    <w:rsid w:val="71536701"/>
    <w:rsid w:val="715D365A"/>
    <w:rsid w:val="715D7038"/>
    <w:rsid w:val="716A160C"/>
    <w:rsid w:val="716B5F96"/>
    <w:rsid w:val="71747EDF"/>
    <w:rsid w:val="718B3A9F"/>
    <w:rsid w:val="71936186"/>
    <w:rsid w:val="71AF2F66"/>
    <w:rsid w:val="71B118B1"/>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5530C"/>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124EF"/>
    <w:rsid w:val="73343997"/>
    <w:rsid w:val="73370B0A"/>
    <w:rsid w:val="733C723A"/>
    <w:rsid w:val="733C7C6A"/>
    <w:rsid w:val="73634D11"/>
    <w:rsid w:val="736411CC"/>
    <w:rsid w:val="73690216"/>
    <w:rsid w:val="736A02D8"/>
    <w:rsid w:val="73893467"/>
    <w:rsid w:val="738A36E1"/>
    <w:rsid w:val="73912A81"/>
    <w:rsid w:val="739B1EFF"/>
    <w:rsid w:val="73A16D22"/>
    <w:rsid w:val="73B1400F"/>
    <w:rsid w:val="73BA064C"/>
    <w:rsid w:val="73BB3C6E"/>
    <w:rsid w:val="73CE1997"/>
    <w:rsid w:val="73D11932"/>
    <w:rsid w:val="73DE1AB7"/>
    <w:rsid w:val="73EC7C9D"/>
    <w:rsid w:val="7407051F"/>
    <w:rsid w:val="741076D1"/>
    <w:rsid w:val="74215D04"/>
    <w:rsid w:val="742A0965"/>
    <w:rsid w:val="742D6DB6"/>
    <w:rsid w:val="744642D9"/>
    <w:rsid w:val="744C2D8A"/>
    <w:rsid w:val="74522D94"/>
    <w:rsid w:val="74775754"/>
    <w:rsid w:val="74B06962"/>
    <w:rsid w:val="74B32215"/>
    <w:rsid w:val="74C46840"/>
    <w:rsid w:val="74C976F2"/>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12422"/>
    <w:rsid w:val="76424474"/>
    <w:rsid w:val="76437632"/>
    <w:rsid w:val="76451CD6"/>
    <w:rsid w:val="76452780"/>
    <w:rsid w:val="764F7670"/>
    <w:rsid w:val="76587361"/>
    <w:rsid w:val="76690632"/>
    <w:rsid w:val="767469E2"/>
    <w:rsid w:val="76775F0B"/>
    <w:rsid w:val="767C376B"/>
    <w:rsid w:val="767E2DAC"/>
    <w:rsid w:val="76894819"/>
    <w:rsid w:val="768D57E3"/>
    <w:rsid w:val="76932317"/>
    <w:rsid w:val="76B153BA"/>
    <w:rsid w:val="76C72CA0"/>
    <w:rsid w:val="76ED0EF4"/>
    <w:rsid w:val="76F2295F"/>
    <w:rsid w:val="76F50A9F"/>
    <w:rsid w:val="76FD2D1D"/>
    <w:rsid w:val="77187F65"/>
    <w:rsid w:val="77271048"/>
    <w:rsid w:val="7729766A"/>
    <w:rsid w:val="772D35A6"/>
    <w:rsid w:val="773A62B8"/>
    <w:rsid w:val="77422DC5"/>
    <w:rsid w:val="774B3934"/>
    <w:rsid w:val="77570E77"/>
    <w:rsid w:val="77681155"/>
    <w:rsid w:val="777B5F51"/>
    <w:rsid w:val="777D53E6"/>
    <w:rsid w:val="77847A56"/>
    <w:rsid w:val="778F0D7D"/>
    <w:rsid w:val="778F49BD"/>
    <w:rsid w:val="77966F4C"/>
    <w:rsid w:val="779C6347"/>
    <w:rsid w:val="77A31525"/>
    <w:rsid w:val="77A75021"/>
    <w:rsid w:val="77B4796D"/>
    <w:rsid w:val="77B8689C"/>
    <w:rsid w:val="77C2510C"/>
    <w:rsid w:val="77C833A2"/>
    <w:rsid w:val="78036043"/>
    <w:rsid w:val="7813374F"/>
    <w:rsid w:val="781838FF"/>
    <w:rsid w:val="781B3886"/>
    <w:rsid w:val="782E0F62"/>
    <w:rsid w:val="78316382"/>
    <w:rsid w:val="78375EBD"/>
    <w:rsid w:val="784151EC"/>
    <w:rsid w:val="78555549"/>
    <w:rsid w:val="787659AD"/>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90174F"/>
    <w:rsid w:val="79A15149"/>
    <w:rsid w:val="79A37CCA"/>
    <w:rsid w:val="79BF2784"/>
    <w:rsid w:val="79C24EDF"/>
    <w:rsid w:val="79C95AED"/>
    <w:rsid w:val="79E004EE"/>
    <w:rsid w:val="79E12ED9"/>
    <w:rsid w:val="79E352FF"/>
    <w:rsid w:val="79E9023D"/>
    <w:rsid w:val="79ED6701"/>
    <w:rsid w:val="79FA109A"/>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F3543A"/>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595DE5"/>
    <w:rsid w:val="7C610C91"/>
    <w:rsid w:val="7C613AEC"/>
    <w:rsid w:val="7C734075"/>
    <w:rsid w:val="7C815D2A"/>
    <w:rsid w:val="7C831756"/>
    <w:rsid w:val="7CA34F94"/>
    <w:rsid w:val="7CA67728"/>
    <w:rsid w:val="7CB62523"/>
    <w:rsid w:val="7CE70935"/>
    <w:rsid w:val="7CF84A31"/>
    <w:rsid w:val="7CFC44C2"/>
    <w:rsid w:val="7D013B39"/>
    <w:rsid w:val="7D0826CA"/>
    <w:rsid w:val="7D130509"/>
    <w:rsid w:val="7D182D5A"/>
    <w:rsid w:val="7D1946C0"/>
    <w:rsid w:val="7D21286D"/>
    <w:rsid w:val="7D2A5CCB"/>
    <w:rsid w:val="7D401CAA"/>
    <w:rsid w:val="7D4E195B"/>
    <w:rsid w:val="7D64087E"/>
    <w:rsid w:val="7D7A555A"/>
    <w:rsid w:val="7D7F5298"/>
    <w:rsid w:val="7D811243"/>
    <w:rsid w:val="7D8362BA"/>
    <w:rsid w:val="7D9342FF"/>
    <w:rsid w:val="7DAB10BD"/>
    <w:rsid w:val="7DD7657D"/>
    <w:rsid w:val="7DF464FC"/>
    <w:rsid w:val="7DFB2B0A"/>
    <w:rsid w:val="7E006A11"/>
    <w:rsid w:val="7E054F9B"/>
    <w:rsid w:val="7E1C55F3"/>
    <w:rsid w:val="7E2E7D3F"/>
    <w:rsid w:val="7E347694"/>
    <w:rsid w:val="7E3B4055"/>
    <w:rsid w:val="7E3B5911"/>
    <w:rsid w:val="7E495416"/>
    <w:rsid w:val="7E497873"/>
    <w:rsid w:val="7E573082"/>
    <w:rsid w:val="7E750E81"/>
    <w:rsid w:val="7E7F5DCA"/>
    <w:rsid w:val="7E9044A6"/>
    <w:rsid w:val="7E922E52"/>
    <w:rsid w:val="7E9B5C66"/>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1F60CC"/>
    <w:rsid w:val="7F314300"/>
    <w:rsid w:val="7F3B01C9"/>
    <w:rsid w:val="7F4B52CF"/>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ZTE2</cp:lastModifiedBy>
  <dcterms:modified xsi:type="dcterms:W3CDTF">2021-08-06T13:25:24Z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