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7E492" w14:textId="1828AE49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>
        <w:rPr>
          <w:rFonts w:ascii="Arial" w:eastAsia="SimSun" w:hAnsi="Arial" w:cs="Times New Roman"/>
          <w:b/>
          <w:sz w:val="24"/>
          <w:szCs w:val="20"/>
          <w:lang w:val="en-GB"/>
        </w:rPr>
        <w:t>100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8186A" w:rsidRPr="0038186A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R4-2113224</w:t>
      </w:r>
    </w:p>
    <w:p w14:paraId="0E08746F" w14:textId="0917D5AC" w:rsidR="00A16295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- 2</w:t>
      </w:r>
      <w:r w:rsidR="001017B1">
        <w:rPr>
          <w:rFonts w:ascii="Arial" w:eastAsia="SimSun" w:hAnsi="Arial" w:cs="Times New Roman"/>
          <w:b/>
          <w:bCs/>
          <w:sz w:val="24"/>
          <w:szCs w:val="24"/>
          <w:lang w:val="en-GB"/>
        </w:rPr>
        <w:t>8</w:t>
      </w:r>
      <w:r>
        <w:rPr>
          <w:rFonts w:ascii="Arial" w:eastAsia="SimSun" w:hAnsi="Arial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B96908">
        <w:rPr>
          <w:rFonts w:ascii="Arial" w:eastAsia="SimSun" w:hAnsi="Arial" w:cs="Times New Roman"/>
          <w:b/>
          <w:bCs/>
          <w:sz w:val="24"/>
          <w:szCs w:val="24"/>
          <w:lang w:val="en-GB"/>
        </w:rPr>
        <w:t>May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2021</w:t>
      </w:r>
    </w:p>
    <w:bookmarkEnd w:id="0"/>
    <w:bookmarkEnd w:id="1"/>
    <w:p w14:paraId="75676D0F" w14:textId="77777777" w:rsidR="00A16295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455DB6E1" w:rsidR="00A16295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F5608A">
        <w:rPr>
          <w:rFonts w:ascii="Arial" w:eastAsia="Calibri" w:hAnsi="Arial" w:cs="Arial"/>
          <w:b/>
          <w:bCs/>
          <w:sz w:val="24"/>
          <w:lang w:val="en-GB"/>
        </w:rPr>
        <w:t>measurement gap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  <w:r w:rsidR="00F34C86">
        <w:rPr>
          <w:rFonts w:ascii="Arial" w:eastAsia="Calibri" w:hAnsi="Arial" w:cs="Arial"/>
          <w:b/>
          <w:bCs/>
          <w:sz w:val="24"/>
          <w:lang w:val="en-US"/>
        </w:rPr>
        <w:t>requirements</w:t>
      </w:r>
      <w:r w:rsidR="00B96908">
        <w:rPr>
          <w:rFonts w:ascii="Arial" w:eastAsia="Calibri" w:hAnsi="Arial" w:cs="Arial"/>
          <w:b/>
          <w:bCs/>
          <w:sz w:val="24"/>
          <w:lang w:val="en-US"/>
        </w:rPr>
        <w:t xml:space="preserve"> for extension to</w:t>
      </w:r>
      <w:r>
        <w:rPr>
          <w:rFonts w:ascii="Arial" w:eastAsia="Calibri" w:hAnsi="Arial" w:cs="Arial"/>
          <w:b/>
          <w:bCs/>
          <w:sz w:val="24"/>
          <w:lang w:val="en-US"/>
        </w:rPr>
        <w:t xml:space="preserve"> 71 GHz</w:t>
      </w:r>
    </w:p>
    <w:p w14:paraId="47A48222" w14:textId="17C73697" w:rsidR="00A16295" w:rsidRPr="00F34C86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4C86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Agenda item: </w:t>
      </w:r>
      <w:r w:rsidRPr="00F34C86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C87204">
        <w:rPr>
          <w:rFonts w:ascii="Arial" w:eastAsia="MS Mincho" w:hAnsi="Arial" w:cs="Arial"/>
          <w:b/>
          <w:bCs/>
          <w:sz w:val="24"/>
          <w:szCs w:val="20"/>
          <w:lang w:val="pt-BR"/>
        </w:rPr>
        <w:t>9</w:t>
      </w:r>
      <w:r w:rsidR="002E6C5B">
        <w:rPr>
          <w:rFonts w:ascii="Arial" w:eastAsia="MS Mincho" w:hAnsi="Arial" w:cs="Arial"/>
          <w:b/>
          <w:bCs/>
          <w:sz w:val="24"/>
          <w:szCs w:val="20"/>
          <w:lang w:val="pt-BR"/>
        </w:rPr>
        <w:t>.16.7.</w:t>
      </w:r>
      <w:r w:rsidR="00F5608A">
        <w:rPr>
          <w:rFonts w:ascii="Arial" w:eastAsia="MS Mincho" w:hAnsi="Arial" w:cs="Arial"/>
          <w:b/>
          <w:bCs/>
          <w:sz w:val="24"/>
          <w:szCs w:val="20"/>
          <w:lang w:val="pt-BR"/>
        </w:rPr>
        <w:t>5</w:t>
      </w:r>
    </w:p>
    <w:p w14:paraId="0D213556" w14:textId="3EE27B37" w:rsidR="00A16295" w:rsidRPr="008403BE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r w:rsidRPr="008403BE">
        <w:rPr>
          <w:rFonts w:ascii="Arial" w:eastAsia="Calibri" w:hAnsi="Arial" w:cs="Arial"/>
          <w:b/>
          <w:bCs/>
          <w:sz w:val="24"/>
          <w:szCs w:val="24"/>
          <w:lang w:val="pt-BR"/>
        </w:rPr>
        <w:t xml:space="preserve">Document for: </w:t>
      </w:r>
      <w:r w:rsidRPr="008403BE">
        <w:rPr>
          <w:rFonts w:ascii="Arial" w:eastAsia="Calibri" w:hAnsi="Arial" w:cs="Arial"/>
          <w:b/>
          <w:bCs/>
          <w:sz w:val="24"/>
          <w:lang w:val="pt-BR"/>
        </w:rPr>
        <w:tab/>
      </w:r>
      <w:r w:rsidR="00B96908" w:rsidRPr="008403BE">
        <w:rPr>
          <w:rFonts w:ascii="Arial" w:eastAsia="Calibri" w:hAnsi="Arial" w:cs="Arial"/>
          <w:b/>
          <w:bCs/>
          <w:sz w:val="24"/>
          <w:szCs w:val="24"/>
          <w:lang w:val="pt-BR"/>
        </w:rPr>
        <w:t>Discussion</w:t>
      </w:r>
    </w:p>
    <w:p w14:paraId="4E07D5B2" w14:textId="32F61889" w:rsidR="00A16295" w:rsidRDefault="001017B1" w:rsidP="001017B1">
      <w:pPr>
        <w:pStyle w:val="RAN4H1"/>
        <w:ind w:left="1134" w:hanging="1134"/>
      </w:pPr>
      <w:r>
        <w:t>Introduction</w:t>
      </w:r>
    </w:p>
    <w:p w14:paraId="2DB0004E" w14:textId="210682BA" w:rsidR="00A41803" w:rsidRDefault="001017B1" w:rsidP="00A41803">
      <w:pPr>
        <w:rPr>
          <w:lang w:val="en-GB"/>
        </w:rPr>
      </w:pPr>
      <w:r>
        <w:rPr>
          <w:lang w:val="en-GB"/>
        </w:rPr>
        <w:t xml:space="preserve">This paper presents Nokia’s view on RRM aspects related to the operation between 52.6 GHz and 71 GHz. </w:t>
      </w:r>
      <w:r w:rsidR="00493151">
        <w:rPr>
          <w:lang w:val="en-GB"/>
        </w:rPr>
        <w:t xml:space="preserve">As part of the workplan for this meeting the following was planned </w:t>
      </w:r>
      <w:r w:rsidR="00493151">
        <w:rPr>
          <w:lang w:val="en-GB"/>
        </w:rPr>
        <w:fldChar w:fldCharType="begin"/>
      </w:r>
      <w:r w:rsidR="00493151">
        <w:rPr>
          <w:lang w:val="en-GB"/>
        </w:rPr>
        <w:instrText xml:space="preserve"> REF _Ref74131708 \r \h </w:instrText>
      </w:r>
      <w:r w:rsidR="00493151">
        <w:rPr>
          <w:lang w:val="en-GB"/>
        </w:rPr>
      </w:r>
      <w:r w:rsidR="00493151">
        <w:rPr>
          <w:lang w:val="en-GB"/>
        </w:rPr>
        <w:fldChar w:fldCharType="separate"/>
      </w:r>
      <w:r w:rsidR="00493151">
        <w:rPr>
          <w:lang w:val="en-GB"/>
        </w:rPr>
        <w:t>[1]</w:t>
      </w:r>
      <w:r w:rsidR="00493151">
        <w:rPr>
          <w:lang w:val="en-GB"/>
        </w:rPr>
        <w:fldChar w:fldCharType="end"/>
      </w:r>
      <w:r w:rsidR="00A41803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1803" w14:paraId="6A4BFDFC" w14:textId="77777777" w:rsidTr="00F23670">
        <w:tc>
          <w:tcPr>
            <w:tcW w:w="9628" w:type="dxa"/>
          </w:tcPr>
          <w:p w14:paraId="71344571" w14:textId="77777777" w:rsidR="00493151" w:rsidRPr="00493151" w:rsidRDefault="00493151" w:rsidP="00493151">
            <w:pPr>
              <w:numPr>
                <w:ilvl w:val="0"/>
                <w:numId w:val="15"/>
              </w:numPr>
              <w:ind w:left="540"/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493151">
              <w:rPr>
                <w:rFonts w:ascii="Calibri" w:eastAsia="Times New Roman" w:hAnsi="Calibri" w:cs="Calibri"/>
                <w:lang w:val="en-US" w:eastAsia="da-DK"/>
              </w:rPr>
              <w:t>RAN4 #100e (Aug 2021) – RRM Core</w:t>
            </w:r>
          </w:p>
          <w:p w14:paraId="7D58F144" w14:textId="77777777" w:rsidR="00493151" w:rsidRPr="00493151" w:rsidRDefault="00493151" w:rsidP="00493151">
            <w:pPr>
              <w:numPr>
                <w:ilvl w:val="1"/>
                <w:numId w:val="15"/>
              </w:numPr>
              <w:ind w:left="1080"/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493151">
              <w:rPr>
                <w:rFonts w:ascii="Calibri" w:eastAsia="Times New Roman" w:hAnsi="Calibri" w:cs="Calibri"/>
                <w:lang w:val="en-US" w:eastAsia="da-DK"/>
              </w:rPr>
              <w:t>Further identify impact on RRM/RLM/BM requirements (licensed and unlicensed operation)</w:t>
            </w:r>
          </w:p>
          <w:p w14:paraId="582CA939" w14:textId="77777777" w:rsidR="00493151" w:rsidRPr="00493151" w:rsidRDefault="00493151" w:rsidP="00493151">
            <w:pPr>
              <w:numPr>
                <w:ilvl w:val="1"/>
                <w:numId w:val="15"/>
              </w:numPr>
              <w:ind w:left="1080"/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493151">
              <w:rPr>
                <w:rFonts w:ascii="Calibri" w:eastAsia="Times New Roman" w:hAnsi="Calibri" w:cs="Calibri"/>
                <w:lang w:val="en-US" w:eastAsia="da-DK"/>
              </w:rPr>
              <w:t>Finalize the impact on RRM/RLM/BM requirements</w:t>
            </w:r>
          </w:p>
          <w:p w14:paraId="4464E2B9" w14:textId="77777777" w:rsidR="00493151" w:rsidRPr="00493151" w:rsidRDefault="00493151" w:rsidP="00493151">
            <w:pPr>
              <w:numPr>
                <w:ilvl w:val="1"/>
                <w:numId w:val="15"/>
              </w:numPr>
              <w:ind w:left="1080"/>
              <w:textAlignment w:val="center"/>
              <w:rPr>
                <w:rFonts w:ascii="Calibri" w:eastAsia="Times New Roman" w:hAnsi="Calibri" w:cs="Calibri"/>
                <w:lang w:val="en-US" w:eastAsia="da-DK"/>
              </w:rPr>
            </w:pPr>
            <w:r w:rsidRPr="00493151">
              <w:rPr>
                <w:rFonts w:ascii="Calibri" w:eastAsia="Times New Roman" w:hAnsi="Calibri" w:cs="Calibri"/>
                <w:lang w:val="en-US" w:eastAsia="da-DK"/>
              </w:rPr>
              <w:t xml:space="preserve">Initial agreements on identified RRM/RLM/BM requirements updates </w:t>
            </w:r>
          </w:p>
          <w:p w14:paraId="0A6F48E4" w14:textId="4FF12564" w:rsidR="00A41803" w:rsidRPr="00493151" w:rsidRDefault="00A41803" w:rsidP="00F23670">
            <w:pPr>
              <w:pStyle w:val="B2"/>
              <w:ind w:left="720" w:firstLine="0"/>
              <w:rPr>
                <w:lang w:val="en-US"/>
              </w:rPr>
            </w:pPr>
          </w:p>
        </w:tc>
      </w:tr>
    </w:tbl>
    <w:p w14:paraId="005B9E5E" w14:textId="77777777" w:rsidR="00A41803" w:rsidRDefault="00A41803" w:rsidP="00A41803">
      <w:pPr>
        <w:rPr>
          <w:lang w:val="en-GB"/>
        </w:rPr>
      </w:pPr>
    </w:p>
    <w:p w14:paraId="3603DF9F" w14:textId="2D206063" w:rsidR="00E27D7A" w:rsidRDefault="00493151" w:rsidP="001017B1">
      <w:pPr>
        <w:rPr>
          <w:lang w:val="en-GB"/>
        </w:rPr>
      </w:pPr>
      <w:r>
        <w:rPr>
          <w:lang w:val="en-GB"/>
        </w:rPr>
        <w:t xml:space="preserve">This paper discusses the impact of operation above 52.6 GHz on </w:t>
      </w:r>
      <w:r w:rsidR="0018600F">
        <w:rPr>
          <w:lang w:val="en-GB"/>
        </w:rPr>
        <w:t>measurement gap</w:t>
      </w:r>
      <w:r>
        <w:rPr>
          <w:lang w:val="en-GB"/>
        </w:rPr>
        <w:t xml:space="preserve"> RRM core requirements. Among the discussion points is an analysis on how current RRM core requirements distinguish between FR1 and FR2 operation, and </w:t>
      </w:r>
      <w:r w:rsidR="000B5A85">
        <w:rPr>
          <w:lang w:val="en-GB"/>
        </w:rPr>
        <w:t xml:space="preserve">impact on </w:t>
      </w:r>
      <w:r w:rsidR="00F5608A">
        <w:rPr>
          <w:lang w:val="en-GB"/>
        </w:rPr>
        <w:t>measurement gaps</w:t>
      </w:r>
      <w:r>
        <w:rPr>
          <w:lang w:val="en-GB"/>
        </w:rPr>
        <w:t xml:space="preserve">. </w:t>
      </w:r>
    </w:p>
    <w:p w14:paraId="129AF0E8" w14:textId="091B20C9" w:rsidR="001027C7" w:rsidRDefault="001027C7" w:rsidP="001027C7">
      <w:pPr>
        <w:pStyle w:val="RAN4H1"/>
        <w:ind w:left="1134" w:hanging="1134"/>
      </w:pPr>
      <w:r>
        <w:t>Discussion</w:t>
      </w:r>
    </w:p>
    <w:p w14:paraId="2A5DEBC8" w14:textId="02A27EB8" w:rsidR="000B5A85" w:rsidRDefault="00E8660A" w:rsidP="000B5A85">
      <w:pPr>
        <w:rPr>
          <w:lang w:val="en-GB"/>
        </w:rPr>
      </w:pPr>
      <w:r>
        <w:rPr>
          <w:lang w:val="en-GB"/>
        </w:rPr>
        <w:t xml:space="preserve">During </w:t>
      </w:r>
      <w:r w:rsidR="00493151">
        <w:rPr>
          <w:lang w:val="en-GB"/>
        </w:rPr>
        <w:t xml:space="preserve">the last </w:t>
      </w:r>
      <w:r>
        <w:rPr>
          <w:lang w:val="en-GB"/>
        </w:rPr>
        <w:t xml:space="preserve">RAN4 </w:t>
      </w:r>
      <w:r w:rsidR="00493151">
        <w:rPr>
          <w:lang w:val="en-GB"/>
        </w:rPr>
        <w:t xml:space="preserve">meeting </w:t>
      </w:r>
      <w:r w:rsidR="000B5A85">
        <w:rPr>
          <w:lang w:val="en-GB"/>
        </w:rPr>
        <w:t xml:space="preserve">it was agreed that </w:t>
      </w:r>
      <w:r w:rsidR="00F5608A">
        <w:rPr>
          <w:lang w:val="en-GB"/>
        </w:rPr>
        <w:t>measurement gap</w:t>
      </w:r>
      <w:r w:rsidR="000B5A85">
        <w:rPr>
          <w:lang w:val="en-GB"/>
        </w:rPr>
        <w:t xml:space="preserve"> requirements are impacted for the operation on FR2-2</w:t>
      </w:r>
      <w:r w:rsidR="00493151">
        <w:rPr>
          <w:lang w:val="en-GB"/>
        </w:rPr>
        <w:t xml:space="preserve"> </w:t>
      </w:r>
      <w:r w:rsidR="00493151">
        <w:rPr>
          <w:lang w:val="en-GB"/>
        </w:rPr>
        <w:fldChar w:fldCharType="begin"/>
      </w:r>
      <w:r w:rsidR="00493151">
        <w:rPr>
          <w:lang w:val="en-GB"/>
        </w:rPr>
        <w:instrText xml:space="preserve"> REF _Ref74131988 \r \h </w:instrText>
      </w:r>
      <w:r w:rsidR="00493151">
        <w:rPr>
          <w:lang w:val="en-GB"/>
        </w:rPr>
      </w:r>
      <w:r w:rsidR="00493151">
        <w:rPr>
          <w:lang w:val="en-GB"/>
        </w:rPr>
        <w:fldChar w:fldCharType="separate"/>
      </w:r>
      <w:r w:rsidR="00493151">
        <w:rPr>
          <w:lang w:val="en-GB"/>
        </w:rPr>
        <w:t>[2]</w:t>
      </w:r>
      <w:r w:rsidR="00493151">
        <w:rPr>
          <w:lang w:val="en-GB"/>
        </w:rPr>
        <w:fldChar w:fldCharType="end"/>
      </w:r>
      <w:r w:rsidR="009C47D2">
        <w:rPr>
          <w:lang w:val="en-GB"/>
        </w:rPr>
        <w:t xml:space="preserve">. </w:t>
      </w:r>
    </w:p>
    <w:p w14:paraId="22E2AEC7" w14:textId="5842EFDA" w:rsidR="007830E2" w:rsidRDefault="00BF23AA" w:rsidP="000B5A85">
      <w:pPr>
        <w:rPr>
          <w:lang w:val="en-GB"/>
        </w:rPr>
      </w:pPr>
      <w:r>
        <w:rPr>
          <w:lang w:val="en-GB"/>
        </w:rPr>
        <w:t xml:space="preserve">A summary on the measurement gap pattern applicability </w:t>
      </w:r>
      <w:r w:rsidR="00BC4429">
        <w:rPr>
          <w:lang w:val="en-GB"/>
        </w:rPr>
        <w:t xml:space="preserve">for SA scenarios is shown in </w:t>
      </w:r>
      <w:r w:rsidR="001A6757">
        <w:rPr>
          <w:lang w:val="en-GB"/>
        </w:rPr>
        <w:fldChar w:fldCharType="begin"/>
      </w:r>
      <w:r w:rsidR="001A6757">
        <w:rPr>
          <w:lang w:val="en-GB"/>
        </w:rPr>
        <w:instrText xml:space="preserve"> REF _Ref77942892 \h </w:instrText>
      </w:r>
      <w:r w:rsidR="001A6757">
        <w:rPr>
          <w:lang w:val="en-GB"/>
        </w:rPr>
      </w:r>
      <w:r w:rsidR="001A6757">
        <w:rPr>
          <w:lang w:val="en-GB"/>
        </w:rPr>
        <w:fldChar w:fldCharType="separate"/>
      </w:r>
      <w:r w:rsidR="001A6757">
        <w:t xml:space="preserve">Table </w:t>
      </w:r>
      <w:r w:rsidR="001A6757">
        <w:rPr>
          <w:noProof/>
        </w:rPr>
        <w:t>1</w:t>
      </w:r>
      <w:r w:rsidR="001A6757">
        <w:rPr>
          <w:lang w:val="en-GB"/>
        </w:rPr>
        <w:fldChar w:fldCharType="end"/>
      </w:r>
      <w:r w:rsidR="00AB5184">
        <w:rPr>
          <w:lang w:val="en-GB"/>
        </w:rPr>
        <w:t xml:space="preserve">. In this table, the per-UE measurement gaps show that if </w:t>
      </w:r>
      <w:r w:rsidR="00D7532F">
        <w:rPr>
          <w:lang w:val="en-GB"/>
        </w:rPr>
        <w:t>FR2 is used in the serving cell and the measured cell is also FR2, MGL of 1.5</w:t>
      </w:r>
      <w:r w:rsidR="002A6715">
        <w:rPr>
          <w:lang w:val="en-GB"/>
        </w:rPr>
        <w:t xml:space="preserve">, 3.5, and 5.5 ms apply. These MGL are also applicable for per-FR measurement gaps when the serving cell is FR2. </w:t>
      </w:r>
      <w:r w:rsidR="00536F68">
        <w:rPr>
          <w:lang w:val="en-GB"/>
        </w:rPr>
        <w:t>When FR1 is used, the minimum MGL is of 3 ms</w:t>
      </w:r>
      <w:r w:rsidR="00326BA7">
        <w:rPr>
          <w:lang w:val="en-GB"/>
        </w:rPr>
        <w:t xml:space="preserve">. </w:t>
      </w:r>
    </w:p>
    <w:p w14:paraId="7655A4B1" w14:textId="7A49D8BB" w:rsidR="00326BA7" w:rsidRDefault="00326BA7" w:rsidP="000B5A85">
      <w:pPr>
        <w:rPr>
          <w:lang w:val="en-GB"/>
        </w:rPr>
      </w:pPr>
      <w:r>
        <w:rPr>
          <w:lang w:val="en-GB"/>
        </w:rPr>
        <w:t xml:space="preserve">For the measurement gaps, </w:t>
      </w:r>
      <w:r w:rsidR="00423EA6">
        <w:rPr>
          <w:lang w:val="en-GB"/>
        </w:rPr>
        <w:t xml:space="preserve">it is possible to </w:t>
      </w:r>
      <w:r w:rsidR="00A929B7">
        <w:rPr>
          <w:lang w:val="en-GB"/>
        </w:rPr>
        <w:t>assume</w:t>
      </w:r>
      <w:r w:rsidR="00423EA6">
        <w:rPr>
          <w:lang w:val="en-GB"/>
        </w:rPr>
        <w:t xml:space="preserve"> </w:t>
      </w:r>
      <w:r>
        <w:rPr>
          <w:lang w:val="en-GB"/>
        </w:rPr>
        <w:t xml:space="preserve">that the same assumptions </w:t>
      </w:r>
      <w:r w:rsidR="00131F1F">
        <w:rPr>
          <w:lang w:val="en-GB"/>
        </w:rPr>
        <w:t xml:space="preserve">related to independent gaps for FR1 and FR2 can be extended for the operation in FR2-2 in relation to the FR2-1. </w:t>
      </w:r>
      <w:r w:rsidR="00A929B7">
        <w:rPr>
          <w:lang w:val="en-GB"/>
        </w:rPr>
        <w:t>If that is true, t</w:t>
      </w:r>
      <w:r w:rsidR="00131F1F">
        <w:rPr>
          <w:lang w:val="en-GB"/>
        </w:rPr>
        <w:t xml:space="preserve">hat </w:t>
      </w:r>
      <w:r w:rsidR="00A929B7">
        <w:rPr>
          <w:lang w:val="en-GB"/>
        </w:rPr>
        <w:t xml:space="preserve">would </w:t>
      </w:r>
      <w:r w:rsidR="00131F1F">
        <w:rPr>
          <w:lang w:val="en-GB"/>
        </w:rPr>
        <w:t>mean that, the UEs supporting per-FR gap should be able to apply a measurement gap</w:t>
      </w:r>
      <w:r w:rsidR="00510998">
        <w:rPr>
          <w:lang w:val="en-GB"/>
        </w:rPr>
        <w:t xml:space="preserve"> exclusively to either FR2-1 or FR2-2. </w:t>
      </w:r>
      <w:r w:rsidR="00A929B7">
        <w:rPr>
          <w:lang w:val="en-GB"/>
        </w:rPr>
        <w:t xml:space="preserve">Therefore, the </w:t>
      </w:r>
    </w:p>
    <w:p w14:paraId="4431AC9C" w14:textId="77777777" w:rsidR="00BC4429" w:rsidRPr="003D7268" w:rsidRDefault="00BC4429" w:rsidP="000B5A85">
      <w:pPr>
        <w:rPr>
          <w:lang w:val="en-GB"/>
        </w:rPr>
      </w:pPr>
    </w:p>
    <w:p w14:paraId="6752864C" w14:textId="4FBCCF20" w:rsidR="00BC4429" w:rsidRPr="008072B1" w:rsidRDefault="00BC4429" w:rsidP="008072B1">
      <w:pPr>
        <w:pStyle w:val="TH"/>
      </w:pPr>
      <w:bookmarkStart w:id="3" w:name="_Ref7794289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 w:rsidR="001A6757">
        <w:t xml:space="preserve"> M</w:t>
      </w:r>
      <w:r w:rsidR="003B3906">
        <w:t xml:space="preserve">easurement gap pattern applicability for SA </w:t>
      </w:r>
      <w:r w:rsidR="008072B1">
        <w:t xml:space="preserve">based on Table 9.1.2-3 of 38.133 </w:t>
      </w:r>
      <w:r w:rsidR="008072B1">
        <w:fldChar w:fldCharType="begin"/>
      </w:r>
      <w:r w:rsidR="008072B1">
        <w:instrText xml:space="preserve"> REF _Ref76455331 \r \h </w:instrText>
      </w:r>
      <w:r w:rsidR="008072B1">
        <w:fldChar w:fldCharType="separate"/>
      </w:r>
      <w:r w:rsidR="008072B1">
        <w:t>[4]</w:t>
      </w:r>
      <w:r w:rsidR="008072B1">
        <w:fldChar w:fldCharType="end"/>
      </w:r>
    </w:p>
    <w:p w14:paraId="0994B317" w14:textId="1AC62702" w:rsidR="00C12B11" w:rsidRDefault="00BF23AA" w:rsidP="000B5A85">
      <w:pPr>
        <w:rPr>
          <w:lang w:val="en-GB"/>
        </w:rPr>
      </w:pPr>
      <w:r w:rsidRPr="00BF23AA">
        <w:rPr>
          <w:noProof/>
        </w:rPr>
        <w:drawing>
          <wp:inline distT="0" distB="0" distL="0" distR="0" wp14:anchorId="14DEAF94" wp14:editId="1C2995D9">
            <wp:extent cx="6120130" cy="290131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0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33E62" w14:textId="598E7A63" w:rsidR="00510998" w:rsidRDefault="00A14E10" w:rsidP="00A14E10">
      <w:pPr>
        <w:pStyle w:val="RAN4observation0"/>
      </w:pPr>
      <w:r>
        <w:t xml:space="preserve">When considering measurement gaps, it </w:t>
      </w:r>
      <w:r w:rsidR="006377F8">
        <w:t xml:space="preserve">is not clear whether the </w:t>
      </w:r>
      <w:r w:rsidR="00585CF9">
        <w:t xml:space="preserve">per-FR gaps should consider FR2-1 and FR2-2 as independent bands. </w:t>
      </w:r>
    </w:p>
    <w:p w14:paraId="0C5CD40F" w14:textId="3B983A59" w:rsidR="00CE05CF" w:rsidRDefault="00326BA7" w:rsidP="00326BA7">
      <w:pPr>
        <w:pStyle w:val="RAN4proposal"/>
      </w:pPr>
      <w:r>
        <w:t xml:space="preserve">RAN4 to </w:t>
      </w:r>
      <w:r w:rsidR="00E1444C">
        <w:t>s</w:t>
      </w:r>
      <w:r w:rsidR="00585CF9">
        <w:t xml:space="preserve">tudy if </w:t>
      </w:r>
      <w:r>
        <w:t>per-FR measurement gaps for FR2-1</w:t>
      </w:r>
      <w:r w:rsidR="00E1444C">
        <w:t xml:space="preserve"> and </w:t>
      </w:r>
      <w:r w:rsidR="00E1444C">
        <w:rPr>
          <w:bCs/>
        </w:rPr>
        <w:t>FR2-2 should be defined independently</w:t>
      </w:r>
      <w:r>
        <w:t xml:space="preserve">. </w:t>
      </w:r>
    </w:p>
    <w:p w14:paraId="388277E7" w14:textId="77777777" w:rsidR="001017B1" w:rsidRDefault="001017B1" w:rsidP="001017B1">
      <w:pPr>
        <w:pStyle w:val="RAN4H1"/>
        <w:ind w:left="1134" w:hanging="1134"/>
      </w:pPr>
      <w:bookmarkStart w:id="4" w:name="_Toc64909510"/>
      <w:r>
        <w:t>Conclusion</w:t>
      </w:r>
      <w:bookmarkEnd w:id="4"/>
    </w:p>
    <w:p w14:paraId="003EBB87" w14:textId="552146A6" w:rsidR="001017B1" w:rsidRDefault="001017B1" w:rsidP="001017B1">
      <w:pPr>
        <w:rPr>
          <w:lang w:val="en-GB"/>
        </w:rPr>
      </w:pPr>
      <w:r>
        <w:rPr>
          <w:lang w:val="en-GB"/>
        </w:rPr>
        <w:t xml:space="preserve">This paper has presented Nokia’s views on </w:t>
      </w:r>
      <w:r w:rsidR="00F5608A">
        <w:rPr>
          <w:lang w:val="en-GB"/>
        </w:rPr>
        <w:t>measurement gaps</w:t>
      </w:r>
      <w:r w:rsidR="001A46A5">
        <w:rPr>
          <w:lang w:val="en-GB"/>
        </w:rPr>
        <w:t xml:space="preserve"> for the extension to 71 GHz</w:t>
      </w:r>
      <w:r>
        <w:rPr>
          <w:lang w:val="en-GB"/>
        </w:rPr>
        <w:t>. From this discussion we have derived the following observations and proposals:</w:t>
      </w:r>
    </w:p>
    <w:p w14:paraId="16A71C64" w14:textId="77777777" w:rsidR="00930001" w:rsidRPr="00930001" w:rsidRDefault="00930001" w:rsidP="00930001">
      <w:pPr>
        <w:rPr>
          <w:lang w:val="en-US"/>
        </w:rPr>
      </w:pPr>
      <w:r w:rsidRPr="00930001">
        <w:rPr>
          <w:b/>
          <w:bCs/>
          <w:lang w:val="en-US"/>
        </w:rPr>
        <w:t xml:space="preserve">Observation 1: </w:t>
      </w:r>
      <w:r w:rsidRPr="00930001">
        <w:rPr>
          <w:lang w:val="en-US"/>
        </w:rPr>
        <w:t xml:space="preserve">When considering measurement gaps, it is not clear whether the per-FR gaps should consider FR2-1 and FR2-2 as independent bands. </w:t>
      </w:r>
    </w:p>
    <w:p w14:paraId="53703D88" w14:textId="5A033249" w:rsidR="006470FA" w:rsidRPr="00930001" w:rsidRDefault="00930001" w:rsidP="00930001">
      <w:pPr>
        <w:rPr>
          <w:b/>
          <w:bCs/>
          <w:lang w:val="en-US"/>
        </w:rPr>
      </w:pPr>
      <w:r w:rsidRPr="00930001">
        <w:rPr>
          <w:b/>
          <w:bCs/>
          <w:lang w:val="en-US"/>
        </w:rPr>
        <w:t>Proposal 1: RAN4 to study if per-FR measurement gaps for FR2-1 and FR2-2 should be defined independently.</w:t>
      </w:r>
    </w:p>
    <w:p w14:paraId="39037E9C" w14:textId="77777777" w:rsidR="00F5608A" w:rsidRDefault="00F5608A" w:rsidP="006470FA">
      <w:pPr>
        <w:rPr>
          <w:lang w:val="en-GB"/>
        </w:rPr>
      </w:pPr>
    </w:p>
    <w:p w14:paraId="5096D166" w14:textId="5E74F3EB" w:rsidR="001017B1" w:rsidRPr="00EF3EAC" w:rsidRDefault="001017B1" w:rsidP="001017B1">
      <w:pPr>
        <w:pStyle w:val="RAN4H1"/>
        <w:ind w:left="1134" w:hanging="1134"/>
      </w:pPr>
      <w:r w:rsidRPr="00EF3EAC">
        <w:t>References</w:t>
      </w:r>
    </w:p>
    <w:p w14:paraId="4E4935B5" w14:textId="10CEFDCB" w:rsidR="00493151" w:rsidRPr="00493151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5" w:name="_Ref74131708"/>
      <w:bookmarkStart w:id="6" w:name="_Ref53929813"/>
      <w:bookmarkStart w:id="7" w:name="_Ref70411061"/>
      <w:bookmarkStart w:id="8" w:name="_Hlk46851752"/>
      <w:bookmarkStart w:id="9" w:name="_Ref46833244"/>
      <w:bookmarkStart w:id="10" w:name="_Ref46865894"/>
      <w:r>
        <w:rPr>
          <w:rFonts w:ascii="Calibri" w:hAnsi="Calibri" w:cs="Calibri"/>
          <w:lang w:val="en-US"/>
        </w:rPr>
        <w:t>R4-2108353, Work plan for NR extension to 71 GHz - RRM, Qualcomm</w:t>
      </w:r>
      <w:bookmarkEnd w:id="5"/>
    </w:p>
    <w:p w14:paraId="6FEB1435" w14:textId="0E3A7D64" w:rsidR="00493151" w:rsidRPr="00493151" w:rsidRDefault="00493151" w:rsidP="001017B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74131988"/>
      <w:r>
        <w:rPr>
          <w:rFonts w:ascii="Calibri" w:hAnsi="Calibri" w:cs="Calibri"/>
          <w:lang w:val="en-US"/>
        </w:rPr>
        <w:t>R4-2108354, WF on NR extension to 71 GHz - RRM, Qualcomm</w:t>
      </w:r>
      <w:bookmarkEnd w:id="11"/>
    </w:p>
    <w:p w14:paraId="0CE89BD2" w14:textId="60BED454" w:rsidR="00493151" w:rsidRDefault="00493151" w:rsidP="00493151">
      <w:pPr>
        <w:numPr>
          <w:ilvl w:val="0"/>
          <w:numId w:val="5"/>
        </w:numPr>
        <w:spacing w:after="0" w:line="240" w:lineRule="auto"/>
        <w:textAlignment w:val="center"/>
        <w:rPr>
          <w:rFonts w:ascii="Calibri" w:eastAsia="Times New Roman" w:hAnsi="Calibri" w:cs="Calibri"/>
          <w:lang w:val="en-US" w:eastAsia="da-DK"/>
        </w:rPr>
      </w:pPr>
      <w:bookmarkStart w:id="12" w:name="_Ref74131991"/>
      <w:r w:rsidRPr="00493151">
        <w:rPr>
          <w:rFonts w:ascii="Calibri" w:eastAsia="Times New Roman" w:hAnsi="Calibri" w:cs="Calibri"/>
          <w:lang w:val="en-US" w:eastAsia="da-DK"/>
        </w:rPr>
        <w:t>R4-2108405 Email discussion summary for [99-e][233] NR_ext_to_71GHz_RRM, Qualcomm</w:t>
      </w:r>
      <w:bookmarkEnd w:id="12"/>
    </w:p>
    <w:p w14:paraId="15E8AF2A" w14:textId="4E8C4514" w:rsidR="008E2C01" w:rsidRPr="00F5608A" w:rsidRDefault="009C7E71" w:rsidP="00F5608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3" w:name="_Ref74133581"/>
      <w:bookmarkStart w:id="14" w:name="_Ref76455331"/>
      <w:r>
        <w:t xml:space="preserve">3GPP </w:t>
      </w:r>
      <w:r w:rsidR="000E5B08" w:rsidRPr="00EF3EAC">
        <w:rPr>
          <w:lang w:val="en-GB"/>
        </w:rPr>
        <w:t>TS 38.133</w:t>
      </w:r>
      <w:r w:rsidR="001C0B60">
        <w:rPr>
          <w:lang w:val="en-GB"/>
        </w:rPr>
        <w:t>:</w:t>
      </w:r>
      <w:r w:rsidR="000E5B08" w:rsidRPr="00EF3EAC">
        <w:rPr>
          <w:lang w:val="en-GB"/>
        </w:rPr>
        <w:t xml:space="preserve"> </w:t>
      </w:r>
      <w:r w:rsidR="001C0B60">
        <w:rPr>
          <w:lang w:val="en-GB"/>
        </w:rPr>
        <w:t>“</w:t>
      </w:r>
      <w:r w:rsidR="000E5B08" w:rsidRPr="00EF3EAC">
        <w:rPr>
          <w:lang w:val="en-GB"/>
        </w:rPr>
        <w:t>NR; Requirements for support of radio resource management</w:t>
      </w:r>
      <w:bookmarkEnd w:id="13"/>
      <w:r w:rsidR="001C0B60">
        <w:rPr>
          <w:lang w:val="en-GB"/>
        </w:rPr>
        <w:t>”</w:t>
      </w:r>
      <w:bookmarkStart w:id="15" w:name="_Ref53929774"/>
      <w:bookmarkStart w:id="16" w:name="_Ref61467533"/>
      <w:bookmarkEnd w:id="6"/>
      <w:bookmarkEnd w:id="7"/>
      <w:bookmarkEnd w:id="8"/>
      <w:bookmarkEnd w:id="9"/>
      <w:bookmarkEnd w:id="10"/>
      <w:bookmarkEnd w:id="14"/>
    </w:p>
    <w:p w14:paraId="2189D127" w14:textId="5F8A47AF" w:rsidR="00F5608A" w:rsidRPr="00E70675" w:rsidRDefault="00F5608A" w:rsidP="00F5608A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lang w:val="en-US"/>
        </w:rPr>
        <w:t xml:space="preserve">R4-1800564, </w:t>
      </w:r>
      <w:r w:rsidRPr="00F5608A">
        <w:rPr>
          <w:lang w:val="en-US"/>
        </w:rPr>
        <w:t>Way forward on measurement gap timing offset</w:t>
      </w:r>
      <w:r>
        <w:rPr>
          <w:lang w:val="en-US"/>
        </w:rPr>
        <w:t>, NTT DOCOMO, RAN4 #AH-1801</w:t>
      </w:r>
    </w:p>
    <w:bookmarkEnd w:id="15"/>
    <w:bookmarkEnd w:id="16"/>
    <w:p w14:paraId="44CFC8CD" w14:textId="78FDC188" w:rsidR="001017B1" w:rsidRDefault="001017B1" w:rsidP="001017B1"/>
    <w:p w14:paraId="39F6892D" w14:textId="5C0B85F2" w:rsidR="004B0FF9" w:rsidRPr="001017B1" w:rsidRDefault="004B0FF9" w:rsidP="001017B1"/>
    <w:sectPr w:rsidR="004B0FF9" w:rsidRPr="001017B1" w:rsidSect="00B01734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C4BBE" w14:textId="77777777" w:rsidR="00C338FC" w:rsidRDefault="00C338FC" w:rsidP="00AA4134">
      <w:pPr>
        <w:spacing w:after="0" w:line="240" w:lineRule="auto"/>
      </w:pPr>
      <w:r>
        <w:separator/>
      </w:r>
    </w:p>
  </w:endnote>
  <w:endnote w:type="continuationSeparator" w:id="0">
    <w:p w14:paraId="62E0038D" w14:textId="77777777" w:rsidR="00C338FC" w:rsidRDefault="00C338FC" w:rsidP="00AA4134">
      <w:pPr>
        <w:spacing w:after="0" w:line="240" w:lineRule="auto"/>
      </w:pPr>
      <w:r>
        <w:continuationSeparator/>
      </w:r>
    </w:p>
  </w:endnote>
  <w:endnote w:type="continuationNotice" w:id="1">
    <w:p w14:paraId="4571D036" w14:textId="77777777" w:rsidR="00C338FC" w:rsidRDefault="00C338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B30D0" w14:textId="77777777" w:rsidR="00C338FC" w:rsidRDefault="00C338FC" w:rsidP="00AA4134">
      <w:pPr>
        <w:spacing w:after="0" w:line="240" w:lineRule="auto"/>
      </w:pPr>
      <w:r>
        <w:separator/>
      </w:r>
    </w:p>
  </w:footnote>
  <w:footnote w:type="continuationSeparator" w:id="0">
    <w:p w14:paraId="3F3CC85B" w14:textId="77777777" w:rsidR="00C338FC" w:rsidRDefault="00C338FC" w:rsidP="00AA4134">
      <w:pPr>
        <w:spacing w:after="0" w:line="240" w:lineRule="auto"/>
      </w:pPr>
      <w:r>
        <w:continuationSeparator/>
      </w:r>
    </w:p>
  </w:footnote>
  <w:footnote w:type="continuationNotice" w:id="1">
    <w:p w14:paraId="1E5B56F7" w14:textId="77777777" w:rsidR="00C338FC" w:rsidRDefault="00C338F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11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6"/>
  </w:num>
  <w:num w:numId="11">
    <w:abstractNumId w:val="12"/>
  </w:num>
  <w:num w:numId="12">
    <w:abstractNumId w:val="15"/>
  </w:num>
  <w:num w:numId="13">
    <w:abstractNumId w:val="14"/>
  </w:num>
  <w:num w:numId="14">
    <w:abstractNumId w:val="4"/>
  </w:num>
  <w:num w:numId="15">
    <w:abstractNumId w:val="11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2850"/>
    <w:rsid w:val="00002CAF"/>
    <w:rsid w:val="00007271"/>
    <w:rsid w:val="00010D80"/>
    <w:rsid w:val="00013A6A"/>
    <w:rsid w:val="00025361"/>
    <w:rsid w:val="0003661A"/>
    <w:rsid w:val="00042C55"/>
    <w:rsid w:val="00045324"/>
    <w:rsid w:val="00046CBA"/>
    <w:rsid w:val="00046F87"/>
    <w:rsid w:val="0006083D"/>
    <w:rsid w:val="000654F3"/>
    <w:rsid w:val="0007149F"/>
    <w:rsid w:val="000829D8"/>
    <w:rsid w:val="00082DBA"/>
    <w:rsid w:val="00090C3A"/>
    <w:rsid w:val="000942A8"/>
    <w:rsid w:val="000A118E"/>
    <w:rsid w:val="000A4598"/>
    <w:rsid w:val="000A4639"/>
    <w:rsid w:val="000B0F16"/>
    <w:rsid w:val="000B2E84"/>
    <w:rsid w:val="000B527B"/>
    <w:rsid w:val="000B5A85"/>
    <w:rsid w:val="000C0EE5"/>
    <w:rsid w:val="000C1151"/>
    <w:rsid w:val="000C2305"/>
    <w:rsid w:val="000C491B"/>
    <w:rsid w:val="000D053C"/>
    <w:rsid w:val="000D3226"/>
    <w:rsid w:val="000E01D9"/>
    <w:rsid w:val="000E1F6D"/>
    <w:rsid w:val="000E5B08"/>
    <w:rsid w:val="000F1C8F"/>
    <w:rsid w:val="000F1CC8"/>
    <w:rsid w:val="000F4BA7"/>
    <w:rsid w:val="000F53D2"/>
    <w:rsid w:val="001017B1"/>
    <w:rsid w:val="001027C7"/>
    <w:rsid w:val="001053F3"/>
    <w:rsid w:val="00115C60"/>
    <w:rsid w:val="001169C3"/>
    <w:rsid w:val="00122AA1"/>
    <w:rsid w:val="00131873"/>
    <w:rsid w:val="00131F1F"/>
    <w:rsid w:val="00137EBF"/>
    <w:rsid w:val="0014255D"/>
    <w:rsid w:val="00144AF8"/>
    <w:rsid w:val="00151FC1"/>
    <w:rsid w:val="00157B93"/>
    <w:rsid w:val="00162B8C"/>
    <w:rsid w:val="00165051"/>
    <w:rsid w:val="00172FE7"/>
    <w:rsid w:val="00175954"/>
    <w:rsid w:val="0018094A"/>
    <w:rsid w:val="0018201A"/>
    <w:rsid w:val="00183C5E"/>
    <w:rsid w:val="00184DC3"/>
    <w:rsid w:val="00185A2F"/>
    <w:rsid w:val="0018600F"/>
    <w:rsid w:val="00186664"/>
    <w:rsid w:val="0019076C"/>
    <w:rsid w:val="001A1AB5"/>
    <w:rsid w:val="001A4249"/>
    <w:rsid w:val="001A46A5"/>
    <w:rsid w:val="001A6757"/>
    <w:rsid w:val="001B0D8F"/>
    <w:rsid w:val="001B3C2F"/>
    <w:rsid w:val="001B4943"/>
    <w:rsid w:val="001B4F40"/>
    <w:rsid w:val="001B590D"/>
    <w:rsid w:val="001C0B60"/>
    <w:rsid w:val="001C2CCC"/>
    <w:rsid w:val="001C383D"/>
    <w:rsid w:val="001D4DC9"/>
    <w:rsid w:val="001E3F03"/>
    <w:rsid w:val="001F2B12"/>
    <w:rsid w:val="001F4140"/>
    <w:rsid w:val="001F5781"/>
    <w:rsid w:val="002067B2"/>
    <w:rsid w:val="0020730B"/>
    <w:rsid w:val="00214C40"/>
    <w:rsid w:val="00221B8B"/>
    <w:rsid w:val="002260A8"/>
    <w:rsid w:val="0023576D"/>
    <w:rsid w:val="00240680"/>
    <w:rsid w:val="002428B5"/>
    <w:rsid w:val="00242CBE"/>
    <w:rsid w:val="00246B55"/>
    <w:rsid w:val="00247551"/>
    <w:rsid w:val="00247859"/>
    <w:rsid w:val="00250646"/>
    <w:rsid w:val="00250E80"/>
    <w:rsid w:val="002516FE"/>
    <w:rsid w:val="00256E46"/>
    <w:rsid w:val="0026053C"/>
    <w:rsid w:val="00260ED3"/>
    <w:rsid w:val="00265118"/>
    <w:rsid w:val="002677E0"/>
    <w:rsid w:val="00270077"/>
    <w:rsid w:val="002746C4"/>
    <w:rsid w:val="002759D1"/>
    <w:rsid w:val="00287C3E"/>
    <w:rsid w:val="002903CF"/>
    <w:rsid w:val="00291F33"/>
    <w:rsid w:val="002921C5"/>
    <w:rsid w:val="00293B50"/>
    <w:rsid w:val="002A2DAC"/>
    <w:rsid w:val="002A3220"/>
    <w:rsid w:val="002A6715"/>
    <w:rsid w:val="002A731E"/>
    <w:rsid w:val="002B1CEF"/>
    <w:rsid w:val="002B1DDA"/>
    <w:rsid w:val="002C1256"/>
    <w:rsid w:val="002E3CF4"/>
    <w:rsid w:val="002E6C5B"/>
    <w:rsid w:val="002F15C6"/>
    <w:rsid w:val="002F4D7C"/>
    <w:rsid w:val="00300E05"/>
    <w:rsid w:val="003010B9"/>
    <w:rsid w:val="003020AA"/>
    <w:rsid w:val="00302CF3"/>
    <w:rsid w:val="00303C9C"/>
    <w:rsid w:val="00305BD0"/>
    <w:rsid w:val="00311AC2"/>
    <w:rsid w:val="00314BAE"/>
    <w:rsid w:val="00320424"/>
    <w:rsid w:val="003217AD"/>
    <w:rsid w:val="00321969"/>
    <w:rsid w:val="0032242E"/>
    <w:rsid w:val="0032599A"/>
    <w:rsid w:val="00326BA7"/>
    <w:rsid w:val="00327E6C"/>
    <w:rsid w:val="00333C93"/>
    <w:rsid w:val="00345A35"/>
    <w:rsid w:val="00351754"/>
    <w:rsid w:val="00351968"/>
    <w:rsid w:val="00353E04"/>
    <w:rsid w:val="00371E43"/>
    <w:rsid w:val="0038186A"/>
    <w:rsid w:val="0038361E"/>
    <w:rsid w:val="003864C1"/>
    <w:rsid w:val="003A20E5"/>
    <w:rsid w:val="003B04FB"/>
    <w:rsid w:val="003B1EE4"/>
    <w:rsid w:val="003B3906"/>
    <w:rsid w:val="003C7541"/>
    <w:rsid w:val="003C7E1C"/>
    <w:rsid w:val="003D1C3D"/>
    <w:rsid w:val="003D1EA7"/>
    <w:rsid w:val="003D630E"/>
    <w:rsid w:val="003D7268"/>
    <w:rsid w:val="003E12CF"/>
    <w:rsid w:val="003F00DA"/>
    <w:rsid w:val="003F1D9D"/>
    <w:rsid w:val="003F6121"/>
    <w:rsid w:val="003F6E38"/>
    <w:rsid w:val="00401535"/>
    <w:rsid w:val="0040402A"/>
    <w:rsid w:val="00412C22"/>
    <w:rsid w:val="004130D2"/>
    <w:rsid w:val="00423EA6"/>
    <w:rsid w:val="00424C40"/>
    <w:rsid w:val="00426A58"/>
    <w:rsid w:val="004300E1"/>
    <w:rsid w:val="004362C7"/>
    <w:rsid w:val="00442BE1"/>
    <w:rsid w:val="00454069"/>
    <w:rsid w:val="0046251D"/>
    <w:rsid w:val="004679D3"/>
    <w:rsid w:val="00467DBD"/>
    <w:rsid w:val="00480798"/>
    <w:rsid w:val="0048278A"/>
    <w:rsid w:val="00482A1D"/>
    <w:rsid w:val="00484ED2"/>
    <w:rsid w:val="00485A96"/>
    <w:rsid w:val="00485AC0"/>
    <w:rsid w:val="00486B77"/>
    <w:rsid w:val="004873B8"/>
    <w:rsid w:val="00493151"/>
    <w:rsid w:val="00493745"/>
    <w:rsid w:val="004950B0"/>
    <w:rsid w:val="00495331"/>
    <w:rsid w:val="0049540A"/>
    <w:rsid w:val="004A0BB8"/>
    <w:rsid w:val="004A224A"/>
    <w:rsid w:val="004A4058"/>
    <w:rsid w:val="004A7979"/>
    <w:rsid w:val="004B0FF9"/>
    <w:rsid w:val="004B1280"/>
    <w:rsid w:val="004B3C83"/>
    <w:rsid w:val="004B566B"/>
    <w:rsid w:val="004B67A8"/>
    <w:rsid w:val="004C1EFF"/>
    <w:rsid w:val="004C31D1"/>
    <w:rsid w:val="004C5466"/>
    <w:rsid w:val="004C5574"/>
    <w:rsid w:val="004D57EB"/>
    <w:rsid w:val="004E3723"/>
    <w:rsid w:val="004E5BE2"/>
    <w:rsid w:val="004E7E9D"/>
    <w:rsid w:val="004F1D6F"/>
    <w:rsid w:val="005012CC"/>
    <w:rsid w:val="00502FA4"/>
    <w:rsid w:val="0050312E"/>
    <w:rsid w:val="005068EF"/>
    <w:rsid w:val="00507B5A"/>
    <w:rsid w:val="00510998"/>
    <w:rsid w:val="005110D6"/>
    <w:rsid w:val="005171F1"/>
    <w:rsid w:val="00521485"/>
    <w:rsid w:val="00526459"/>
    <w:rsid w:val="005267C4"/>
    <w:rsid w:val="005273AF"/>
    <w:rsid w:val="005323F6"/>
    <w:rsid w:val="005325E8"/>
    <w:rsid w:val="00533501"/>
    <w:rsid w:val="00536F68"/>
    <w:rsid w:val="00543C83"/>
    <w:rsid w:val="0054557D"/>
    <w:rsid w:val="00547718"/>
    <w:rsid w:val="00552778"/>
    <w:rsid w:val="005558F5"/>
    <w:rsid w:val="005646C2"/>
    <w:rsid w:val="00567B82"/>
    <w:rsid w:val="0057091F"/>
    <w:rsid w:val="00576933"/>
    <w:rsid w:val="0058431E"/>
    <w:rsid w:val="00585CF9"/>
    <w:rsid w:val="0058609D"/>
    <w:rsid w:val="00586E59"/>
    <w:rsid w:val="00586ED3"/>
    <w:rsid w:val="0058756E"/>
    <w:rsid w:val="00590556"/>
    <w:rsid w:val="0059095F"/>
    <w:rsid w:val="0059145D"/>
    <w:rsid w:val="00592F0F"/>
    <w:rsid w:val="00593B0F"/>
    <w:rsid w:val="00595DA6"/>
    <w:rsid w:val="005A2A6E"/>
    <w:rsid w:val="005B5707"/>
    <w:rsid w:val="005B7392"/>
    <w:rsid w:val="005C3771"/>
    <w:rsid w:val="005D2134"/>
    <w:rsid w:val="005D6054"/>
    <w:rsid w:val="005E0AC4"/>
    <w:rsid w:val="005E0BEA"/>
    <w:rsid w:val="005E1EB1"/>
    <w:rsid w:val="005F1CAF"/>
    <w:rsid w:val="005F4B9F"/>
    <w:rsid w:val="005F4D4C"/>
    <w:rsid w:val="005F5245"/>
    <w:rsid w:val="005F61FD"/>
    <w:rsid w:val="00607A8E"/>
    <w:rsid w:val="00614073"/>
    <w:rsid w:val="0061515B"/>
    <w:rsid w:val="00616527"/>
    <w:rsid w:val="00624FAA"/>
    <w:rsid w:val="0063024C"/>
    <w:rsid w:val="00631CE4"/>
    <w:rsid w:val="0063474E"/>
    <w:rsid w:val="00635802"/>
    <w:rsid w:val="006364B7"/>
    <w:rsid w:val="00636E31"/>
    <w:rsid w:val="006377F8"/>
    <w:rsid w:val="00640F01"/>
    <w:rsid w:val="00640FDF"/>
    <w:rsid w:val="00642394"/>
    <w:rsid w:val="00645FF4"/>
    <w:rsid w:val="006470FA"/>
    <w:rsid w:val="00653678"/>
    <w:rsid w:val="0066132E"/>
    <w:rsid w:val="006622D0"/>
    <w:rsid w:val="00666723"/>
    <w:rsid w:val="0066786F"/>
    <w:rsid w:val="00685E40"/>
    <w:rsid w:val="00691F2D"/>
    <w:rsid w:val="006946A8"/>
    <w:rsid w:val="006A65C1"/>
    <w:rsid w:val="006B1954"/>
    <w:rsid w:val="006B5BE9"/>
    <w:rsid w:val="006C0AED"/>
    <w:rsid w:val="006C24EA"/>
    <w:rsid w:val="006C59A2"/>
    <w:rsid w:val="006C728E"/>
    <w:rsid w:val="006D35BD"/>
    <w:rsid w:val="006E0357"/>
    <w:rsid w:val="006E5A21"/>
    <w:rsid w:val="006F07C1"/>
    <w:rsid w:val="006F7242"/>
    <w:rsid w:val="006F76A2"/>
    <w:rsid w:val="00700D7D"/>
    <w:rsid w:val="00702E51"/>
    <w:rsid w:val="00706089"/>
    <w:rsid w:val="007158BE"/>
    <w:rsid w:val="00715CA1"/>
    <w:rsid w:val="00725ADD"/>
    <w:rsid w:val="00731294"/>
    <w:rsid w:val="00734860"/>
    <w:rsid w:val="00734A1C"/>
    <w:rsid w:val="00734D22"/>
    <w:rsid w:val="007350FD"/>
    <w:rsid w:val="00735CA9"/>
    <w:rsid w:val="00737C0D"/>
    <w:rsid w:val="00743996"/>
    <w:rsid w:val="007464CF"/>
    <w:rsid w:val="00751E7E"/>
    <w:rsid w:val="0075315F"/>
    <w:rsid w:val="0075368F"/>
    <w:rsid w:val="0075457A"/>
    <w:rsid w:val="007547A9"/>
    <w:rsid w:val="007631FE"/>
    <w:rsid w:val="00770FCE"/>
    <w:rsid w:val="0077267E"/>
    <w:rsid w:val="00772C7A"/>
    <w:rsid w:val="007756DB"/>
    <w:rsid w:val="007830E2"/>
    <w:rsid w:val="00787C47"/>
    <w:rsid w:val="00791EEA"/>
    <w:rsid w:val="007A309D"/>
    <w:rsid w:val="007A5DB1"/>
    <w:rsid w:val="007A6383"/>
    <w:rsid w:val="007A702D"/>
    <w:rsid w:val="007B0B77"/>
    <w:rsid w:val="007B2E93"/>
    <w:rsid w:val="007B6EF9"/>
    <w:rsid w:val="007C2B39"/>
    <w:rsid w:val="007C5A87"/>
    <w:rsid w:val="007C5BE3"/>
    <w:rsid w:val="007C6939"/>
    <w:rsid w:val="007D0508"/>
    <w:rsid w:val="007D4EFF"/>
    <w:rsid w:val="007D57C3"/>
    <w:rsid w:val="007E145E"/>
    <w:rsid w:val="007E3013"/>
    <w:rsid w:val="007E6349"/>
    <w:rsid w:val="007F1C6C"/>
    <w:rsid w:val="007F29CF"/>
    <w:rsid w:val="007F7692"/>
    <w:rsid w:val="00803D6D"/>
    <w:rsid w:val="00805387"/>
    <w:rsid w:val="008072B1"/>
    <w:rsid w:val="00811CAF"/>
    <w:rsid w:val="00813422"/>
    <w:rsid w:val="008154B8"/>
    <w:rsid w:val="00817FE5"/>
    <w:rsid w:val="00820FD1"/>
    <w:rsid w:val="00821446"/>
    <w:rsid w:val="008266A6"/>
    <w:rsid w:val="00827F77"/>
    <w:rsid w:val="008319AD"/>
    <w:rsid w:val="00833427"/>
    <w:rsid w:val="00833F54"/>
    <w:rsid w:val="008403BE"/>
    <w:rsid w:val="0084769B"/>
    <w:rsid w:val="00847C22"/>
    <w:rsid w:val="00850585"/>
    <w:rsid w:val="00862F90"/>
    <w:rsid w:val="00863D79"/>
    <w:rsid w:val="00867845"/>
    <w:rsid w:val="00870F91"/>
    <w:rsid w:val="00873543"/>
    <w:rsid w:val="008760A3"/>
    <w:rsid w:val="00876741"/>
    <w:rsid w:val="0087697D"/>
    <w:rsid w:val="00884098"/>
    <w:rsid w:val="0088550B"/>
    <w:rsid w:val="00890920"/>
    <w:rsid w:val="00895387"/>
    <w:rsid w:val="008A0FFE"/>
    <w:rsid w:val="008A3EED"/>
    <w:rsid w:val="008A5C63"/>
    <w:rsid w:val="008A6107"/>
    <w:rsid w:val="008A6F63"/>
    <w:rsid w:val="008B02EF"/>
    <w:rsid w:val="008B3450"/>
    <w:rsid w:val="008B776F"/>
    <w:rsid w:val="008C0A4D"/>
    <w:rsid w:val="008C37C6"/>
    <w:rsid w:val="008D2AFF"/>
    <w:rsid w:val="008E24D1"/>
    <w:rsid w:val="008E2C01"/>
    <w:rsid w:val="008E452A"/>
    <w:rsid w:val="008E6272"/>
    <w:rsid w:val="008F11BA"/>
    <w:rsid w:val="008F5450"/>
    <w:rsid w:val="00901A08"/>
    <w:rsid w:val="00901B26"/>
    <w:rsid w:val="00902649"/>
    <w:rsid w:val="00907F01"/>
    <w:rsid w:val="0091088C"/>
    <w:rsid w:val="00915926"/>
    <w:rsid w:val="00917B9F"/>
    <w:rsid w:val="009208EC"/>
    <w:rsid w:val="00926FE3"/>
    <w:rsid w:val="00930001"/>
    <w:rsid w:val="00930819"/>
    <w:rsid w:val="00936EBA"/>
    <w:rsid w:val="00937031"/>
    <w:rsid w:val="009370BC"/>
    <w:rsid w:val="0094235E"/>
    <w:rsid w:val="0094521E"/>
    <w:rsid w:val="009518CE"/>
    <w:rsid w:val="0095301D"/>
    <w:rsid w:val="00954F0B"/>
    <w:rsid w:val="009627CA"/>
    <w:rsid w:val="009662D3"/>
    <w:rsid w:val="0097327F"/>
    <w:rsid w:val="009746A9"/>
    <w:rsid w:val="00977F30"/>
    <w:rsid w:val="009835C5"/>
    <w:rsid w:val="009873D9"/>
    <w:rsid w:val="009906F8"/>
    <w:rsid w:val="00994828"/>
    <w:rsid w:val="009953DA"/>
    <w:rsid w:val="00997539"/>
    <w:rsid w:val="009A0903"/>
    <w:rsid w:val="009A0C24"/>
    <w:rsid w:val="009B15ED"/>
    <w:rsid w:val="009B75AE"/>
    <w:rsid w:val="009C47D2"/>
    <w:rsid w:val="009C7183"/>
    <w:rsid w:val="009C7E71"/>
    <w:rsid w:val="009D0DF6"/>
    <w:rsid w:val="009D17A4"/>
    <w:rsid w:val="009D5C69"/>
    <w:rsid w:val="009D7AFD"/>
    <w:rsid w:val="009D7CCF"/>
    <w:rsid w:val="009E38D1"/>
    <w:rsid w:val="009E524A"/>
    <w:rsid w:val="009E7305"/>
    <w:rsid w:val="009F4B7B"/>
    <w:rsid w:val="009F72DF"/>
    <w:rsid w:val="009F747A"/>
    <w:rsid w:val="00A03AE3"/>
    <w:rsid w:val="00A03C1B"/>
    <w:rsid w:val="00A052F6"/>
    <w:rsid w:val="00A10101"/>
    <w:rsid w:val="00A10434"/>
    <w:rsid w:val="00A14548"/>
    <w:rsid w:val="00A14E10"/>
    <w:rsid w:val="00A16295"/>
    <w:rsid w:val="00A17788"/>
    <w:rsid w:val="00A271A8"/>
    <w:rsid w:val="00A27E7D"/>
    <w:rsid w:val="00A33035"/>
    <w:rsid w:val="00A33A8F"/>
    <w:rsid w:val="00A4060F"/>
    <w:rsid w:val="00A41803"/>
    <w:rsid w:val="00A505C2"/>
    <w:rsid w:val="00A52275"/>
    <w:rsid w:val="00A55F49"/>
    <w:rsid w:val="00A60E8C"/>
    <w:rsid w:val="00A65080"/>
    <w:rsid w:val="00A668B9"/>
    <w:rsid w:val="00A702AF"/>
    <w:rsid w:val="00A747A1"/>
    <w:rsid w:val="00A7582F"/>
    <w:rsid w:val="00A767A5"/>
    <w:rsid w:val="00A8458A"/>
    <w:rsid w:val="00A929B7"/>
    <w:rsid w:val="00A94AA3"/>
    <w:rsid w:val="00A951F9"/>
    <w:rsid w:val="00AA4134"/>
    <w:rsid w:val="00AA6B87"/>
    <w:rsid w:val="00AB0EF5"/>
    <w:rsid w:val="00AB5184"/>
    <w:rsid w:val="00AB560B"/>
    <w:rsid w:val="00AB5B2D"/>
    <w:rsid w:val="00AC2264"/>
    <w:rsid w:val="00AC5F85"/>
    <w:rsid w:val="00AD030F"/>
    <w:rsid w:val="00AD25A2"/>
    <w:rsid w:val="00AE00F6"/>
    <w:rsid w:val="00AE30DC"/>
    <w:rsid w:val="00AE3AC8"/>
    <w:rsid w:val="00AE5D77"/>
    <w:rsid w:val="00AE63C3"/>
    <w:rsid w:val="00AE698B"/>
    <w:rsid w:val="00AF3085"/>
    <w:rsid w:val="00AF57B8"/>
    <w:rsid w:val="00B01734"/>
    <w:rsid w:val="00B028F1"/>
    <w:rsid w:val="00B20523"/>
    <w:rsid w:val="00B35242"/>
    <w:rsid w:val="00B4359D"/>
    <w:rsid w:val="00B4597E"/>
    <w:rsid w:val="00B571DF"/>
    <w:rsid w:val="00B60F0B"/>
    <w:rsid w:val="00B6166E"/>
    <w:rsid w:val="00B65AE6"/>
    <w:rsid w:val="00B712F1"/>
    <w:rsid w:val="00B72DBA"/>
    <w:rsid w:val="00B752D9"/>
    <w:rsid w:val="00B801A6"/>
    <w:rsid w:val="00B96908"/>
    <w:rsid w:val="00BA7076"/>
    <w:rsid w:val="00BB5DD2"/>
    <w:rsid w:val="00BC1A0C"/>
    <w:rsid w:val="00BC4429"/>
    <w:rsid w:val="00BC498F"/>
    <w:rsid w:val="00BC5575"/>
    <w:rsid w:val="00BD1A30"/>
    <w:rsid w:val="00BD386B"/>
    <w:rsid w:val="00BD3BDE"/>
    <w:rsid w:val="00BE556C"/>
    <w:rsid w:val="00BE6601"/>
    <w:rsid w:val="00BF1404"/>
    <w:rsid w:val="00BF1E86"/>
    <w:rsid w:val="00BF23AA"/>
    <w:rsid w:val="00BF3190"/>
    <w:rsid w:val="00BF4001"/>
    <w:rsid w:val="00BF5438"/>
    <w:rsid w:val="00BF6C1A"/>
    <w:rsid w:val="00BF7783"/>
    <w:rsid w:val="00C12B11"/>
    <w:rsid w:val="00C1562C"/>
    <w:rsid w:val="00C239A1"/>
    <w:rsid w:val="00C24333"/>
    <w:rsid w:val="00C2578D"/>
    <w:rsid w:val="00C304B0"/>
    <w:rsid w:val="00C32836"/>
    <w:rsid w:val="00C338FC"/>
    <w:rsid w:val="00C3578C"/>
    <w:rsid w:val="00C455B2"/>
    <w:rsid w:val="00C54081"/>
    <w:rsid w:val="00C64EE3"/>
    <w:rsid w:val="00C74857"/>
    <w:rsid w:val="00C845EC"/>
    <w:rsid w:val="00C84788"/>
    <w:rsid w:val="00C87204"/>
    <w:rsid w:val="00C9229B"/>
    <w:rsid w:val="00C94D11"/>
    <w:rsid w:val="00C96FBB"/>
    <w:rsid w:val="00C97EF3"/>
    <w:rsid w:val="00CA5499"/>
    <w:rsid w:val="00CA5C5D"/>
    <w:rsid w:val="00CB58AC"/>
    <w:rsid w:val="00CC3291"/>
    <w:rsid w:val="00CC3C85"/>
    <w:rsid w:val="00CC3F00"/>
    <w:rsid w:val="00CC429A"/>
    <w:rsid w:val="00CC47A2"/>
    <w:rsid w:val="00CC79B3"/>
    <w:rsid w:val="00CD4485"/>
    <w:rsid w:val="00CD4948"/>
    <w:rsid w:val="00CD5FF9"/>
    <w:rsid w:val="00CD7649"/>
    <w:rsid w:val="00CE0568"/>
    <w:rsid w:val="00CE05CF"/>
    <w:rsid w:val="00CE2FA8"/>
    <w:rsid w:val="00CE5BA8"/>
    <w:rsid w:val="00CF0115"/>
    <w:rsid w:val="00CF13B2"/>
    <w:rsid w:val="00CF17D7"/>
    <w:rsid w:val="00D01663"/>
    <w:rsid w:val="00D01796"/>
    <w:rsid w:val="00D01B01"/>
    <w:rsid w:val="00D03BE9"/>
    <w:rsid w:val="00D10F6A"/>
    <w:rsid w:val="00D1242B"/>
    <w:rsid w:val="00D14C98"/>
    <w:rsid w:val="00D16C2B"/>
    <w:rsid w:val="00D22897"/>
    <w:rsid w:val="00D22BCB"/>
    <w:rsid w:val="00D26BB2"/>
    <w:rsid w:val="00D308EC"/>
    <w:rsid w:val="00D46243"/>
    <w:rsid w:val="00D506B1"/>
    <w:rsid w:val="00D508AC"/>
    <w:rsid w:val="00D515F0"/>
    <w:rsid w:val="00D63286"/>
    <w:rsid w:val="00D66FF7"/>
    <w:rsid w:val="00D67215"/>
    <w:rsid w:val="00D67478"/>
    <w:rsid w:val="00D7532F"/>
    <w:rsid w:val="00D75545"/>
    <w:rsid w:val="00D816F9"/>
    <w:rsid w:val="00D836A9"/>
    <w:rsid w:val="00D85432"/>
    <w:rsid w:val="00D96FC6"/>
    <w:rsid w:val="00DA4A1E"/>
    <w:rsid w:val="00DB71D0"/>
    <w:rsid w:val="00DB797E"/>
    <w:rsid w:val="00DC0577"/>
    <w:rsid w:val="00DC56DF"/>
    <w:rsid w:val="00DC5CBD"/>
    <w:rsid w:val="00DD32A6"/>
    <w:rsid w:val="00DE384E"/>
    <w:rsid w:val="00DE4540"/>
    <w:rsid w:val="00DF29BA"/>
    <w:rsid w:val="00DF4256"/>
    <w:rsid w:val="00E02F2C"/>
    <w:rsid w:val="00E04E58"/>
    <w:rsid w:val="00E07268"/>
    <w:rsid w:val="00E1444C"/>
    <w:rsid w:val="00E17A3D"/>
    <w:rsid w:val="00E253C0"/>
    <w:rsid w:val="00E27D7A"/>
    <w:rsid w:val="00E30DD8"/>
    <w:rsid w:val="00E31B23"/>
    <w:rsid w:val="00E40B4A"/>
    <w:rsid w:val="00E42C7C"/>
    <w:rsid w:val="00E43E67"/>
    <w:rsid w:val="00E51589"/>
    <w:rsid w:val="00E564AC"/>
    <w:rsid w:val="00E56707"/>
    <w:rsid w:val="00E6242A"/>
    <w:rsid w:val="00E62731"/>
    <w:rsid w:val="00E62F0A"/>
    <w:rsid w:val="00E67658"/>
    <w:rsid w:val="00E704F3"/>
    <w:rsid w:val="00E70675"/>
    <w:rsid w:val="00E706BD"/>
    <w:rsid w:val="00E71C76"/>
    <w:rsid w:val="00E805F7"/>
    <w:rsid w:val="00E8660A"/>
    <w:rsid w:val="00E918BC"/>
    <w:rsid w:val="00E91CE6"/>
    <w:rsid w:val="00E944FC"/>
    <w:rsid w:val="00EA02F4"/>
    <w:rsid w:val="00EA309A"/>
    <w:rsid w:val="00EA7658"/>
    <w:rsid w:val="00EB1C13"/>
    <w:rsid w:val="00EB423A"/>
    <w:rsid w:val="00EB72B2"/>
    <w:rsid w:val="00EC4FC6"/>
    <w:rsid w:val="00ED0621"/>
    <w:rsid w:val="00ED064D"/>
    <w:rsid w:val="00ED45FD"/>
    <w:rsid w:val="00ED6A65"/>
    <w:rsid w:val="00EE17B7"/>
    <w:rsid w:val="00EE2D48"/>
    <w:rsid w:val="00EE5FA3"/>
    <w:rsid w:val="00EE62B0"/>
    <w:rsid w:val="00EF3EAC"/>
    <w:rsid w:val="00EF45E6"/>
    <w:rsid w:val="00F034EA"/>
    <w:rsid w:val="00F100AD"/>
    <w:rsid w:val="00F12856"/>
    <w:rsid w:val="00F27763"/>
    <w:rsid w:val="00F316DD"/>
    <w:rsid w:val="00F329E3"/>
    <w:rsid w:val="00F34C86"/>
    <w:rsid w:val="00F37A14"/>
    <w:rsid w:val="00F455AD"/>
    <w:rsid w:val="00F4773D"/>
    <w:rsid w:val="00F47ACC"/>
    <w:rsid w:val="00F54A4B"/>
    <w:rsid w:val="00F554FE"/>
    <w:rsid w:val="00F5608A"/>
    <w:rsid w:val="00F60473"/>
    <w:rsid w:val="00F61B41"/>
    <w:rsid w:val="00F66C47"/>
    <w:rsid w:val="00F70F50"/>
    <w:rsid w:val="00F80D2B"/>
    <w:rsid w:val="00F90285"/>
    <w:rsid w:val="00F91267"/>
    <w:rsid w:val="00F97409"/>
    <w:rsid w:val="00F97EAF"/>
    <w:rsid w:val="00FA2EE7"/>
    <w:rsid w:val="00FA73D5"/>
    <w:rsid w:val="00FA7546"/>
    <w:rsid w:val="00FB2182"/>
    <w:rsid w:val="00FB51CA"/>
    <w:rsid w:val="00FB5E53"/>
    <w:rsid w:val="00FB75FC"/>
    <w:rsid w:val="00FC1742"/>
    <w:rsid w:val="00FC2DC2"/>
    <w:rsid w:val="00FC4134"/>
    <w:rsid w:val="00FD0B27"/>
    <w:rsid w:val="00FD1957"/>
    <w:rsid w:val="00FD3F82"/>
    <w:rsid w:val="00FE0418"/>
    <w:rsid w:val="00FE74E7"/>
    <w:rsid w:val="00FF218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90807A4"/>
    <w:rsid w:val="2C2E9F65"/>
    <w:rsid w:val="37130FCE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B0A62E6"/>
  <w15:docId w15:val="{C68CEF62-1131-42E6-B5AD-323C10FA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customStyle="1" w:styleId="TH">
    <w:name w:val="TH"/>
    <w:basedOn w:val="Normal"/>
    <w:link w:val="THChar"/>
    <w:qFormat/>
    <w:rsid w:val="00C12B1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12B1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C12B11"/>
    <w:pPr>
      <w:ind w:left="851" w:hanging="851"/>
    </w:pPr>
  </w:style>
  <w:style w:type="character" w:customStyle="1" w:styleId="TANChar">
    <w:name w:val="TAN Char"/>
    <w:link w:val="TAN"/>
    <w:rsid w:val="00C12B11"/>
    <w:rPr>
      <w:rFonts w:ascii="Arial" w:eastAsia="SimSun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5AIRPNAIUNRU-1328258698-5796</_dlc_DocId>
    <_dlc_DocIdUrl xmlns="71c5aaf6-e6ce-465b-b873-5148d2a4c105">
      <Url>https://nokia.sharepoint.com/sites/c5g/5gradio/_layouts/15/DocIdRedir.aspx?ID=5AIRPNAIUNRU-1328258698-5796</Url>
      <Description>5AIRPNAIUNRU-1328258698-5796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99E182-1B0F-4BF4-8B56-47EEAAA2A856}">
  <ds:schemaRefs>
    <ds:schemaRef ds:uri="http://purl.org/dc/elements/1.1/"/>
    <ds:schemaRef ds:uri="http://purl.org/dc/terms/"/>
    <ds:schemaRef ds:uri="3b34c8f0-1ef5-4d1e-bb66-517ce7fe735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0b6aed8e-0313-4d17-80ff-d0e5da4931c5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NOKIA</cp:lastModifiedBy>
  <cp:revision>2</cp:revision>
  <dcterms:created xsi:type="dcterms:W3CDTF">2021-08-06T10:55:00Z</dcterms:created>
  <dcterms:modified xsi:type="dcterms:W3CDTF">2021-08-06T10:55:00Z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89e281a4-8220-45b6-b12c-7845b3b711fe</vt:lpwstr>
  </property>
</Properties>
</file>