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BFBFBF" w:themeColor="background1" w:themeShade="BF"/>
  <w:body>
    <w:p w14:paraId="617DBD5D" w14:textId="17C82CD5" w:rsidR="00DB4B7B" w:rsidRPr="0009651A"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bookmarkStart w:id="0" w:name="Title"/>
      <w:bookmarkStart w:id="1" w:name="DocumentFor"/>
      <w:bookmarkStart w:id="2" w:name="_Ref399006623"/>
      <w:bookmarkStart w:id="3" w:name="_Toc92513360"/>
      <w:bookmarkEnd w:id="0"/>
      <w:bookmarkEnd w:id="1"/>
      <w:r w:rsidRPr="0009651A">
        <w:rPr>
          <w:rFonts w:ascii="Times New Roman" w:eastAsia="MS Mincho" w:hAnsi="Times New Roman" w:cs="Times New Roman"/>
          <w:b/>
          <w:kern w:val="0"/>
          <w:sz w:val="24"/>
          <w:szCs w:val="24"/>
          <w:lang w:eastAsia="en-US"/>
        </w:rPr>
        <w:t xml:space="preserve">3GPP TSG-RAN WG4 Meeting # </w:t>
      </w:r>
      <w:r w:rsidR="00A43EE2" w:rsidRPr="0009651A">
        <w:rPr>
          <w:rFonts w:ascii="Times New Roman" w:eastAsia="MS Mincho" w:hAnsi="Times New Roman" w:cs="Times New Roman"/>
          <w:b/>
          <w:kern w:val="0"/>
          <w:sz w:val="24"/>
          <w:szCs w:val="24"/>
          <w:lang w:eastAsia="en-US"/>
        </w:rPr>
        <w:t>100</w:t>
      </w:r>
      <w:r w:rsidRPr="0009651A">
        <w:rPr>
          <w:rFonts w:ascii="Times New Roman" w:eastAsia="MS Mincho" w:hAnsi="Times New Roman" w:cs="Times New Roman"/>
          <w:b/>
          <w:kern w:val="0"/>
          <w:sz w:val="24"/>
          <w:szCs w:val="24"/>
          <w:lang w:eastAsia="en-US"/>
        </w:rPr>
        <w:t>-e</w:t>
      </w:r>
      <w:r w:rsidRPr="0009651A" w:rsidDel="00277FAB">
        <w:rPr>
          <w:rFonts w:ascii="Times New Roman" w:eastAsia="MS Mincho" w:hAnsi="Times New Roman" w:cs="Times New Roman"/>
          <w:b/>
          <w:kern w:val="0"/>
          <w:sz w:val="24"/>
          <w:szCs w:val="24"/>
          <w:lang w:eastAsia="en-US"/>
        </w:rPr>
        <w:t xml:space="preserve"> </w:t>
      </w:r>
      <w:r w:rsidRPr="0009651A">
        <w:rPr>
          <w:rFonts w:ascii="Times New Roman" w:eastAsia="MS Mincho" w:hAnsi="Times New Roman" w:cs="Times New Roman"/>
          <w:b/>
          <w:kern w:val="0"/>
          <w:sz w:val="24"/>
          <w:szCs w:val="24"/>
          <w:lang w:eastAsia="en-US"/>
        </w:rPr>
        <w:tab/>
      </w:r>
      <w:r w:rsidR="002B2788" w:rsidRPr="002B2788">
        <w:rPr>
          <w:rFonts w:ascii="Times New Roman" w:eastAsia="MS Mincho" w:hAnsi="Times New Roman" w:cs="Times New Roman"/>
          <w:b/>
          <w:kern w:val="0"/>
          <w:sz w:val="24"/>
          <w:szCs w:val="24"/>
          <w:lang w:eastAsia="en-US"/>
        </w:rPr>
        <w:t>R4-2113136</w:t>
      </w:r>
    </w:p>
    <w:p w14:paraId="2FD69432" w14:textId="5D5867B9" w:rsidR="00DB4B7B" w:rsidRPr="0009651A"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r w:rsidRPr="0009651A">
        <w:rPr>
          <w:rFonts w:ascii="Times New Roman" w:eastAsia="MS Mincho" w:hAnsi="Times New Roman" w:cs="Times New Roman"/>
          <w:b/>
          <w:kern w:val="0"/>
          <w:sz w:val="24"/>
          <w:szCs w:val="24"/>
          <w:lang w:eastAsia="en-US"/>
        </w:rPr>
        <w:t>Electronic Meeting, 1</w:t>
      </w:r>
      <w:r w:rsidR="00A43EE2" w:rsidRPr="0009651A">
        <w:rPr>
          <w:rFonts w:ascii="Times New Roman" w:eastAsia="MS Mincho" w:hAnsi="Times New Roman" w:cs="Times New Roman"/>
          <w:b/>
          <w:kern w:val="0"/>
          <w:sz w:val="24"/>
          <w:szCs w:val="24"/>
          <w:lang w:eastAsia="en-US"/>
        </w:rPr>
        <w:t>6</w:t>
      </w:r>
      <w:r w:rsidRPr="0009651A">
        <w:rPr>
          <w:rFonts w:ascii="Times New Roman" w:eastAsia="MS Mincho" w:hAnsi="Times New Roman" w:cs="Times New Roman"/>
          <w:b/>
          <w:kern w:val="0"/>
          <w:sz w:val="24"/>
          <w:szCs w:val="24"/>
          <w:lang w:eastAsia="en-US"/>
        </w:rPr>
        <w:t xml:space="preserve">th–27th, </w:t>
      </w:r>
      <w:r w:rsidR="00A43EE2" w:rsidRPr="0009651A">
        <w:rPr>
          <w:rFonts w:ascii="Times New Roman" w:eastAsia="MS Mincho" w:hAnsi="Times New Roman" w:cs="Times New Roman"/>
          <w:b/>
          <w:kern w:val="0"/>
          <w:sz w:val="24"/>
          <w:szCs w:val="24"/>
          <w:lang w:eastAsia="en-US"/>
        </w:rPr>
        <w:t>August</w:t>
      </w:r>
      <w:r w:rsidRPr="0009651A">
        <w:rPr>
          <w:rFonts w:ascii="Times New Roman" w:eastAsia="MS Mincho" w:hAnsi="Times New Roman" w:cs="Times New Roman"/>
          <w:b/>
          <w:kern w:val="0"/>
          <w:sz w:val="24"/>
          <w:szCs w:val="24"/>
          <w:lang w:eastAsia="en-US"/>
        </w:rPr>
        <w:t>, 2021</w:t>
      </w:r>
    </w:p>
    <w:p w14:paraId="310A5736" w14:textId="7A228F38" w:rsidR="00590185" w:rsidRPr="0009651A" w:rsidRDefault="00590185" w:rsidP="00590185">
      <w:pPr>
        <w:pStyle w:val="a"/>
        <w:rPr>
          <w:rFonts w:ascii="Times New Roman" w:eastAsia="SimSun" w:hAnsi="Times New Roman"/>
          <w:sz w:val="24"/>
          <w:szCs w:val="24"/>
          <w:lang w:val="en-US" w:eastAsia="zh-CN"/>
        </w:rPr>
      </w:pPr>
    </w:p>
    <w:p w14:paraId="1ADD6064" w14:textId="77777777" w:rsidR="00182DAE" w:rsidRPr="0009651A" w:rsidRDefault="00182DAE" w:rsidP="00590185">
      <w:pPr>
        <w:pStyle w:val="a"/>
        <w:rPr>
          <w:rFonts w:ascii="Times New Roman" w:eastAsia="SimSun" w:hAnsi="Times New Roman"/>
          <w:sz w:val="24"/>
          <w:szCs w:val="24"/>
          <w:lang w:val="en-US" w:eastAsia="zh-CN"/>
        </w:rPr>
      </w:pPr>
    </w:p>
    <w:p w14:paraId="74C07886" w14:textId="35B7B4DA" w:rsidR="00590185" w:rsidRPr="0009651A" w:rsidRDefault="00590185" w:rsidP="00590185">
      <w:pPr>
        <w:tabs>
          <w:tab w:val="left" w:pos="1985"/>
        </w:tabs>
        <w:rPr>
          <w:rFonts w:ascii="Times New Roman" w:hAnsi="Times New Roman" w:cs="Times New Roman"/>
          <w:b/>
          <w:sz w:val="24"/>
          <w:szCs w:val="24"/>
        </w:rPr>
      </w:pPr>
      <w:r w:rsidRPr="0009651A">
        <w:rPr>
          <w:rFonts w:ascii="Times New Roman" w:hAnsi="Times New Roman" w:cs="Times New Roman"/>
          <w:b/>
          <w:sz w:val="24"/>
          <w:szCs w:val="24"/>
        </w:rPr>
        <w:t xml:space="preserve">Source: </w:t>
      </w:r>
      <w:r w:rsidRPr="0009651A">
        <w:rPr>
          <w:rFonts w:ascii="Times New Roman" w:hAnsi="Times New Roman" w:cs="Times New Roman"/>
          <w:b/>
          <w:sz w:val="24"/>
          <w:szCs w:val="24"/>
        </w:rPr>
        <w:tab/>
      </w:r>
      <w:r w:rsidR="002E0DA2" w:rsidRPr="0009651A">
        <w:rPr>
          <w:rFonts w:ascii="Times New Roman" w:hAnsi="Times New Roman" w:cs="Times New Roman"/>
          <w:sz w:val="24"/>
          <w:szCs w:val="24"/>
        </w:rPr>
        <w:t>Intel</w:t>
      </w:r>
      <w:r w:rsidR="006A5BAB">
        <w:rPr>
          <w:rFonts w:ascii="Times New Roman" w:hAnsi="Times New Roman" w:cs="Times New Roman"/>
          <w:sz w:val="24"/>
          <w:szCs w:val="24"/>
        </w:rPr>
        <w:t xml:space="preserve"> Corporation</w:t>
      </w:r>
    </w:p>
    <w:p w14:paraId="16DC9894" w14:textId="1FC0143A" w:rsidR="00590185" w:rsidRPr="0009651A" w:rsidRDefault="00590185" w:rsidP="00590185">
      <w:pPr>
        <w:ind w:left="1985" w:hanging="1985"/>
        <w:rPr>
          <w:rFonts w:ascii="Times New Roman" w:hAnsi="Times New Roman" w:cs="Times New Roman"/>
          <w:sz w:val="24"/>
          <w:szCs w:val="24"/>
        </w:rPr>
      </w:pPr>
      <w:r w:rsidRPr="0009651A">
        <w:rPr>
          <w:rFonts w:ascii="Times New Roman" w:hAnsi="Times New Roman" w:cs="Times New Roman"/>
          <w:b/>
          <w:sz w:val="24"/>
          <w:szCs w:val="24"/>
        </w:rPr>
        <w:t>Title:</w:t>
      </w:r>
      <w:r w:rsidRPr="0009651A">
        <w:rPr>
          <w:rFonts w:ascii="Times New Roman" w:hAnsi="Times New Roman" w:cs="Times New Roman"/>
          <w:sz w:val="24"/>
          <w:szCs w:val="24"/>
        </w:rPr>
        <w:t xml:space="preserve"> </w:t>
      </w:r>
      <w:r w:rsidRPr="0009651A">
        <w:rPr>
          <w:rFonts w:ascii="Times New Roman" w:hAnsi="Times New Roman" w:cs="Times New Roman"/>
          <w:sz w:val="24"/>
          <w:szCs w:val="24"/>
        </w:rPr>
        <w:tab/>
      </w:r>
      <w:r w:rsidR="006E3CF8" w:rsidRPr="006E3CF8">
        <w:rPr>
          <w:rFonts w:ascii="Times New Roman" w:hAnsi="Times New Roman" w:cs="Times New Roman"/>
          <w:sz w:val="24"/>
          <w:szCs w:val="24"/>
        </w:rPr>
        <w:t>Discussions on Rel-17 Multi-beam operation enhancement impact on RRM</w:t>
      </w:r>
    </w:p>
    <w:p w14:paraId="27D62ED3" w14:textId="162A98F5" w:rsidR="00590185" w:rsidRPr="0009651A" w:rsidRDefault="00590185" w:rsidP="00590185">
      <w:pPr>
        <w:ind w:left="1985" w:hanging="1985"/>
        <w:rPr>
          <w:rFonts w:ascii="Times New Roman" w:hAnsi="Times New Roman" w:cs="Times New Roman"/>
          <w:sz w:val="24"/>
          <w:szCs w:val="24"/>
        </w:rPr>
      </w:pPr>
      <w:r w:rsidRPr="0009651A">
        <w:rPr>
          <w:rFonts w:ascii="Times New Roman" w:hAnsi="Times New Roman" w:cs="Times New Roman"/>
          <w:b/>
          <w:sz w:val="24"/>
          <w:szCs w:val="24"/>
        </w:rPr>
        <w:t>Agenda Item:</w:t>
      </w:r>
      <w:r w:rsidRPr="0009651A">
        <w:rPr>
          <w:rFonts w:ascii="Times New Roman" w:hAnsi="Times New Roman" w:cs="Times New Roman"/>
          <w:sz w:val="24"/>
          <w:szCs w:val="24"/>
        </w:rPr>
        <w:tab/>
      </w:r>
      <w:r w:rsidR="006E3CF8">
        <w:rPr>
          <w:rFonts w:ascii="Times New Roman" w:hAnsi="Times New Roman" w:cs="Times New Roman"/>
          <w:sz w:val="24"/>
          <w:szCs w:val="24"/>
        </w:rPr>
        <w:t>9.19.3.2</w:t>
      </w:r>
    </w:p>
    <w:p w14:paraId="5ECF0BF3" w14:textId="77777777" w:rsidR="00590185" w:rsidRPr="0009651A" w:rsidRDefault="00590185" w:rsidP="00590185">
      <w:pPr>
        <w:tabs>
          <w:tab w:val="left" w:pos="1990"/>
        </w:tabs>
        <w:rPr>
          <w:rFonts w:ascii="Times New Roman" w:hAnsi="Times New Roman" w:cs="Times New Roman"/>
          <w:sz w:val="24"/>
          <w:szCs w:val="24"/>
        </w:rPr>
      </w:pPr>
      <w:r w:rsidRPr="0009651A">
        <w:rPr>
          <w:rFonts w:ascii="Times New Roman" w:hAnsi="Times New Roman" w:cs="Times New Roman"/>
          <w:b/>
          <w:sz w:val="24"/>
          <w:szCs w:val="24"/>
        </w:rPr>
        <w:t>Document for:</w:t>
      </w:r>
      <w:r w:rsidRPr="0009651A">
        <w:rPr>
          <w:rFonts w:ascii="Times New Roman" w:hAnsi="Times New Roman" w:cs="Times New Roman"/>
          <w:sz w:val="24"/>
          <w:szCs w:val="24"/>
        </w:rPr>
        <w:tab/>
      </w:r>
      <w:r w:rsidR="00F65F48" w:rsidRPr="0009651A">
        <w:rPr>
          <w:rFonts w:ascii="Times New Roman" w:hAnsi="Times New Roman" w:cs="Times New Roman"/>
          <w:sz w:val="24"/>
          <w:szCs w:val="24"/>
        </w:rPr>
        <w:t>Discussion</w:t>
      </w:r>
    </w:p>
    <w:bookmarkEnd w:id="2"/>
    <w:bookmarkEnd w:id="3"/>
    <w:p w14:paraId="480A4510" w14:textId="77777777" w:rsidR="00590185" w:rsidRPr="0009651A" w:rsidRDefault="00590185" w:rsidP="00590185">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09651A">
        <w:rPr>
          <w:rFonts w:ascii="Times New Roman" w:eastAsia="SimSun" w:hAnsi="Times New Roman" w:cs="Times New Roman"/>
          <w:kern w:val="0"/>
          <w:sz w:val="36"/>
          <w:szCs w:val="20"/>
          <w:lang w:val="en-GB"/>
        </w:rPr>
        <w:t>1 Introduction</w:t>
      </w:r>
    </w:p>
    <w:p w14:paraId="09DBD757" w14:textId="5D5CD9D5" w:rsidR="00437570" w:rsidRPr="0038390F" w:rsidRDefault="00AD7255">
      <w:pPr>
        <w:rPr>
          <w:rFonts w:ascii="Times New Roman" w:hAnsi="Times New Roman" w:cs="Times New Roman"/>
          <w:sz w:val="20"/>
          <w:szCs w:val="20"/>
        </w:rPr>
      </w:pPr>
      <w:r w:rsidRPr="0038390F">
        <w:rPr>
          <w:rFonts w:ascii="Times New Roman" w:hAnsi="Times New Roman" w:cs="Times New Roman"/>
          <w:sz w:val="20"/>
          <w:szCs w:val="20"/>
        </w:rPr>
        <w:t>I</w:t>
      </w:r>
      <w:r w:rsidR="002B08D9" w:rsidRPr="0038390F">
        <w:rPr>
          <w:rFonts w:ascii="Times New Roman" w:hAnsi="Times New Roman" w:cs="Times New Roman"/>
          <w:sz w:val="20"/>
          <w:szCs w:val="20"/>
        </w:rPr>
        <w:t>n RAN4#99 meeting, WF is provided</w:t>
      </w:r>
      <w:r w:rsidR="003A11D3" w:rsidRPr="0038390F">
        <w:rPr>
          <w:rFonts w:ascii="Times New Roman" w:hAnsi="Times New Roman" w:cs="Times New Roman"/>
          <w:sz w:val="20"/>
          <w:szCs w:val="20"/>
        </w:rPr>
        <w:t xml:space="preserve"> as follows:</w:t>
      </w:r>
    </w:p>
    <w:tbl>
      <w:tblPr>
        <w:tblStyle w:val="TableGrid"/>
        <w:tblW w:w="0" w:type="auto"/>
        <w:tblLook w:val="04A0" w:firstRow="1" w:lastRow="0" w:firstColumn="1" w:lastColumn="0" w:noHBand="0" w:noVBand="1"/>
      </w:tblPr>
      <w:tblGrid>
        <w:gridCol w:w="9628"/>
      </w:tblGrid>
      <w:tr w:rsidR="003A11D3" w:rsidRPr="0038390F" w14:paraId="7F608249" w14:textId="77777777" w:rsidTr="003A11D3">
        <w:tc>
          <w:tcPr>
            <w:tcW w:w="9628" w:type="dxa"/>
          </w:tcPr>
          <w:p w14:paraId="56595902" w14:textId="77777777" w:rsidR="00AD7255" w:rsidRPr="0038390F" w:rsidRDefault="00AD7255" w:rsidP="00AD7255">
            <w:pPr>
              <w:numPr>
                <w:ilvl w:val="0"/>
                <w:numId w:val="38"/>
              </w:numPr>
              <w:rPr>
                <w:rFonts w:ascii="Times New Roman" w:hAnsi="Times New Roman" w:cs="Times New Roman"/>
                <w:sz w:val="20"/>
                <w:szCs w:val="20"/>
              </w:rPr>
            </w:pPr>
            <w:r w:rsidRPr="0038390F">
              <w:rPr>
                <w:rFonts w:ascii="Times New Roman" w:hAnsi="Times New Roman" w:cs="Times New Roman" w:hint="eastAsia"/>
                <w:sz w:val="20"/>
                <w:szCs w:val="20"/>
              </w:rPr>
              <w:t xml:space="preserve">In RAN4 #99e meeting, companies provide the input for overall RRM impact for </w:t>
            </w:r>
            <w:proofErr w:type="spellStart"/>
            <w:r w:rsidRPr="0038390F">
              <w:rPr>
                <w:rFonts w:ascii="Times New Roman" w:hAnsi="Times New Roman" w:cs="Times New Roman" w:hint="eastAsia"/>
                <w:sz w:val="20"/>
                <w:szCs w:val="20"/>
              </w:rPr>
              <w:t>feMIMO</w:t>
            </w:r>
            <w:proofErr w:type="spellEnd"/>
            <w:r w:rsidRPr="0038390F">
              <w:rPr>
                <w:rFonts w:ascii="Times New Roman" w:hAnsi="Times New Roman" w:cs="Times New Roman" w:hint="eastAsia"/>
                <w:sz w:val="20"/>
                <w:szCs w:val="20"/>
              </w:rPr>
              <w:t>. Among the objectives, RAN4 will firstly focus on objectives below</w:t>
            </w:r>
          </w:p>
          <w:p w14:paraId="3CB88D79" w14:textId="77777777" w:rsidR="00AD7255" w:rsidRPr="0038390F" w:rsidRDefault="00AD7255" w:rsidP="00AD7255">
            <w:pPr>
              <w:numPr>
                <w:ilvl w:val="1"/>
                <w:numId w:val="38"/>
              </w:numPr>
              <w:rPr>
                <w:rFonts w:ascii="Times New Roman" w:hAnsi="Times New Roman" w:cs="Times New Roman"/>
                <w:sz w:val="20"/>
                <w:szCs w:val="20"/>
              </w:rPr>
            </w:pPr>
            <w:r w:rsidRPr="0038390F">
              <w:rPr>
                <w:rFonts w:ascii="Times New Roman" w:hAnsi="Times New Roman" w:cs="Times New Roman" w:hint="eastAsia"/>
                <w:sz w:val="20"/>
                <w:szCs w:val="20"/>
                <w:lang w:val="en-GB"/>
              </w:rPr>
              <w:t>1-a Unified TCI for DL and UL</w:t>
            </w:r>
          </w:p>
          <w:p w14:paraId="0F183C71" w14:textId="77777777" w:rsidR="00AD7255" w:rsidRPr="0038390F" w:rsidRDefault="00AD7255" w:rsidP="00AD7255">
            <w:pPr>
              <w:numPr>
                <w:ilvl w:val="1"/>
                <w:numId w:val="38"/>
              </w:numPr>
              <w:rPr>
                <w:rFonts w:ascii="Times New Roman" w:hAnsi="Times New Roman" w:cs="Times New Roman"/>
                <w:sz w:val="20"/>
                <w:szCs w:val="20"/>
              </w:rPr>
            </w:pPr>
            <w:r w:rsidRPr="0038390F">
              <w:rPr>
                <w:rFonts w:ascii="Times New Roman" w:hAnsi="Times New Roman" w:cs="Times New Roman" w:hint="eastAsia"/>
                <w:sz w:val="20"/>
                <w:szCs w:val="20"/>
                <w:lang w:val="en-GB"/>
              </w:rPr>
              <w:t>1-b: L1/L2 centric inter-cell mobility</w:t>
            </w:r>
          </w:p>
          <w:p w14:paraId="2FD37A97" w14:textId="77777777" w:rsidR="00AD7255" w:rsidRPr="0038390F" w:rsidRDefault="00AD7255" w:rsidP="00AD7255">
            <w:pPr>
              <w:numPr>
                <w:ilvl w:val="1"/>
                <w:numId w:val="38"/>
              </w:numPr>
              <w:rPr>
                <w:rFonts w:ascii="Times New Roman" w:hAnsi="Times New Roman" w:cs="Times New Roman"/>
                <w:sz w:val="20"/>
                <w:szCs w:val="20"/>
              </w:rPr>
            </w:pPr>
            <w:r w:rsidRPr="0038390F">
              <w:rPr>
                <w:rFonts w:ascii="Times New Roman" w:hAnsi="Times New Roman" w:cs="Times New Roman" w:hint="eastAsia"/>
                <w:sz w:val="20"/>
                <w:szCs w:val="20"/>
                <w:lang w:val="en-GB"/>
              </w:rPr>
              <w:t>1-c: Beam indication signaling medium</w:t>
            </w:r>
          </w:p>
          <w:p w14:paraId="4D66E4B3" w14:textId="2A5CCAE1" w:rsidR="003A11D3" w:rsidRPr="0038390F" w:rsidRDefault="00AD7255" w:rsidP="00AD7255">
            <w:pPr>
              <w:numPr>
                <w:ilvl w:val="0"/>
                <w:numId w:val="38"/>
              </w:numPr>
              <w:rPr>
                <w:rFonts w:ascii="Times New Roman" w:hAnsi="Times New Roman" w:cs="Times New Roman"/>
                <w:sz w:val="20"/>
                <w:szCs w:val="20"/>
              </w:rPr>
            </w:pPr>
            <w:r w:rsidRPr="0038390F">
              <w:rPr>
                <w:rFonts w:ascii="Times New Roman" w:hAnsi="Times New Roman" w:cs="Times New Roman" w:hint="eastAsia"/>
                <w:sz w:val="20"/>
                <w:szCs w:val="20"/>
              </w:rPr>
              <w:t>Other objectives can be discussed up to RAN1/2 discussion status</w:t>
            </w:r>
          </w:p>
        </w:tc>
      </w:tr>
    </w:tbl>
    <w:p w14:paraId="4FA0AD54" w14:textId="5AC715F6" w:rsidR="003A11D3" w:rsidRPr="0038390F" w:rsidRDefault="003A11D3">
      <w:pPr>
        <w:rPr>
          <w:rFonts w:ascii="Times New Roman" w:hAnsi="Times New Roman" w:cs="Times New Roman"/>
          <w:sz w:val="20"/>
          <w:szCs w:val="20"/>
        </w:rPr>
      </w:pPr>
    </w:p>
    <w:p w14:paraId="2A546752" w14:textId="0C8C08D0" w:rsidR="00815C13" w:rsidRPr="0038390F" w:rsidRDefault="003E32AD" w:rsidP="003E32AD">
      <w:pPr>
        <w:rPr>
          <w:rFonts w:ascii="Times New Roman" w:hAnsi="Times New Roman" w:cs="Times New Roman"/>
          <w:sz w:val="20"/>
          <w:szCs w:val="20"/>
        </w:rPr>
      </w:pPr>
      <w:r w:rsidRPr="0038390F">
        <w:rPr>
          <w:rFonts w:ascii="Times New Roman" w:hAnsi="Times New Roman" w:cs="Times New Roman"/>
          <w:sz w:val="20"/>
          <w:szCs w:val="20"/>
        </w:rPr>
        <w:t xml:space="preserve">According to the WF, three topics will be </w:t>
      </w:r>
      <w:r w:rsidR="008C5E61" w:rsidRPr="0038390F">
        <w:rPr>
          <w:rFonts w:ascii="Times New Roman" w:hAnsi="Times New Roman" w:cs="Times New Roman"/>
          <w:sz w:val="20"/>
          <w:szCs w:val="20"/>
        </w:rPr>
        <w:t>discussed firstly</w:t>
      </w:r>
      <w:r w:rsidRPr="0038390F">
        <w:rPr>
          <w:rFonts w:ascii="Times New Roman" w:hAnsi="Times New Roman" w:cs="Times New Roman"/>
          <w:sz w:val="20"/>
          <w:szCs w:val="20"/>
        </w:rPr>
        <w:t xml:space="preserve">. </w:t>
      </w:r>
      <w:r w:rsidR="00815C13" w:rsidRPr="0038390F">
        <w:rPr>
          <w:rFonts w:ascii="Times New Roman" w:hAnsi="Times New Roman" w:cs="Times New Roman"/>
          <w:sz w:val="20"/>
          <w:szCs w:val="20"/>
        </w:rPr>
        <w:t>In this meeting, we will provide our views regarding these issues.</w:t>
      </w:r>
    </w:p>
    <w:p w14:paraId="41A867A6" w14:textId="1A125CED" w:rsidR="00815C13" w:rsidRPr="0009651A" w:rsidRDefault="00841BEA" w:rsidP="00841BEA">
      <w:pPr>
        <w:keepNext/>
        <w:keepLines/>
        <w:widowControl/>
        <w:pBdr>
          <w:top w:val="single" w:sz="12" w:space="3" w:color="auto"/>
        </w:pBdr>
        <w:tabs>
          <w:tab w:val="left" w:pos="6622"/>
        </w:tabs>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09651A">
        <w:rPr>
          <w:rFonts w:ascii="Times New Roman" w:eastAsia="SimSun" w:hAnsi="Times New Roman" w:cs="Times New Roman"/>
          <w:kern w:val="0"/>
          <w:sz w:val="36"/>
          <w:szCs w:val="20"/>
          <w:lang w:val="en-GB"/>
        </w:rPr>
        <w:t xml:space="preserve">2 </w:t>
      </w:r>
      <w:r w:rsidR="008A5047" w:rsidRPr="0009651A">
        <w:rPr>
          <w:rFonts w:ascii="Times New Roman" w:eastAsia="SimSun" w:hAnsi="Times New Roman" w:cs="Times New Roman"/>
          <w:kern w:val="0"/>
          <w:sz w:val="36"/>
          <w:szCs w:val="20"/>
          <w:lang w:val="en-GB"/>
        </w:rPr>
        <w:t>Unified TCI for DL and UL</w:t>
      </w:r>
    </w:p>
    <w:p w14:paraId="5F8C3599" w14:textId="2697D553" w:rsidR="00DC27A4" w:rsidRPr="0074046B" w:rsidRDefault="00E52D89" w:rsidP="00E52D89">
      <w:pPr>
        <w:pStyle w:val="NoSpacing"/>
        <w:rPr>
          <w:rFonts w:ascii="Times New Roman" w:hAnsi="Times New Roman" w:cs="Times New Roman"/>
          <w:sz w:val="20"/>
          <w:szCs w:val="20"/>
          <w:lang w:val="en-GB"/>
        </w:rPr>
      </w:pPr>
      <w:r w:rsidRPr="0074046B">
        <w:rPr>
          <w:rFonts w:ascii="Times New Roman" w:hAnsi="Times New Roman" w:cs="Times New Roman"/>
          <w:sz w:val="20"/>
          <w:szCs w:val="20"/>
          <w:lang w:val="en-GB"/>
        </w:rPr>
        <w:t>RAN1 is discussing Unified TCI framework to support indication of common beam using</w:t>
      </w:r>
      <w:r w:rsidR="00661912" w:rsidRPr="0074046B">
        <w:rPr>
          <w:rFonts w:ascii="Times New Roman" w:hAnsi="Times New Roman" w:cs="Times New Roman"/>
          <w:sz w:val="20"/>
          <w:szCs w:val="20"/>
          <w:lang w:val="en-GB"/>
        </w:rPr>
        <w:t>, there are two types of</w:t>
      </w:r>
      <w:r w:rsidR="0095333E" w:rsidRPr="0074046B">
        <w:rPr>
          <w:rFonts w:ascii="Times New Roman" w:hAnsi="Times New Roman" w:cs="Times New Roman"/>
          <w:sz w:val="20"/>
          <w:szCs w:val="20"/>
          <w:lang w:val="en-GB"/>
        </w:rPr>
        <w:t xml:space="preserve"> TCI framework:</w:t>
      </w:r>
    </w:p>
    <w:p w14:paraId="11F2A721" w14:textId="3E2ECED6" w:rsidR="00A7075A" w:rsidRPr="0074046B" w:rsidRDefault="00A7075A" w:rsidP="0095333E">
      <w:pPr>
        <w:pStyle w:val="NoSpacing"/>
        <w:numPr>
          <w:ilvl w:val="0"/>
          <w:numId w:val="27"/>
        </w:numPr>
        <w:rPr>
          <w:rFonts w:ascii="Times New Roman" w:hAnsi="Times New Roman" w:cs="Times New Roman"/>
          <w:sz w:val="20"/>
          <w:szCs w:val="20"/>
          <w:lang w:val="en-GB"/>
        </w:rPr>
      </w:pPr>
      <w:r w:rsidRPr="0074046B">
        <w:rPr>
          <w:rFonts w:ascii="Times New Roman" w:hAnsi="Times New Roman" w:cs="Times New Roman"/>
          <w:sz w:val="20"/>
          <w:szCs w:val="20"/>
          <w:lang w:val="en-GB"/>
        </w:rPr>
        <w:t>Joint DL/UL</w:t>
      </w:r>
      <w:r w:rsidR="002A27CB" w:rsidRPr="0074046B">
        <w:rPr>
          <w:rFonts w:ascii="Times New Roman" w:hAnsi="Times New Roman" w:cs="Times New Roman"/>
          <w:sz w:val="20"/>
          <w:szCs w:val="20"/>
          <w:lang w:val="en-GB"/>
        </w:rPr>
        <w:t xml:space="preserve"> TCI</w:t>
      </w:r>
    </w:p>
    <w:p w14:paraId="15D7C05C" w14:textId="0C1C2FAA" w:rsidR="006A6401" w:rsidRPr="0074046B" w:rsidRDefault="001656DE" w:rsidP="006A6401">
      <w:pPr>
        <w:pStyle w:val="NoSpacing"/>
        <w:rPr>
          <w:rFonts w:ascii="Times New Roman" w:hAnsi="Times New Roman" w:cs="Times New Roman"/>
          <w:sz w:val="20"/>
          <w:szCs w:val="20"/>
          <w:lang w:val="en-GB"/>
        </w:rPr>
      </w:pPr>
      <w:r w:rsidRPr="0074046B">
        <w:rPr>
          <w:rFonts w:ascii="Times New Roman" w:hAnsi="Times New Roman" w:cs="Times New Roman"/>
          <w:sz w:val="20"/>
          <w:szCs w:val="20"/>
          <w:lang w:val="en-GB"/>
        </w:rPr>
        <w:t xml:space="preserve">Joint DL/UL is used when there is </w:t>
      </w:r>
      <w:r w:rsidR="00DA32F4" w:rsidRPr="0074046B">
        <w:rPr>
          <w:rFonts w:ascii="Times New Roman" w:hAnsi="Times New Roman" w:cs="Times New Roman"/>
          <w:sz w:val="20"/>
          <w:szCs w:val="20"/>
          <w:lang w:val="en-GB"/>
        </w:rPr>
        <w:t xml:space="preserve">Perfect beam correspondence between </w:t>
      </w:r>
      <w:r w:rsidR="00905F04" w:rsidRPr="0074046B">
        <w:rPr>
          <w:rFonts w:ascii="Times New Roman" w:hAnsi="Times New Roman" w:cs="Times New Roman"/>
          <w:sz w:val="20"/>
          <w:szCs w:val="20"/>
          <w:lang w:val="en-GB"/>
        </w:rPr>
        <w:t xml:space="preserve">DL and </w:t>
      </w:r>
      <w:r w:rsidR="00346530">
        <w:rPr>
          <w:rFonts w:ascii="Times New Roman" w:hAnsi="Times New Roman" w:cs="Times New Roman"/>
          <w:sz w:val="20"/>
          <w:szCs w:val="20"/>
          <w:lang w:val="en-GB"/>
        </w:rPr>
        <w:t>UL</w:t>
      </w:r>
      <w:r w:rsidR="00905F04" w:rsidRPr="0074046B">
        <w:rPr>
          <w:rFonts w:ascii="Times New Roman" w:hAnsi="Times New Roman" w:cs="Times New Roman"/>
          <w:sz w:val="20"/>
          <w:szCs w:val="20"/>
          <w:lang w:val="en-GB"/>
        </w:rPr>
        <w:t xml:space="preserve"> and the same beam is used for </w:t>
      </w:r>
      <w:r w:rsidR="006A6401" w:rsidRPr="0074046B">
        <w:rPr>
          <w:rFonts w:ascii="Times New Roman" w:hAnsi="Times New Roman" w:cs="Times New Roman"/>
          <w:sz w:val="20"/>
          <w:szCs w:val="20"/>
          <w:lang w:val="en-GB"/>
        </w:rPr>
        <w:t xml:space="preserve">both </w:t>
      </w:r>
      <w:r w:rsidR="00905F04" w:rsidRPr="0074046B">
        <w:rPr>
          <w:rFonts w:ascii="Times New Roman" w:hAnsi="Times New Roman" w:cs="Times New Roman"/>
          <w:sz w:val="20"/>
          <w:szCs w:val="20"/>
          <w:lang w:val="en-GB"/>
        </w:rPr>
        <w:t>DL and UL</w:t>
      </w:r>
      <w:r w:rsidR="006A6401" w:rsidRPr="0074046B">
        <w:rPr>
          <w:rFonts w:ascii="Times New Roman" w:hAnsi="Times New Roman" w:cs="Times New Roman"/>
          <w:sz w:val="20"/>
          <w:szCs w:val="20"/>
          <w:lang w:val="en-GB"/>
        </w:rPr>
        <w:t xml:space="preserve">. </w:t>
      </w:r>
      <w:r w:rsidR="00905F04" w:rsidRPr="0074046B">
        <w:rPr>
          <w:rFonts w:ascii="Times New Roman" w:hAnsi="Times New Roman" w:cs="Times New Roman"/>
          <w:sz w:val="20"/>
          <w:szCs w:val="20"/>
          <w:lang w:val="en-GB"/>
        </w:rPr>
        <w:t>A common source reference RS is used for determi</w:t>
      </w:r>
      <w:r w:rsidR="00B501B1" w:rsidRPr="0074046B">
        <w:rPr>
          <w:rFonts w:ascii="Times New Roman" w:hAnsi="Times New Roman" w:cs="Times New Roman"/>
          <w:sz w:val="20"/>
          <w:szCs w:val="20"/>
          <w:lang w:val="en-GB"/>
        </w:rPr>
        <w:t>ning both the DL QCL information and the UL TX spatial filter</w:t>
      </w:r>
      <w:r w:rsidR="006A6401" w:rsidRPr="0074046B">
        <w:rPr>
          <w:rFonts w:ascii="Times New Roman" w:hAnsi="Times New Roman" w:cs="Times New Roman"/>
          <w:sz w:val="20"/>
          <w:szCs w:val="20"/>
          <w:lang w:val="en-GB"/>
        </w:rPr>
        <w:t>.</w:t>
      </w:r>
    </w:p>
    <w:p w14:paraId="62F99661" w14:textId="70B05405" w:rsidR="007B1D32" w:rsidRPr="0074046B" w:rsidRDefault="007B1D32" w:rsidP="0095333E">
      <w:pPr>
        <w:pStyle w:val="NoSpacing"/>
        <w:numPr>
          <w:ilvl w:val="0"/>
          <w:numId w:val="27"/>
        </w:numPr>
        <w:rPr>
          <w:rFonts w:ascii="Times New Roman" w:hAnsi="Times New Roman" w:cs="Times New Roman"/>
          <w:sz w:val="20"/>
          <w:szCs w:val="20"/>
          <w:lang w:val="en-GB"/>
        </w:rPr>
      </w:pPr>
      <w:r w:rsidRPr="0074046B">
        <w:rPr>
          <w:rFonts w:ascii="Times New Roman" w:hAnsi="Times New Roman" w:cs="Times New Roman"/>
          <w:sz w:val="20"/>
          <w:szCs w:val="20"/>
          <w:lang w:val="en-GB"/>
        </w:rPr>
        <w:t>Separate DL and UL TCI</w:t>
      </w:r>
    </w:p>
    <w:p w14:paraId="0E781197" w14:textId="4FCDD95E" w:rsidR="007B1D32" w:rsidRPr="0074046B" w:rsidRDefault="006A6401" w:rsidP="006A6401">
      <w:pPr>
        <w:pStyle w:val="NoSpacing"/>
        <w:rPr>
          <w:rFonts w:ascii="Times New Roman" w:hAnsi="Times New Roman" w:cs="Times New Roman"/>
          <w:sz w:val="20"/>
          <w:szCs w:val="20"/>
          <w:lang w:val="en-GB"/>
        </w:rPr>
      </w:pPr>
      <w:r w:rsidRPr="0074046B">
        <w:rPr>
          <w:rFonts w:ascii="Times New Roman" w:hAnsi="Times New Roman" w:cs="Times New Roman"/>
          <w:sz w:val="20"/>
          <w:szCs w:val="20"/>
          <w:lang w:val="en-GB"/>
        </w:rPr>
        <w:t>Separate DL/UL TCI is u</w:t>
      </w:r>
      <w:r w:rsidR="007B1D32" w:rsidRPr="0074046B">
        <w:rPr>
          <w:rFonts w:ascii="Times New Roman" w:hAnsi="Times New Roman" w:cs="Times New Roman"/>
          <w:sz w:val="20"/>
          <w:szCs w:val="20"/>
          <w:lang w:val="en-GB"/>
        </w:rPr>
        <w:t>sed for case with no beam correspondence</w:t>
      </w:r>
      <w:r w:rsidR="00261A38" w:rsidRPr="0074046B">
        <w:rPr>
          <w:rFonts w:ascii="Times New Roman" w:hAnsi="Times New Roman" w:cs="Times New Roman"/>
          <w:sz w:val="20"/>
          <w:szCs w:val="20"/>
          <w:lang w:val="en-GB"/>
        </w:rPr>
        <w:t xml:space="preserve"> and</w:t>
      </w:r>
      <w:r w:rsidR="007B1D32" w:rsidRPr="0074046B">
        <w:rPr>
          <w:rFonts w:ascii="Times New Roman" w:hAnsi="Times New Roman" w:cs="Times New Roman"/>
          <w:sz w:val="20"/>
          <w:szCs w:val="20"/>
          <w:lang w:val="en-GB"/>
        </w:rPr>
        <w:t xml:space="preserve"> different beams are used in DL and UL</w:t>
      </w:r>
      <w:r w:rsidR="00261A38" w:rsidRPr="0074046B">
        <w:rPr>
          <w:rFonts w:ascii="Times New Roman" w:hAnsi="Times New Roman" w:cs="Times New Roman"/>
          <w:sz w:val="20"/>
          <w:szCs w:val="20"/>
          <w:lang w:val="en-GB"/>
        </w:rPr>
        <w:t xml:space="preserve">. The new UL TCI concept will replace uplink </w:t>
      </w:r>
      <w:proofErr w:type="spellStart"/>
      <w:r w:rsidR="00261A38" w:rsidRPr="0074046B">
        <w:rPr>
          <w:rFonts w:ascii="Times New Roman" w:hAnsi="Times New Roman" w:cs="Times New Roman"/>
          <w:sz w:val="20"/>
          <w:szCs w:val="20"/>
          <w:lang w:val="en-GB"/>
        </w:rPr>
        <w:t>spatialRelationInfo</w:t>
      </w:r>
      <w:proofErr w:type="spellEnd"/>
      <w:r w:rsidR="00874D60" w:rsidRPr="0074046B">
        <w:rPr>
          <w:rFonts w:ascii="Times New Roman" w:hAnsi="Times New Roman" w:cs="Times New Roman"/>
          <w:sz w:val="20"/>
          <w:szCs w:val="20"/>
          <w:lang w:val="en-GB"/>
        </w:rPr>
        <w:t>, a source reference signal in the UL TCI will provide a reference for determ</w:t>
      </w:r>
      <w:r w:rsidR="0068346D" w:rsidRPr="0074046B">
        <w:rPr>
          <w:rFonts w:ascii="Times New Roman" w:hAnsi="Times New Roman" w:cs="Times New Roman"/>
          <w:sz w:val="20"/>
          <w:szCs w:val="20"/>
          <w:lang w:val="en-GB"/>
        </w:rPr>
        <w:t>ining UL TX spatial filter.</w:t>
      </w:r>
    </w:p>
    <w:p w14:paraId="2718CEA8" w14:textId="57F9EC1E" w:rsidR="009524F0" w:rsidRPr="0074046B" w:rsidRDefault="009524F0" w:rsidP="006A6401">
      <w:pPr>
        <w:pStyle w:val="NoSpacing"/>
        <w:rPr>
          <w:rFonts w:ascii="Times New Roman" w:hAnsi="Times New Roman" w:cs="Times New Roman"/>
          <w:sz w:val="20"/>
          <w:szCs w:val="20"/>
          <w:lang w:val="en-GB"/>
        </w:rPr>
      </w:pPr>
      <w:r w:rsidRPr="0074046B">
        <w:rPr>
          <w:rFonts w:ascii="Times New Roman" w:hAnsi="Times New Roman" w:cs="Times New Roman"/>
          <w:sz w:val="20"/>
          <w:szCs w:val="20"/>
          <w:lang w:val="en-GB"/>
        </w:rPr>
        <w:t>In RAN1 #1</w:t>
      </w:r>
      <w:r w:rsidR="00C2109A">
        <w:rPr>
          <w:rFonts w:ascii="Times New Roman" w:hAnsi="Times New Roman" w:cs="Times New Roman"/>
          <w:sz w:val="20"/>
          <w:szCs w:val="20"/>
          <w:lang w:val="en-GB"/>
        </w:rPr>
        <w:t>05</w:t>
      </w:r>
      <w:r w:rsidRPr="0074046B">
        <w:rPr>
          <w:rFonts w:ascii="Times New Roman" w:hAnsi="Times New Roman" w:cs="Times New Roman"/>
          <w:sz w:val="20"/>
          <w:szCs w:val="20"/>
          <w:lang w:val="en-GB"/>
        </w:rPr>
        <w:t xml:space="preserve"> meeting, there are some agreements</w:t>
      </w:r>
      <w:r w:rsidR="007A38B1" w:rsidRPr="0074046B">
        <w:rPr>
          <w:rFonts w:ascii="Times New Roman" w:hAnsi="Times New Roman" w:cs="Times New Roman"/>
          <w:sz w:val="20"/>
          <w:szCs w:val="20"/>
          <w:lang w:val="en-GB"/>
        </w:rPr>
        <w:t xml:space="preserve"> for Unified TCI framework</w:t>
      </w:r>
      <w:r w:rsidRPr="0074046B">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8"/>
      </w:tblGrid>
      <w:tr w:rsidR="0073072A" w:rsidRPr="0074046B" w14:paraId="5C91077E" w14:textId="77777777" w:rsidTr="0073072A">
        <w:tc>
          <w:tcPr>
            <w:tcW w:w="9628" w:type="dxa"/>
          </w:tcPr>
          <w:p w14:paraId="42D94CFB" w14:textId="77777777" w:rsidR="0073072A" w:rsidRPr="0074046B" w:rsidRDefault="0073072A" w:rsidP="0073072A">
            <w:pPr>
              <w:rPr>
                <w:rFonts w:ascii="Times New Roman" w:hAnsi="Times New Roman" w:cs="Times New Roman"/>
                <w:b/>
                <w:bCs/>
                <w:sz w:val="20"/>
                <w:szCs w:val="20"/>
              </w:rPr>
            </w:pPr>
            <w:r w:rsidRPr="0074046B">
              <w:rPr>
                <w:rFonts w:ascii="Times New Roman" w:hAnsi="Times New Roman" w:cs="Times New Roman"/>
                <w:b/>
                <w:bCs/>
                <w:sz w:val="20"/>
                <w:szCs w:val="20"/>
              </w:rPr>
              <w:t>Agreements from RAN1#105-e:</w:t>
            </w:r>
          </w:p>
          <w:p w14:paraId="256B1BB7" w14:textId="77777777" w:rsidR="0073072A" w:rsidRPr="0074046B" w:rsidRDefault="0073072A" w:rsidP="0073072A">
            <w:pPr>
              <w:rPr>
                <w:rFonts w:ascii="Times New Roman" w:hAnsi="Times New Roman" w:cs="Times New Roman"/>
                <w:sz w:val="20"/>
                <w:szCs w:val="20"/>
              </w:rPr>
            </w:pPr>
          </w:p>
          <w:p w14:paraId="0DB85E32" w14:textId="77777777" w:rsidR="00E308D4" w:rsidRPr="0074046B" w:rsidRDefault="00E308D4" w:rsidP="00E308D4">
            <w:pPr>
              <w:snapToGrid w:val="0"/>
              <w:rPr>
                <w:rFonts w:ascii="Times New Roman" w:hAnsi="Times New Roman" w:cs="Times New Roman"/>
                <w:sz w:val="20"/>
                <w:szCs w:val="20"/>
                <w:lang w:eastAsia="ko-KR"/>
              </w:rPr>
            </w:pPr>
            <w:r w:rsidRPr="0074046B">
              <w:rPr>
                <w:rFonts w:ascii="Times New Roman" w:hAnsi="Times New Roman" w:cs="Times New Roman"/>
                <w:b/>
                <w:bCs/>
                <w:sz w:val="20"/>
                <w:szCs w:val="20"/>
                <w:highlight w:val="green"/>
              </w:rPr>
              <w:t>Agreement</w:t>
            </w:r>
          </w:p>
          <w:p w14:paraId="75025B29" w14:textId="77777777" w:rsidR="00E308D4" w:rsidRPr="0074046B" w:rsidRDefault="00E308D4" w:rsidP="00E308D4">
            <w:pPr>
              <w:snapToGrid w:val="0"/>
              <w:rPr>
                <w:rFonts w:ascii="Times New Roman" w:hAnsi="Times New Roman" w:cs="Times New Roman"/>
                <w:sz w:val="20"/>
                <w:szCs w:val="20"/>
              </w:rPr>
            </w:pPr>
            <w:r w:rsidRPr="0074046B">
              <w:rPr>
                <w:rFonts w:ascii="Times New Roman" w:hAnsi="Times New Roman" w:cs="Times New Roman"/>
                <w:sz w:val="20"/>
                <w:szCs w:val="20"/>
              </w:rPr>
              <w:t xml:space="preserve">On Rel.17 unified TCI framework, </w:t>
            </w:r>
          </w:p>
          <w:p w14:paraId="76701A2B" w14:textId="77777777" w:rsidR="00E308D4" w:rsidRPr="0074046B" w:rsidRDefault="00E308D4" w:rsidP="00E308D4">
            <w:pPr>
              <w:pStyle w:val="ListParagraph"/>
              <w:widowControl/>
              <w:numPr>
                <w:ilvl w:val="0"/>
                <w:numId w:val="29"/>
              </w:numPr>
              <w:snapToGrid w:val="0"/>
              <w:contextualSpacing w:val="0"/>
              <w:jc w:val="left"/>
              <w:rPr>
                <w:rFonts w:ascii="Times New Roman" w:hAnsi="Times New Roman" w:cs="Times New Roman"/>
                <w:sz w:val="20"/>
                <w:szCs w:val="20"/>
                <w:lang w:eastAsia="en-US"/>
              </w:rPr>
            </w:pPr>
            <w:r w:rsidRPr="0074046B">
              <w:rPr>
                <w:rFonts w:ascii="Times New Roman" w:hAnsi="Times New Roman" w:cs="Times New Roman"/>
                <w:sz w:val="20"/>
                <w:szCs w:val="20"/>
                <w:highlight w:val="yellow"/>
              </w:rPr>
              <w:t>Any DL RS that is a valid target DL RS of a Rel-15/16 TCI state based on the Rel-15/16 QCL rules can be configured as a target DL RS of Rel-17 DL TCI</w:t>
            </w:r>
            <w:r w:rsidRPr="0074046B">
              <w:rPr>
                <w:rFonts w:ascii="Times New Roman" w:hAnsi="Times New Roman" w:cs="Times New Roman"/>
                <w:sz w:val="20"/>
                <w:szCs w:val="20"/>
              </w:rPr>
              <w:t xml:space="preserve"> (hence the Rel-17 DL TCI state pool)</w:t>
            </w:r>
          </w:p>
          <w:p w14:paraId="45A8E193" w14:textId="77777777" w:rsidR="00E308D4" w:rsidRPr="0074046B" w:rsidRDefault="00E308D4" w:rsidP="00E308D4">
            <w:pPr>
              <w:pStyle w:val="ListParagraph"/>
              <w:widowControl/>
              <w:numPr>
                <w:ilvl w:val="1"/>
                <w:numId w:val="29"/>
              </w:numPr>
              <w:snapToGrid w:val="0"/>
              <w:contextualSpacing w:val="0"/>
              <w:jc w:val="left"/>
              <w:rPr>
                <w:rFonts w:ascii="Times New Roman" w:hAnsi="Times New Roman" w:cs="Times New Roman"/>
                <w:sz w:val="20"/>
                <w:szCs w:val="20"/>
                <w:lang w:eastAsia="ko-KR"/>
              </w:rPr>
            </w:pPr>
            <w:r w:rsidRPr="0074046B">
              <w:rPr>
                <w:rFonts w:ascii="Times New Roman" w:hAnsi="Times New Roman" w:cs="Times New Roman"/>
                <w:sz w:val="20"/>
                <w:szCs w:val="20"/>
              </w:rPr>
              <w:t>Note: This does not imply that all such DL RSs necessarily share a same TCI state</w:t>
            </w:r>
          </w:p>
          <w:p w14:paraId="7AE2AB47" w14:textId="77777777" w:rsidR="00E308D4" w:rsidRPr="0074046B" w:rsidRDefault="00E308D4" w:rsidP="00E308D4">
            <w:pPr>
              <w:pStyle w:val="ListParagraph"/>
              <w:widowControl/>
              <w:numPr>
                <w:ilvl w:val="1"/>
                <w:numId w:val="29"/>
              </w:numPr>
              <w:snapToGrid w:val="0"/>
              <w:contextualSpacing w:val="0"/>
              <w:jc w:val="left"/>
              <w:rPr>
                <w:rFonts w:ascii="Times New Roman" w:hAnsi="Times New Roman" w:cs="Times New Roman"/>
                <w:sz w:val="20"/>
                <w:szCs w:val="20"/>
                <w:lang w:eastAsia="en-US"/>
              </w:rPr>
            </w:pPr>
            <w:r w:rsidRPr="0074046B">
              <w:rPr>
                <w:rFonts w:ascii="Times New Roman" w:hAnsi="Times New Roman" w:cs="Times New Roman"/>
                <w:sz w:val="20"/>
                <w:szCs w:val="20"/>
              </w:rPr>
              <w:t>The DL RS includes CSI-RS and DMRS for PDSCH or PDCCH</w:t>
            </w:r>
          </w:p>
          <w:p w14:paraId="64D1ABB1" w14:textId="77777777" w:rsidR="00E308D4" w:rsidRPr="0074046B" w:rsidRDefault="00E308D4" w:rsidP="00E308D4">
            <w:pPr>
              <w:pStyle w:val="ListParagraph"/>
              <w:widowControl/>
              <w:numPr>
                <w:ilvl w:val="0"/>
                <w:numId w:val="29"/>
              </w:numPr>
              <w:snapToGrid w:val="0"/>
              <w:contextualSpacing w:val="0"/>
              <w:jc w:val="left"/>
              <w:rPr>
                <w:rFonts w:ascii="Times New Roman" w:hAnsi="Times New Roman" w:cs="Times New Roman"/>
                <w:sz w:val="20"/>
                <w:szCs w:val="20"/>
                <w:lang w:eastAsia="ko-KR"/>
              </w:rPr>
            </w:pPr>
            <w:r w:rsidRPr="0074046B">
              <w:rPr>
                <w:rFonts w:ascii="Times New Roman" w:hAnsi="Times New Roman" w:cs="Times New Roman"/>
                <w:sz w:val="20"/>
                <w:szCs w:val="20"/>
              </w:rPr>
              <w:t xml:space="preserve">FFS: </w:t>
            </w:r>
            <w:r w:rsidRPr="0074046B">
              <w:rPr>
                <w:rFonts w:ascii="Times New Roman" w:hAnsi="Times New Roman" w:cs="Times New Roman"/>
                <w:sz w:val="20"/>
                <w:szCs w:val="20"/>
                <w:highlight w:val="yellow"/>
              </w:rPr>
              <w:t>Whether some SRS resources or resource sets for BM can be configured as a target signal/channel of a Rel-17 UL TCI</w:t>
            </w:r>
            <w:r w:rsidRPr="0074046B">
              <w:rPr>
                <w:rFonts w:ascii="Times New Roman" w:hAnsi="Times New Roman" w:cs="Times New Roman"/>
                <w:sz w:val="20"/>
                <w:szCs w:val="20"/>
              </w:rPr>
              <w:t xml:space="preserve"> (hence the Rel-17 UL TCI state pool)</w:t>
            </w:r>
          </w:p>
          <w:p w14:paraId="5AB48A87" w14:textId="77777777" w:rsidR="00E308D4" w:rsidRPr="0074046B" w:rsidRDefault="00E308D4" w:rsidP="00E308D4">
            <w:pPr>
              <w:pStyle w:val="ListParagraph"/>
              <w:widowControl/>
              <w:numPr>
                <w:ilvl w:val="0"/>
                <w:numId w:val="29"/>
              </w:numPr>
              <w:snapToGrid w:val="0"/>
              <w:contextualSpacing w:val="0"/>
              <w:jc w:val="left"/>
              <w:rPr>
                <w:rFonts w:ascii="Times New Roman" w:hAnsi="Times New Roman" w:cs="Times New Roman"/>
                <w:sz w:val="20"/>
                <w:szCs w:val="20"/>
              </w:rPr>
            </w:pPr>
            <w:r w:rsidRPr="0074046B">
              <w:rPr>
                <w:rFonts w:ascii="Times New Roman" w:hAnsi="Times New Roman" w:cs="Times New Roman"/>
                <w:sz w:val="20"/>
                <w:szCs w:val="20"/>
              </w:rPr>
              <w:lastRenderedPageBreak/>
              <w:t>Note: This does not imply that DL and UL TCI state pools are separate or shared for separate DL/UL TCI (this issue is still TBD)</w:t>
            </w:r>
          </w:p>
          <w:p w14:paraId="0CF08A5E" w14:textId="77777777" w:rsidR="00A223EF" w:rsidRPr="0074046B" w:rsidRDefault="00A223EF" w:rsidP="00A223EF">
            <w:pPr>
              <w:snapToGrid w:val="0"/>
              <w:rPr>
                <w:rFonts w:ascii="Times New Roman" w:hAnsi="Times New Roman" w:cs="Times New Roman"/>
                <w:b/>
                <w:sz w:val="20"/>
                <w:szCs w:val="20"/>
                <w:highlight w:val="green"/>
              </w:rPr>
            </w:pPr>
          </w:p>
          <w:p w14:paraId="5B334617" w14:textId="02B68393" w:rsidR="00E308D4" w:rsidRPr="0074046B" w:rsidRDefault="00A223EF" w:rsidP="00E308D4">
            <w:pPr>
              <w:snapToGrid w:val="0"/>
              <w:rPr>
                <w:rFonts w:ascii="Times New Roman" w:hAnsi="Times New Roman" w:cs="Times New Roman"/>
                <w:b/>
                <w:bCs/>
                <w:sz w:val="20"/>
                <w:szCs w:val="20"/>
              </w:rPr>
            </w:pPr>
            <w:r w:rsidRPr="0074046B">
              <w:rPr>
                <w:rFonts w:ascii="Times New Roman" w:hAnsi="Times New Roman" w:cs="Times New Roman"/>
                <w:b/>
                <w:sz w:val="20"/>
                <w:szCs w:val="20"/>
                <w:highlight w:val="green"/>
              </w:rPr>
              <w:t>Agreement</w:t>
            </w:r>
          </w:p>
          <w:p w14:paraId="60CA58C9" w14:textId="77777777" w:rsidR="00A223EF" w:rsidRPr="0074046B" w:rsidRDefault="00A223EF" w:rsidP="00A223EF">
            <w:pPr>
              <w:snapToGrid w:val="0"/>
              <w:rPr>
                <w:rFonts w:ascii="Times New Roman" w:hAnsi="Times New Roman" w:cs="Times New Roman"/>
                <w:sz w:val="20"/>
                <w:szCs w:val="20"/>
                <w:lang w:eastAsia="x-none"/>
              </w:rPr>
            </w:pPr>
            <w:r w:rsidRPr="0074046B">
              <w:rPr>
                <w:rFonts w:ascii="Times New Roman" w:hAnsi="Times New Roman" w:cs="Times New Roman"/>
                <w:sz w:val="20"/>
                <w:szCs w:val="20"/>
              </w:rPr>
              <w:t xml:space="preserve">For </w:t>
            </w:r>
            <w:r w:rsidRPr="0074046B">
              <w:rPr>
                <w:rFonts w:ascii="Times New Roman" w:hAnsi="Times New Roman" w:cs="Times New Roman"/>
                <w:bCs/>
                <w:sz w:val="20"/>
                <w:szCs w:val="20"/>
              </w:rPr>
              <w:t>M=N=1, o</w:t>
            </w:r>
            <w:r w:rsidRPr="0074046B">
              <w:rPr>
                <w:rFonts w:ascii="Times New Roman" w:hAnsi="Times New Roman" w:cs="Times New Roman"/>
                <w:sz w:val="20"/>
                <w:szCs w:val="20"/>
              </w:rPr>
              <w:t xml:space="preserve">n Rel-17 unified TCI, for separate DL/UL TCI, </w:t>
            </w:r>
            <w:r w:rsidRPr="0074046B">
              <w:rPr>
                <w:rFonts w:ascii="Times New Roman" w:hAnsi="Times New Roman" w:cs="Times New Roman"/>
                <w:sz w:val="20"/>
                <w:szCs w:val="20"/>
                <w:lang w:eastAsia="x-none"/>
              </w:rPr>
              <w:t xml:space="preserve">one instance of beam indication using DCI formats 1_1/1_2 (with and without DL assignment) can be used as follows: </w:t>
            </w:r>
          </w:p>
          <w:p w14:paraId="4DBCF97A" w14:textId="77777777" w:rsidR="00A223EF" w:rsidRPr="0074046B" w:rsidRDefault="00A223EF" w:rsidP="00A223EF">
            <w:pPr>
              <w:pStyle w:val="ListParagraph"/>
              <w:widowControl/>
              <w:numPr>
                <w:ilvl w:val="0"/>
                <w:numId w:val="28"/>
              </w:numPr>
              <w:snapToGrid w:val="0"/>
              <w:contextualSpacing w:val="0"/>
              <w:jc w:val="left"/>
              <w:rPr>
                <w:rFonts w:ascii="Times New Roman" w:hAnsi="Times New Roman" w:cs="Times New Roman"/>
                <w:sz w:val="20"/>
                <w:szCs w:val="20"/>
              </w:rPr>
            </w:pPr>
            <w:r w:rsidRPr="0074046B">
              <w:rPr>
                <w:rFonts w:ascii="Times New Roman" w:hAnsi="Times New Roman" w:cs="Times New Roman"/>
                <w:sz w:val="20"/>
                <w:szCs w:val="20"/>
              </w:rPr>
              <w:t>One TCI field codepoint represents a pair of DL TCI state and UL TCI state. If the DCI indicates such a TCI field codepoint, the UE applies the corresponding DL TCI state and UL TCI state.</w:t>
            </w:r>
          </w:p>
          <w:p w14:paraId="65BB8AB8" w14:textId="77777777" w:rsidR="00A223EF" w:rsidRPr="0074046B" w:rsidRDefault="00A223EF" w:rsidP="00A223EF">
            <w:pPr>
              <w:pStyle w:val="ListParagraph"/>
              <w:widowControl/>
              <w:numPr>
                <w:ilvl w:val="0"/>
                <w:numId w:val="28"/>
              </w:numPr>
              <w:snapToGrid w:val="0"/>
              <w:contextualSpacing w:val="0"/>
              <w:jc w:val="left"/>
              <w:rPr>
                <w:rFonts w:ascii="Times New Roman" w:hAnsi="Times New Roman" w:cs="Times New Roman"/>
                <w:sz w:val="20"/>
                <w:szCs w:val="20"/>
              </w:rPr>
            </w:pPr>
            <w:r w:rsidRPr="0074046B">
              <w:rPr>
                <w:rFonts w:ascii="Times New Roman" w:hAnsi="Times New Roman" w:cs="Times New Roman"/>
                <w:sz w:val="20"/>
                <w:szCs w:val="20"/>
              </w:rPr>
              <w:t>One TCI field codepoint represents only a DL TCI state. If the DCI indicates such a TCI field codepoint, the UE applies the corresponding DL TCI state, and keeps the current UL TCI state.</w:t>
            </w:r>
          </w:p>
          <w:p w14:paraId="66C5A708" w14:textId="77777777" w:rsidR="00A223EF" w:rsidRPr="0074046B" w:rsidRDefault="00A223EF" w:rsidP="00A223EF">
            <w:pPr>
              <w:pStyle w:val="ListParagraph"/>
              <w:widowControl/>
              <w:numPr>
                <w:ilvl w:val="0"/>
                <w:numId w:val="28"/>
              </w:numPr>
              <w:snapToGrid w:val="0"/>
              <w:contextualSpacing w:val="0"/>
              <w:jc w:val="left"/>
              <w:rPr>
                <w:rFonts w:ascii="Times New Roman" w:hAnsi="Times New Roman" w:cs="Times New Roman"/>
                <w:sz w:val="20"/>
                <w:szCs w:val="20"/>
              </w:rPr>
            </w:pPr>
            <w:r w:rsidRPr="0074046B">
              <w:rPr>
                <w:rFonts w:ascii="Times New Roman" w:hAnsi="Times New Roman" w:cs="Times New Roman"/>
                <w:sz w:val="20"/>
                <w:szCs w:val="20"/>
              </w:rPr>
              <w:t>One TCI field codepoint represents only an UL TCI state. If the DCI indicates such a TCI field codepoint, the UE applies the corresponding UL TCI state, and keeps the current DL TCI state.</w:t>
            </w:r>
          </w:p>
          <w:p w14:paraId="47A5D737" w14:textId="77777777" w:rsidR="00A223EF" w:rsidRPr="0074046B" w:rsidRDefault="00A223EF" w:rsidP="00A223EF">
            <w:pPr>
              <w:snapToGrid w:val="0"/>
              <w:rPr>
                <w:rFonts w:ascii="Times New Roman" w:hAnsi="Times New Roman" w:cs="Times New Roman"/>
                <w:sz w:val="20"/>
                <w:szCs w:val="20"/>
              </w:rPr>
            </w:pPr>
            <w:r w:rsidRPr="0074046B">
              <w:rPr>
                <w:rFonts w:ascii="Times New Roman" w:hAnsi="Times New Roman" w:cs="Times New Roman"/>
                <w:bCs/>
                <w:sz w:val="20"/>
                <w:szCs w:val="20"/>
              </w:rPr>
              <w:t>FFS: the cases of M or N&gt;1</w:t>
            </w:r>
          </w:p>
          <w:p w14:paraId="225638B6" w14:textId="77777777" w:rsidR="00A223EF" w:rsidRPr="0074046B" w:rsidRDefault="00A223EF" w:rsidP="00E308D4">
            <w:pPr>
              <w:snapToGrid w:val="0"/>
              <w:rPr>
                <w:rFonts w:ascii="Times New Roman" w:hAnsi="Times New Roman" w:cs="Times New Roman"/>
                <w:b/>
                <w:bCs/>
                <w:sz w:val="20"/>
                <w:szCs w:val="20"/>
              </w:rPr>
            </w:pPr>
          </w:p>
          <w:p w14:paraId="023F0352" w14:textId="77777777" w:rsidR="00405F80" w:rsidRPr="0074046B" w:rsidRDefault="00405F80" w:rsidP="00405F80">
            <w:pPr>
              <w:snapToGrid w:val="0"/>
              <w:rPr>
                <w:rFonts w:ascii="Times New Roman" w:hAnsi="Times New Roman" w:cs="Times New Roman"/>
                <w:b/>
                <w:sz w:val="20"/>
                <w:szCs w:val="20"/>
                <w:highlight w:val="green"/>
              </w:rPr>
            </w:pPr>
          </w:p>
          <w:p w14:paraId="04ED3E0C" w14:textId="1BA0C8AB" w:rsidR="00405F80" w:rsidRPr="0074046B" w:rsidRDefault="00405F80" w:rsidP="00405F80">
            <w:pPr>
              <w:snapToGrid w:val="0"/>
              <w:rPr>
                <w:rFonts w:ascii="Times New Roman" w:hAnsi="Times New Roman" w:cs="Times New Roman"/>
                <w:sz w:val="20"/>
                <w:szCs w:val="20"/>
                <w:highlight w:val="green"/>
              </w:rPr>
            </w:pPr>
            <w:r w:rsidRPr="0074046B">
              <w:rPr>
                <w:rFonts w:ascii="Times New Roman" w:hAnsi="Times New Roman" w:cs="Times New Roman"/>
                <w:b/>
                <w:sz w:val="20"/>
                <w:szCs w:val="20"/>
                <w:highlight w:val="green"/>
              </w:rPr>
              <w:t>Agreement</w:t>
            </w:r>
          </w:p>
          <w:p w14:paraId="1C71F55A" w14:textId="77777777" w:rsidR="00405F80" w:rsidRPr="0074046B" w:rsidRDefault="00405F80" w:rsidP="00405F80">
            <w:pPr>
              <w:snapToGrid w:val="0"/>
              <w:rPr>
                <w:rFonts w:ascii="Times New Roman" w:hAnsi="Times New Roman" w:cs="Times New Roman"/>
                <w:sz w:val="20"/>
                <w:szCs w:val="20"/>
              </w:rPr>
            </w:pPr>
            <w:r w:rsidRPr="0074046B">
              <w:rPr>
                <w:rFonts w:ascii="Times New Roman" w:hAnsi="Times New Roman" w:cs="Times New Roman"/>
                <w:sz w:val="20"/>
                <w:szCs w:val="20"/>
                <w:highlight w:val="yellow"/>
              </w:rPr>
              <w:t>On path-loss measurement for Rel.17 unified TCI framework</w:t>
            </w:r>
            <w:r w:rsidRPr="0074046B">
              <w:rPr>
                <w:rFonts w:ascii="Times New Roman" w:hAnsi="Times New Roman" w:cs="Times New Roman"/>
                <w:sz w:val="20"/>
                <w:szCs w:val="20"/>
                <w:highlight w:val="yellow"/>
                <w:lang w:eastAsia="ja-JP"/>
              </w:rPr>
              <w:t>, a PL-RS (configured for path-loss calculation) is either included in</w:t>
            </w:r>
            <w:r w:rsidRPr="0074046B">
              <w:rPr>
                <w:rStyle w:val="apple-converted-space"/>
                <w:rFonts w:ascii="Times New Roman" w:hAnsi="Times New Roman" w:cs="Times New Roman"/>
                <w:sz w:val="20"/>
                <w:szCs w:val="20"/>
                <w:highlight w:val="yellow"/>
                <w:lang w:eastAsia="ja-JP"/>
              </w:rPr>
              <w:t> </w:t>
            </w:r>
            <w:r w:rsidRPr="0074046B">
              <w:rPr>
                <w:rStyle w:val="apple-converted-space"/>
                <w:rFonts w:ascii="Times New Roman" w:hAnsi="Times New Roman" w:cs="Times New Roman"/>
                <w:sz w:val="20"/>
                <w:szCs w:val="20"/>
                <w:highlight w:val="yellow"/>
              </w:rPr>
              <w:t xml:space="preserve">UL </w:t>
            </w:r>
            <w:r w:rsidRPr="0074046B">
              <w:rPr>
                <w:rStyle w:val="apple-converted-space"/>
                <w:rFonts w:ascii="Times New Roman" w:hAnsi="Times New Roman" w:cs="Times New Roman"/>
                <w:sz w:val="20"/>
                <w:szCs w:val="20"/>
                <w:highlight w:val="yellow"/>
                <w:lang w:eastAsia="ja-JP"/>
              </w:rPr>
              <w:t>TCI state</w:t>
            </w:r>
            <w:r w:rsidRPr="0074046B">
              <w:rPr>
                <w:rStyle w:val="apple-converted-space"/>
                <w:rFonts w:ascii="Times New Roman" w:hAnsi="Times New Roman" w:cs="Times New Roman"/>
                <w:sz w:val="20"/>
                <w:szCs w:val="20"/>
                <w:highlight w:val="yellow"/>
              </w:rPr>
              <w:t xml:space="preserve"> or (if applicable) joint TCI state</w:t>
            </w:r>
            <w:r w:rsidRPr="0074046B">
              <w:rPr>
                <w:rStyle w:val="apple-converted-space"/>
                <w:rFonts w:ascii="Times New Roman" w:hAnsi="Times New Roman" w:cs="Times New Roman"/>
                <w:sz w:val="20"/>
                <w:szCs w:val="20"/>
                <w:highlight w:val="yellow"/>
                <w:lang w:eastAsia="ja-JP"/>
              </w:rPr>
              <w:t xml:space="preserve"> or associated with </w:t>
            </w:r>
            <w:r w:rsidRPr="0074046B">
              <w:rPr>
                <w:rFonts w:ascii="Times New Roman" w:hAnsi="Times New Roman" w:cs="Times New Roman"/>
                <w:sz w:val="20"/>
                <w:szCs w:val="20"/>
                <w:highlight w:val="yellow"/>
                <w:lang w:eastAsia="ja-JP"/>
              </w:rPr>
              <w:t>UL TCI state or (if applicable) joint TCI state</w:t>
            </w:r>
            <w:r w:rsidRPr="0074046B">
              <w:rPr>
                <w:rFonts w:ascii="Times New Roman" w:hAnsi="Times New Roman" w:cs="Times New Roman"/>
                <w:sz w:val="20"/>
                <w:szCs w:val="20"/>
                <w:lang w:eastAsia="ja-JP"/>
              </w:rPr>
              <w:t>.</w:t>
            </w:r>
          </w:p>
          <w:p w14:paraId="5ADE50DD" w14:textId="77777777" w:rsidR="00405F80" w:rsidRPr="0074046B" w:rsidRDefault="00405F80" w:rsidP="00405F80">
            <w:pPr>
              <w:pStyle w:val="ListParagraph"/>
              <w:widowControl/>
              <w:numPr>
                <w:ilvl w:val="0"/>
                <w:numId w:val="33"/>
              </w:numPr>
              <w:snapToGrid w:val="0"/>
              <w:contextualSpacing w:val="0"/>
              <w:jc w:val="left"/>
              <w:rPr>
                <w:rFonts w:ascii="Times New Roman" w:hAnsi="Times New Roman" w:cs="Times New Roman"/>
                <w:sz w:val="20"/>
                <w:szCs w:val="20"/>
                <w:lang w:eastAsia="ko-KR"/>
              </w:rPr>
            </w:pPr>
            <w:r w:rsidRPr="0074046B">
              <w:rPr>
                <w:rStyle w:val="msoins0"/>
                <w:rFonts w:ascii="Times New Roman" w:eastAsia="Times New Roman" w:hAnsi="Times New Roman" w:cs="Times New Roman"/>
                <w:sz w:val="20"/>
                <w:szCs w:val="20"/>
              </w:rPr>
              <w:t>Whether a UE supports “beam misalignment or not” (detailed definition FFS)</w:t>
            </w:r>
            <w:r w:rsidRPr="0074046B">
              <w:rPr>
                <w:rStyle w:val="apple-converted-space"/>
                <w:rFonts w:ascii="Times New Roman" w:eastAsia="Times New Roman" w:hAnsi="Times New Roman" w:cs="Times New Roman"/>
                <w:sz w:val="20"/>
                <w:szCs w:val="20"/>
              </w:rPr>
              <w:t> </w:t>
            </w:r>
            <w:r w:rsidRPr="0074046B">
              <w:rPr>
                <w:rStyle w:val="msoins0"/>
                <w:rFonts w:ascii="Times New Roman" w:eastAsia="Times New Roman" w:hAnsi="Times New Roman" w:cs="Times New Roman"/>
                <w:sz w:val="20"/>
                <w:szCs w:val="20"/>
              </w:rPr>
              <w:t>between</w:t>
            </w:r>
            <w:r w:rsidRPr="0074046B">
              <w:rPr>
                <w:rStyle w:val="apple-converted-space"/>
                <w:rFonts w:ascii="Times New Roman" w:eastAsia="Times New Roman" w:hAnsi="Times New Roman" w:cs="Times New Roman"/>
                <w:sz w:val="20"/>
                <w:szCs w:val="20"/>
              </w:rPr>
              <w:t> </w:t>
            </w:r>
            <w:r w:rsidRPr="0074046B">
              <w:rPr>
                <w:rStyle w:val="apple-converted-space"/>
                <w:rFonts w:ascii="Times New Roman" w:hAnsi="Times New Roman" w:cs="Times New Roman"/>
                <w:sz w:val="20"/>
                <w:szCs w:val="20"/>
                <w:lang w:eastAsia="ja-JP"/>
              </w:rPr>
              <w:t>the</w:t>
            </w:r>
            <w:r w:rsidRPr="0074046B">
              <w:rPr>
                <w:rFonts w:ascii="Times New Roman" w:hAnsi="Times New Roman" w:cs="Times New Roman"/>
                <w:sz w:val="20"/>
                <w:szCs w:val="20"/>
                <w:lang w:eastAsia="ja-JP"/>
              </w:rPr>
              <w:t xml:space="preserve"> DL </w:t>
            </w:r>
            <w:r w:rsidRPr="0074046B">
              <w:rPr>
                <w:rFonts w:ascii="Times New Roman" w:eastAsia="Times New Roman" w:hAnsi="Times New Roman" w:cs="Times New Roman"/>
                <w:sz w:val="20"/>
                <w:szCs w:val="20"/>
              </w:rPr>
              <w:t xml:space="preserve">source </w:t>
            </w:r>
            <w:r w:rsidRPr="0074046B">
              <w:rPr>
                <w:rFonts w:ascii="Times New Roman" w:hAnsi="Times New Roman" w:cs="Times New Roman"/>
                <w:sz w:val="20"/>
                <w:szCs w:val="20"/>
                <w:lang w:eastAsia="ja-JP"/>
              </w:rPr>
              <w:t>RS in</w:t>
            </w:r>
            <w:r w:rsidRPr="0074046B">
              <w:rPr>
                <w:rStyle w:val="apple-converted-space"/>
                <w:rFonts w:ascii="Times New Roman" w:hAnsi="Times New Roman" w:cs="Times New Roman"/>
                <w:sz w:val="20"/>
                <w:szCs w:val="20"/>
                <w:lang w:eastAsia="ja-JP"/>
              </w:rPr>
              <w:t> </w:t>
            </w:r>
            <w:r w:rsidRPr="0074046B">
              <w:rPr>
                <w:rFonts w:ascii="Times New Roman" w:hAnsi="Times New Roman" w:cs="Times New Roman"/>
                <w:sz w:val="20"/>
                <w:szCs w:val="20"/>
                <w:lang w:eastAsia="ja-JP"/>
              </w:rPr>
              <w:t>the UL or (if applicable) joint TCI state</w:t>
            </w:r>
            <w:r w:rsidRPr="0074046B">
              <w:rPr>
                <w:rStyle w:val="apple-converted-space"/>
                <w:rFonts w:ascii="Times New Roman" w:hAnsi="Times New Roman" w:cs="Times New Roman"/>
                <w:sz w:val="20"/>
                <w:szCs w:val="20"/>
                <w:lang w:eastAsia="ja-JP"/>
              </w:rPr>
              <w:t> </w:t>
            </w:r>
            <w:r w:rsidRPr="0074046B">
              <w:rPr>
                <w:rFonts w:ascii="Times New Roman" w:hAnsi="Times New Roman" w:cs="Times New Roman"/>
                <w:sz w:val="20"/>
                <w:szCs w:val="20"/>
                <w:lang w:eastAsia="ja-JP"/>
              </w:rPr>
              <w:t>to provide spatial relation indication and the PL-RS is a UE capability</w:t>
            </w:r>
          </w:p>
          <w:p w14:paraId="1DD11FF4" w14:textId="77777777" w:rsidR="00405F80" w:rsidRPr="0074046B" w:rsidRDefault="00405F80" w:rsidP="00405F80">
            <w:pPr>
              <w:pStyle w:val="ListParagraph"/>
              <w:widowControl/>
              <w:numPr>
                <w:ilvl w:val="1"/>
                <w:numId w:val="33"/>
              </w:numPr>
              <w:snapToGrid w:val="0"/>
              <w:contextualSpacing w:val="0"/>
              <w:jc w:val="left"/>
              <w:rPr>
                <w:rFonts w:ascii="Times New Roman" w:hAnsi="Times New Roman" w:cs="Times New Roman"/>
                <w:sz w:val="20"/>
                <w:szCs w:val="20"/>
                <w:lang w:eastAsia="ko-KR"/>
              </w:rPr>
            </w:pPr>
            <w:r w:rsidRPr="0074046B">
              <w:rPr>
                <w:rFonts w:ascii="Times New Roman" w:hAnsi="Times New Roman" w:cs="Times New Roman"/>
                <w:sz w:val="20"/>
                <w:szCs w:val="20"/>
                <w:lang w:eastAsia="ja-JP"/>
              </w:rPr>
              <w:t>Note: The term “</w:t>
            </w:r>
            <w:r w:rsidRPr="0074046B">
              <w:rPr>
                <w:rStyle w:val="msoins0"/>
                <w:rFonts w:ascii="Times New Roman" w:eastAsia="Times New Roman" w:hAnsi="Times New Roman" w:cs="Times New Roman"/>
                <w:sz w:val="20"/>
                <w:szCs w:val="20"/>
              </w:rPr>
              <w:t>beam misalignment</w:t>
            </w:r>
            <w:r w:rsidRPr="0074046B">
              <w:rPr>
                <w:rFonts w:ascii="Times New Roman" w:hAnsi="Times New Roman" w:cs="Times New Roman"/>
                <w:sz w:val="20"/>
                <w:szCs w:val="20"/>
                <w:lang w:eastAsia="ja-JP"/>
              </w:rPr>
              <w:t>” is for discussion purpose only</w:t>
            </w:r>
          </w:p>
          <w:p w14:paraId="7AC39C2B" w14:textId="77777777" w:rsidR="00405F80" w:rsidRPr="0074046B" w:rsidRDefault="00405F80" w:rsidP="00405F80">
            <w:pPr>
              <w:pStyle w:val="ListParagraph"/>
              <w:widowControl/>
              <w:numPr>
                <w:ilvl w:val="0"/>
                <w:numId w:val="33"/>
              </w:numPr>
              <w:snapToGrid w:val="0"/>
              <w:contextualSpacing w:val="0"/>
              <w:jc w:val="left"/>
              <w:rPr>
                <w:rFonts w:ascii="Times New Roman" w:hAnsi="Times New Roman" w:cs="Times New Roman"/>
                <w:sz w:val="20"/>
                <w:szCs w:val="20"/>
                <w:lang w:eastAsia="ko-KR"/>
              </w:rPr>
            </w:pPr>
            <w:r w:rsidRPr="0074046B">
              <w:rPr>
                <w:rFonts w:ascii="Times New Roman" w:hAnsi="Times New Roman" w:cs="Times New Roman"/>
                <w:sz w:val="20"/>
                <w:szCs w:val="20"/>
                <w:lang w:eastAsia="ja-JP"/>
              </w:rPr>
              <w:t>Whether it is ‘included in’ or ‘associated with’ (including the manner it is performed and the signaling) is up to RAN2</w:t>
            </w:r>
          </w:p>
          <w:p w14:paraId="3D4B173B" w14:textId="77777777" w:rsidR="00405F80" w:rsidRPr="0074046B" w:rsidRDefault="00405F80" w:rsidP="00405F80">
            <w:pPr>
              <w:widowControl/>
              <w:numPr>
                <w:ilvl w:val="0"/>
                <w:numId w:val="32"/>
              </w:numPr>
              <w:snapToGrid w:val="0"/>
              <w:spacing w:after="160"/>
              <w:jc w:val="left"/>
              <w:rPr>
                <w:rFonts w:ascii="Times New Roman" w:eastAsia="Times New Roman" w:hAnsi="Times New Roman" w:cs="Times New Roman"/>
                <w:sz w:val="20"/>
                <w:szCs w:val="20"/>
              </w:rPr>
            </w:pPr>
            <w:r w:rsidRPr="0074046B">
              <w:rPr>
                <w:rFonts w:ascii="Times New Roman" w:eastAsia="Times New Roman" w:hAnsi="Times New Roman" w:cs="Times New Roman"/>
                <w:sz w:val="20"/>
                <w:szCs w:val="20"/>
              </w:rPr>
              <w:t>The UE maintains the PL-RS of the activated UL TCI state or (if applicable) joint TCI state</w:t>
            </w:r>
          </w:p>
          <w:p w14:paraId="04C704C9" w14:textId="77777777" w:rsidR="00405F80" w:rsidRPr="0074046B" w:rsidRDefault="00405F80" w:rsidP="00405F80">
            <w:pPr>
              <w:widowControl/>
              <w:numPr>
                <w:ilvl w:val="0"/>
                <w:numId w:val="32"/>
              </w:numPr>
              <w:snapToGrid w:val="0"/>
              <w:spacing w:after="160"/>
              <w:jc w:val="left"/>
              <w:rPr>
                <w:rFonts w:ascii="Times New Roman" w:eastAsia="Times New Roman" w:hAnsi="Times New Roman" w:cs="Times New Roman"/>
                <w:sz w:val="20"/>
                <w:szCs w:val="20"/>
              </w:rPr>
            </w:pPr>
            <w:r w:rsidRPr="0074046B">
              <w:rPr>
                <w:rFonts w:ascii="Times New Roman" w:eastAsia="Times New Roman" w:hAnsi="Times New Roman" w:cs="Times New Roman"/>
                <w:sz w:val="20"/>
                <w:szCs w:val="20"/>
              </w:rPr>
              <w:t>The maximum number of activated UL TCI states or (if applicable) joint TCI states per band per cell is a UE capability</w:t>
            </w:r>
          </w:p>
          <w:p w14:paraId="620F3808" w14:textId="77777777" w:rsidR="00405F80" w:rsidRPr="0074046B" w:rsidRDefault="00405F80" w:rsidP="00405F80">
            <w:pPr>
              <w:widowControl/>
              <w:numPr>
                <w:ilvl w:val="0"/>
                <w:numId w:val="32"/>
              </w:numPr>
              <w:snapToGrid w:val="0"/>
              <w:spacing w:after="160"/>
              <w:jc w:val="left"/>
              <w:rPr>
                <w:rFonts w:ascii="Times New Roman" w:eastAsia="Times New Roman" w:hAnsi="Times New Roman" w:cs="Times New Roman"/>
                <w:sz w:val="20"/>
                <w:szCs w:val="20"/>
                <w:lang w:eastAsia="ko-KR"/>
              </w:rPr>
            </w:pPr>
            <w:r w:rsidRPr="0074046B">
              <w:rPr>
                <w:rFonts w:ascii="Times New Roman" w:hAnsi="Times New Roman" w:cs="Times New Roman"/>
                <w:sz w:val="20"/>
                <w:szCs w:val="20"/>
                <w:lang w:eastAsia="ja-JP"/>
              </w:rPr>
              <w:t>FFS: detailed aspects of PL-RS, e.g. CSI-RS type(s), restriction on configuration</w:t>
            </w:r>
          </w:p>
          <w:p w14:paraId="7CE580C4" w14:textId="77777777" w:rsidR="00405F80" w:rsidRPr="0074046B" w:rsidRDefault="00405F80" w:rsidP="00405F80">
            <w:pPr>
              <w:widowControl/>
              <w:numPr>
                <w:ilvl w:val="0"/>
                <w:numId w:val="32"/>
              </w:numPr>
              <w:snapToGrid w:val="0"/>
              <w:spacing w:after="160"/>
              <w:jc w:val="left"/>
              <w:rPr>
                <w:rFonts w:ascii="Times New Roman" w:hAnsi="Times New Roman" w:cs="Times New Roman"/>
                <w:sz w:val="20"/>
                <w:szCs w:val="20"/>
                <w:lang w:eastAsia="ja-JP"/>
              </w:rPr>
            </w:pPr>
            <w:r w:rsidRPr="0074046B">
              <w:rPr>
                <w:rFonts w:ascii="Times New Roman" w:hAnsi="Times New Roman" w:cs="Times New Roman"/>
                <w:sz w:val="20"/>
                <w:szCs w:val="20"/>
                <w:lang w:eastAsia="ja-JP"/>
              </w:rPr>
              <w:t>FFS: For the definition of “</w:t>
            </w:r>
            <w:r w:rsidRPr="0074046B">
              <w:rPr>
                <w:rStyle w:val="msoins0"/>
                <w:rFonts w:ascii="Times New Roman" w:eastAsia="Times New Roman" w:hAnsi="Times New Roman" w:cs="Times New Roman"/>
                <w:sz w:val="20"/>
                <w:szCs w:val="20"/>
              </w:rPr>
              <w:t>beam misalignment</w:t>
            </w:r>
            <w:r w:rsidRPr="0074046B">
              <w:rPr>
                <w:rFonts w:ascii="Times New Roman" w:hAnsi="Times New Roman" w:cs="Times New Roman"/>
                <w:sz w:val="20"/>
                <w:szCs w:val="20"/>
                <w:lang w:eastAsia="ja-JP"/>
              </w:rPr>
              <w:t xml:space="preserve"> or not”, at least consider the case where the periodic DL source RS in</w:t>
            </w:r>
            <w:r w:rsidRPr="0074046B">
              <w:rPr>
                <w:rFonts w:ascii="Times New Roman" w:hAnsi="Times New Roman" w:cs="Times New Roman"/>
                <w:sz w:val="20"/>
                <w:szCs w:val="20"/>
              </w:rPr>
              <w:t> </w:t>
            </w:r>
            <w:r w:rsidRPr="0074046B">
              <w:rPr>
                <w:rFonts w:ascii="Times New Roman" w:hAnsi="Times New Roman" w:cs="Times New Roman"/>
                <w:sz w:val="20"/>
                <w:szCs w:val="20"/>
                <w:lang w:eastAsia="ja-JP"/>
              </w:rPr>
              <w:t>the UL or (if applicable) joint TCI state to provide spatial relation indication is configured/associated as the PL-RS</w:t>
            </w:r>
          </w:p>
          <w:p w14:paraId="0B89D4B2" w14:textId="77777777" w:rsidR="00405F80" w:rsidRPr="0074046B" w:rsidRDefault="00405F80" w:rsidP="00405F80">
            <w:pPr>
              <w:widowControl/>
              <w:numPr>
                <w:ilvl w:val="0"/>
                <w:numId w:val="32"/>
              </w:numPr>
              <w:snapToGrid w:val="0"/>
              <w:spacing w:after="160"/>
              <w:jc w:val="left"/>
              <w:rPr>
                <w:rFonts w:ascii="Times New Roman" w:eastAsia="Malgun Gothic" w:hAnsi="Times New Roman" w:cs="Times New Roman"/>
                <w:sz w:val="20"/>
                <w:szCs w:val="20"/>
                <w:lang w:eastAsia="ja-JP"/>
              </w:rPr>
            </w:pPr>
            <w:r w:rsidRPr="0074046B">
              <w:rPr>
                <w:rFonts w:ascii="Times New Roman" w:hAnsi="Times New Roman" w:cs="Times New Roman"/>
                <w:sz w:val="20"/>
                <w:szCs w:val="20"/>
                <w:lang w:eastAsia="ja-JP"/>
              </w:rPr>
              <w:t>Note: PL-RS is assumed to be periodic</w:t>
            </w:r>
          </w:p>
          <w:p w14:paraId="397870ED" w14:textId="320CD5D4" w:rsidR="0073072A" w:rsidRPr="0074046B" w:rsidRDefault="0073072A" w:rsidP="006A6401">
            <w:pPr>
              <w:pStyle w:val="NoSpacing"/>
              <w:rPr>
                <w:rFonts w:ascii="Times New Roman" w:hAnsi="Times New Roman" w:cs="Times New Roman"/>
                <w:sz w:val="20"/>
                <w:szCs w:val="20"/>
              </w:rPr>
            </w:pPr>
          </w:p>
        </w:tc>
      </w:tr>
    </w:tbl>
    <w:p w14:paraId="67E5EB75" w14:textId="77777777" w:rsidR="008B3FF9" w:rsidRPr="0074046B" w:rsidRDefault="008B3FF9" w:rsidP="006A6401">
      <w:pPr>
        <w:pStyle w:val="NoSpacing"/>
        <w:rPr>
          <w:rFonts w:ascii="Times New Roman" w:hAnsi="Times New Roman" w:cs="Times New Roman"/>
          <w:b/>
          <w:bCs/>
          <w:sz w:val="20"/>
          <w:szCs w:val="20"/>
          <w:lang w:val="en-GB"/>
        </w:rPr>
      </w:pPr>
    </w:p>
    <w:p w14:paraId="6B15D0B2" w14:textId="1EF08764" w:rsidR="009524F0" w:rsidRPr="0074046B" w:rsidRDefault="00B713C2" w:rsidP="006A6401">
      <w:pPr>
        <w:pStyle w:val="NoSpacing"/>
        <w:rPr>
          <w:rFonts w:ascii="Times New Roman" w:hAnsi="Times New Roman" w:cs="Times New Roman"/>
          <w:b/>
          <w:bCs/>
          <w:sz w:val="20"/>
          <w:szCs w:val="20"/>
          <w:lang w:val="en-GB"/>
        </w:rPr>
      </w:pPr>
      <w:r w:rsidRPr="0074046B">
        <w:rPr>
          <w:rFonts w:ascii="Times New Roman" w:hAnsi="Times New Roman" w:cs="Times New Roman"/>
          <w:b/>
          <w:bCs/>
          <w:sz w:val="20"/>
          <w:szCs w:val="20"/>
          <w:lang w:val="en-GB"/>
        </w:rPr>
        <w:t xml:space="preserve">Observation 1: </w:t>
      </w:r>
      <w:r w:rsidR="008B3FF9" w:rsidRPr="0074046B">
        <w:rPr>
          <w:rFonts w:ascii="Times New Roman" w:hAnsi="Times New Roman" w:cs="Times New Roman"/>
          <w:b/>
          <w:bCs/>
          <w:sz w:val="20"/>
          <w:szCs w:val="20"/>
          <w:lang w:val="en-GB"/>
        </w:rPr>
        <w:t>N</w:t>
      </w:r>
      <w:r w:rsidRPr="0074046B">
        <w:rPr>
          <w:rFonts w:ascii="Times New Roman" w:hAnsi="Times New Roman" w:cs="Times New Roman"/>
          <w:b/>
          <w:bCs/>
          <w:sz w:val="20"/>
          <w:szCs w:val="20"/>
          <w:lang w:val="en-GB"/>
        </w:rPr>
        <w:t xml:space="preserve">ew UL TCI concept will replace uplink </w:t>
      </w:r>
      <w:proofErr w:type="spellStart"/>
      <w:r w:rsidRPr="0074046B">
        <w:rPr>
          <w:rFonts w:ascii="Times New Roman" w:hAnsi="Times New Roman" w:cs="Times New Roman"/>
          <w:b/>
          <w:bCs/>
          <w:sz w:val="20"/>
          <w:szCs w:val="20"/>
          <w:lang w:val="en-GB"/>
        </w:rPr>
        <w:t>spatialRelationInfo</w:t>
      </w:r>
      <w:proofErr w:type="spellEnd"/>
      <w:r w:rsidRPr="0074046B">
        <w:rPr>
          <w:rFonts w:ascii="Times New Roman" w:hAnsi="Times New Roman" w:cs="Times New Roman"/>
          <w:b/>
          <w:bCs/>
          <w:sz w:val="20"/>
          <w:szCs w:val="20"/>
          <w:lang w:val="en-GB"/>
        </w:rPr>
        <w:t>, a source reference signal in the UL TCI will provide a reference for determining UL TX spatial filter.</w:t>
      </w:r>
    </w:p>
    <w:p w14:paraId="5D2DB567" w14:textId="0771A615" w:rsidR="00E45542" w:rsidRPr="0074046B" w:rsidRDefault="00E45542" w:rsidP="00E52D89">
      <w:pPr>
        <w:pStyle w:val="NoSpacing"/>
        <w:rPr>
          <w:rFonts w:ascii="Times New Roman" w:hAnsi="Times New Roman" w:cs="Times New Roman"/>
          <w:sz w:val="20"/>
          <w:szCs w:val="20"/>
          <w:lang w:val="en-GB"/>
        </w:rPr>
      </w:pPr>
      <w:r w:rsidRPr="0074046B">
        <w:rPr>
          <w:rFonts w:ascii="Times New Roman" w:hAnsi="Times New Roman" w:cs="Times New Roman"/>
          <w:sz w:val="20"/>
          <w:szCs w:val="20"/>
          <w:lang w:val="en-GB"/>
        </w:rPr>
        <w:t xml:space="preserve">For separate UL TCI frame, since </w:t>
      </w:r>
      <w:r w:rsidR="00351BA9" w:rsidRPr="0074046B">
        <w:rPr>
          <w:rFonts w:ascii="Times New Roman" w:hAnsi="Times New Roman" w:cs="Times New Roman"/>
          <w:sz w:val="20"/>
          <w:szCs w:val="20"/>
          <w:lang w:val="en-GB"/>
        </w:rPr>
        <w:t xml:space="preserve">new UL TCI concept will replace uplink </w:t>
      </w:r>
      <w:proofErr w:type="spellStart"/>
      <w:r w:rsidR="00351BA9" w:rsidRPr="0074046B">
        <w:rPr>
          <w:rFonts w:ascii="Times New Roman" w:hAnsi="Times New Roman" w:cs="Times New Roman"/>
          <w:sz w:val="20"/>
          <w:szCs w:val="20"/>
          <w:lang w:val="en-GB"/>
        </w:rPr>
        <w:t>spatialRelationInfo</w:t>
      </w:r>
      <w:proofErr w:type="spellEnd"/>
      <w:r w:rsidR="00351BA9" w:rsidRPr="0074046B">
        <w:rPr>
          <w:rFonts w:ascii="Times New Roman" w:hAnsi="Times New Roman" w:cs="Times New Roman"/>
          <w:sz w:val="20"/>
          <w:szCs w:val="20"/>
          <w:lang w:val="en-GB"/>
        </w:rPr>
        <w:t>, delay requirement for UL TCI state switch is needed.</w:t>
      </w:r>
    </w:p>
    <w:p w14:paraId="434EDB83" w14:textId="44DE9A10" w:rsidR="00B713C2" w:rsidRPr="0074046B" w:rsidRDefault="00B713C2" w:rsidP="00E52D89">
      <w:pPr>
        <w:pStyle w:val="NoSpacing"/>
        <w:rPr>
          <w:rFonts w:ascii="Times New Roman" w:hAnsi="Times New Roman" w:cs="Times New Roman"/>
          <w:b/>
          <w:bCs/>
          <w:sz w:val="20"/>
          <w:szCs w:val="20"/>
          <w:lang w:val="en-GB"/>
        </w:rPr>
      </w:pPr>
      <w:r w:rsidRPr="0074046B">
        <w:rPr>
          <w:rFonts w:ascii="Times New Roman" w:hAnsi="Times New Roman" w:cs="Times New Roman"/>
          <w:b/>
          <w:bCs/>
          <w:sz w:val="20"/>
          <w:szCs w:val="20"/>
          <w:lang w:val="en-GB"/>
        </w:rPr>
        <w:t xml:space="preserve">Observation 2: </w:t>
      </w:r>
      <w:r w:rsidRPr="0074046B">
        <w:rPr>
          <w:rFonts w:ascii="Times New Roman" w:hAnsi="Times New Roman" w:cs="Times New Roman"/>
          <w:b/>
          <w:bCs/>
          <w:sz w:val="20"/>
          <w:szCs w:val="20"/>
        </w:rPr>
        <w:t>On path-loss measurement for Rel.17 unified TCI framework</w:t>
      </w:r>
      <w:r w:rsidRPr="0074046B">
        <w:rPr>
          <w:rFonts w:ascii="Times New Roman" w:hAnsi="Times New Roman" w:cs="Times New Roman"/>
          <w:b/>
          <w:bCs/>
          <w:sz w:val="20"/>
          <w:szCs w:val="20"/>
          <w:lang w:eastAsia="ja-JP"/>
        </w:rPr>
        <w:t>, a PL-RS (configured for path-loss calculation) is either included in</w:t>
      </w:r>
      <w:r w:rsidRPr="0074046B">
        <w:rPr>
          <w:rStyle w:val="apple-converted-space"/>
          <w:rFonts w:ascii="Times New Roman" w:hAnsi="Times New Roman" w:cs="Times New Roman"/>
          <w:b/>
          <w:bCs/>
          <w:sz w:val="20"/>
          <w:szCs w:val="20"/>
          <w:lang w:eastAsia="ja-JP"/>
        </w:rPr>
        <w:t> </w:t>
      </w:r>
      <w:r w:rsidRPr="0074046B">
        <w:rPr>
          <w:rStyle w:val="apple-converted-space"/>
          <w:rFonts w:ascii="Times New Roman" w:hAnsi="Times New Roman" w:cs="Times New Roman"/>
          <w:b/>
          <w:bCs/>
          <w:sz w:val="20"/>
          <w:szCs w:val="20"/>
        </w:rPr>
        <w:t xml:space="preserve">UL </w:t>
      </w:r>
      <w:r w:rsidRPr="0074046B">
        <w:rPr>
          <w:rStyle w:val="apple-converted-space"/>
          <w:rFonts w:ascii="Times New Roman" w:hAnsi="Times New Roman" w:cs="Times New Roman"/>
          <w:b/>
          <w:bCs/>
          <w:sz w:val="20"/>
          <w:szCs w:val="20"/>
          <w:lang w:eastAsia="ja-JP"/>
        </w:rPr>
        <w:t>TCI state</w:t>
      </w:r>
      <w:r w:rsidRPr="0074046B">
        <w:rPr>
          <w:rStyle w:val="apple-converted-space"/>
          <w:rFonts w:ascii="Times New Roman" w:hAnsi="Times New Roman" w:cs="Times New Roman"/>
          <w:b/>
          <w:bCs/>
          <w:sz w:val="20"/>
          <w:szCs w:val="20"/>
        </w:rPr>
        <w:t xml:space="preserve"> or (if applicable) joint TCI state</w:t>
      </w:r>
      <w:r w:rsidRPr="0074046B">
        <w:rPr>
          <w:rStyle w:val="apple-converted-space"/>
          <w:rFonts w:ascii="Times New Roman" w:hAnsi="Times New Roman" w:cs="Times New Roman"/>
          <w:b/>
          <w:bCs/>
          <w:sz w:val="20"/>
          <w:szCs w:val="20"/>
          <w:lang w:eastAsia="ja-JP"/>
        </w:rPr>
        <w:t xml:space="preserve"> or associated with </w:t>
      </w:r>
      <w:r w:rsidRPr="0074046B">
        <w:rPr>
          <w:rFonts w:ascii="Times New Roman" w:hAnsi="Times New Roman" w:cs="Times New Roman"/>
          <w:b/>
          <w:bCs/>
          <w:sz w:val="20"/>
          <w:szCs w:val="20"/>
          <w:lang w:eastAsia="ja-JP"/>
        </w:rPr>
        <w:t>UL TCI state or (if applicable) joint TCI state.</w:t>
      </w:r>
    </w:p>
    <w:p w14:paraId="04FE7AF3" w14:textId="77777777" w:rsidR="009D7857" w:rsidRPr="0074046B" w:rsidRDefault="009D7857" w:rsidP="00E52D89">
      <w:pPr>
        <w:pStyle w:val="NoSpacing"/>
        <w:rPr>
          <w:rFonts w:ascii="Times New Roman" w:hAnsi="Times New Roman" w:cs="Times New Roman"/>
          <w:sz w:val="20"/>
          <w:szCs w:val="20"/>
          <w:lang w:val="en-GB"/>
        </w:rPr>
      </w:pPr>
    </w:p>
    <w:p w14:paraId="61A23665" w14:textId="3CBEF65F" w:rsidR="003304ED" w:rsidRPr="0074046B" w:rsidRDefault="00351BA9" w:rsidP="00E52D89">
      <w:pPr>
        <w:pStyle w:val="NoSpacing"/>
        <w:rPr>
          <w:rFonts w:ascii="Times New Roman" w:hAnsi="Times New Roman" w:cs="Times New Roman"/>
          <w:sz w:val="20"/>
          <w:szCs w:val="20"/>
          <w:lang w:val="en-GB"/>
        </w:rPr>
      </w:pPr>
      <w:r w:rsidRPr="0074046B">
        <w:rPr>
          <w:rFonts w:ascii="Times New Roman" w:hAnsi="Times New Roman" w:cs="Times New Roman"/>
          <w:sz w:val="20"/>
          <w:szCs w:val="20"/>
          <w:lang w:val="en-GB"/>
        </w:rPr>
        <w:t>From the RAN1</w:t>
      </w:r>
      <w:r w:rsidR="004A7F6F" w:rsidRPr="0074046B">
        <w:rPr>
          <w:rFonts w:ascii="Times New Roman" w:hAnsi="Times New Roman" w:cs="Times New Roman"/>
          <w:sz w:val="20"/>
          <w:szCs w:val="20"/>
          <w:lang w:val="en-GB"/>
        </w:rPr>
        <w:t>’s</w:t>
      </w:r>
      <w:r w:rsidRPr="0074046B">
        <w:rPr>
          <w:rFonts w:ascii="Times New Roman" w:hAnsi="Times New Roman" w:cs="Times New Roman"/>
          <w:sz w:val="20"/>
          <w:szCs w:val="20"/>
          <w:lang w:val="en-GB"/>
        </w:rPr>
        <w:t xml:space="preserve"> the agreement,</w:t>
      </w:r>
      <w:r w:rsidR="004A7F6F" w:rsidRPr="0074046B">
        <w:rPr>
          <w:rFonts w:ascii="Times New Roman" w:hAnsi="Times New Roman" w:cs="Times New Roman"/>
          <w:sz w:val="20"/>
          <w:szCs w:val="20"/>
          <w:lang w:val="en-GB"/>
        </w:rPr>
        <w:t xml:space="preserve"> PL-RS may be also included. In current RAN4 spec, the delay of PL-RS has already been considered for</w:t>
      </w:r>
      <w:r w:rsidR="00BC05EB" w:rsidRPr="0074046B">
        <w:rPr>
          <w:rFonts w:ascii="Times New Roman" w:hAnsi="Times New Roman" w:cs="Times New Roman"/>
          <w:sz w:val="20"/>
          <w:szCs w:val="20"/>
          <w:lang w:val="en-GB"/>
        </w:rPr>
        <w:t xml:space="preserve"> MAC-CE based uplink spatial info switch, then we may also consider the impact of PL-RS in UL TCI state.</w:t>
      </w:r>
    </w:p>
    <w:p w14:paraId="729B866D" w14:textId="6BACDCDF" w:rsidR="00DE7860" w:rsidRPr="0074046B" w:rsidRDefault="00B713C2" w:rsidP="00E52D89">
      <w:pPr>
        <w:pStyle w:val="NoSpacing"/>
        <w:rPr>
          <w:rFonts w:ascii="Times New Roman" w:hAnsi="Times New Roman" w:cs="Times New Roman"/>
          <w:sz w:val="20"/>
          <w:szCs w:val="20"/>
          <w:lang w:val="en-GB"/>
        </w:rPr>
      </w:pPr>
      <w:r w:rsidRPr="0074046B">
        <w:rPr>
          <w:rFonts w:ascii="Times New Roman" w:hAnsi="Times New Roman" w:cs="Times New Roman"/>
          <w:sz w:val="20"/>
          <w:szCs w:val="20"/>
          <w:lang w:val="en-GB"/>
        </w:rPr>
        <w:t xml:space="preserve">For joint TCI frame, </w:t>
      </w:r>
      <w:r w:rsidR="00C164F4" w:rsidRPr="0074046B">
        <w:rPr>
          <w:rFonts w:ascii="Times New Roman" w:hAnsi="Times New Roman" w:cs="Times New Roman"/>
          <w:sz w:val="20"/>
          <w:szCs w:val="20"/>
          <w:lang w:val="en-GB"/>
        </w:rPr>
        <w:t>a common source reference RS is used for determining both the DL QCL information and the UL TX spatial filter</w:t>
      </w:r>
      <w:r w:rsidR="00FB3862" w:rsidRPr="0074046B">
        <w:rPr>
          <w:rFonts w:ascii="Times New Roman" w:hAnsi="Times New Roman" w:cs="Times New Roman"/>
          <w:sz w:val="20"/>
          <w:szCs w:val="20"/>
          <w:lang w:val="en-GB"/>
        </w:rPr>
        <w:t>.</w:t>
      </w:r>
      <w:r w:rsidR="00DD21DA" w:rsidRPr="0074046B">
        <w:rPr>
          <w:rFonts w:ascii="Times New Roman" w:hAnsi="Times New Roman" w:cs="Times New Roman"/>
          <w:sz w:val="20"/>
          <w:szCs w:val="20"/>
          <w:lang w:val="en-GB"/>
        </w:rPr>
        <w:t xml:space="preserve"> whether the delay requirement </w:t>
      </w:r>
      <w:r w:rsidR="00C73C5C" w:rsidRPr="0074046B">
        <w:rPr>
          <w:rFonts w:ascii="Times New Roman" w:hAnsi="Times New Roman" w:cs="Times New Roman"/>
          <w:sz w:val="20"/>
          <w:szCs w:val="20"/>
          <w:lang w:val="en-GB"/>
        </w:rPr>
        <w:t>can</w:t>
      </w:r>
      <w:r w:rsidR="00DD21DA" w:rsidRPr="0074046B">
        <w:rPr>
          <w:rFonts w:ascii="Times New Roman" w:hAnsi="Times New Roman" w:cs="Times New Roman"/>
          <w:sz w:val="20"/>
          <w:szCs w:val="20"/>
          <w:lang w:val="en-GB"/>
        </w:rPr>
        <w:t xml:space="preserve"> refer to the DL/UL TCI state switch respectively or </w:t>
      </w:r>
      <w:r w:rsidR="00FB20B6" w:rsidRPr="0074046B">
        <w:rPr>
          <w:rFonts w:ascii="Times New Roman" w:hAnsi="Times New Roman" w:cs="Times New Roman"/>
          <w:sz w:val="20"/>
          <w:szCs w:val="20"/>
          <w:lang w:val="en-GB"/>
        </w:rPr>
        <w:t>a maximum delay time is used needs further study.</w:t>
      </w:r>
    </w:p>
    <w:p w14:paraId="19D33412" w14:textId="77777777" w:rsidR="00FB20B6" w:rsidRPr="0074046B" w:rsidRDefault="00FB20B6" w:rsidP="00E52D89">
      <w:pPr>
        <w:pStyle w:val="NoSpacing"/>
        <w:rPr>
          <w:rFonts w:ascii="Times New Roman" w:hAnsi="Times New Roman" w:cs="Times New Roman"/>
          <w:sz w:val="20"/>
          <w:szCs w:val="20"/>
          <w:lang w:val="en-GB"/>
        </w:rPr>
      </w:pPr>
    </w:p>
    <w:p w14:paraId="47C067CE" w14:textId="7CB4020B" w:rsidR="002F12EA" w:rsidRPr="0074046B" w:rsidRDefault="002F12EA" w:rsidP="00E52D89">
      <w:pPr>
        <w:pStyle w:val="NoSpacing"/>
        <w:rPr>
          <w:rFonts w:ascii="Times New Roman" w:hAnsi="Times New Roman" w:cs="Times New Roman"/>
          <w:b/>
          <w:bCs/>
          <w:sz w:val="20"/>
          <w:szCs w:val="20"/>
          <w:lang w:val="en-GB"/>
        </w:rPr>
      </w:pPr>
      <w:r w:rsidRPr="0074046B">
        <w:rPr>
          <w:rFonts w:ascii="Times New Roman" w:hAnsi="Times New Roman" w:cs="Times New Roman"/>
          <w:b/>
          <w:bCs/>
          <w:sz w:val="20"/>
          <w:szCs w:val="20"/>
          <w:lang w:val="en-GB"/>
        </w:rPr>
        <w:t>Proposal 1:</w:t>
      </w:r>
      <w:r w:rsidR="001E6DB1" w:rsidRPr="0074046B">
        <w:rPr>
          <w:rFonts w:ascii="Times New Roman" w:hAnsi="Times New Roman" w:cs="Times New Roman"/>
          <w:b/>
          <w:bCs/>
          <w:sz w:val="20"/>
          <w:szCs w:val="20"/>
          <w:lang w:val="en-GB"/>
        </w:rPr>
        <w:t xml:space="preserve"> </w:t>
      </w:r>
      <w:r w:rsidR="009D0C9A">
        <w:rPr>
          <w:rFonts w:ascii="Times New Roman" w:hAnsi="Times New Roman" w:cs="Times New Roman"/>
          <w:b/>
          <w:bCs/>
          <w:sz w:val="20"/>
          <w:szCs w:val="20"/>
          <w:lang w:val="en-GB"/>
        </w:rPr>
        <w:t>F</w:t>
      </w:r>
      <w:r w:rsidR="001E6DB1" w:rsidRPr="0074046B">
        <w:rPr>
          <w:rFonts w:ascii="Times New Roman" w:hAnsi="Times New Roman" w:cs="Times New Roman"/>
          <w:b/>
          <w:bCs/>
          <w:sz w:val="20"/>
          <w:szCs w:val="20"/>
          <w:lang w:val="en-GB"/>
        </w:rPr>
        <w:t xml:space="preserve">or separate TCI </w:t>
      </w:r>
      <w:r w:rsidR="0044797F" w:rsidRPr="0074046B">
        <w:rPr>
          <w:rFonts w:ascii="Times New Roman" w:hAnsi="Times New Roman" w:cs="Times New Roman"/>
          <w:b/>
          <w:bCs/>
          <w:sz w:val="20"/>
          <w:szCs w:val="20"/>
          <w:lang w:val="en-GB"/>
        </w:rPr>
        <w:t>framework</w:t>
      </w:r>
      <w:r w:rsidR="001E6DB1" w:rsidRPr="0074046B">
        <w:rPr>
          <w:rFonts w:ascii="Times New Roman" w:hAnsi="Times New Roman" w:cs="Times New Roman"/>
          <w:b/>
          <w:bCs/>
          <w:sz w:val="20"/>
          <w:szCs w:val="20"/>
          <w:lang w:val="en-GB"/>
        </w:rPr>
        <w:t>,</w:t>
      </w:r>
      <w:r w:rsidRPr="0074046B">
        <w:rPr>
          <w:rFonts w:ascii="Times New Roman" w:hAnsi="Times New Roman" w:cs="Times New Roman"/>
          <w:b/>
          <w:bCs/>
          <w:sz w:val="20"/>
          <w:szCs w:val="20"/>
          <w:lang w:val="en-GB"/>
        </w:rPr>
        <w:t xml:space="preserve"> </w:t>
      </w:r>
      <w:r w:rsidR="001E6DB1" w:rsidRPr="0074046B">
        <w:rPr>
          <w:rFonts w:ascii="Times New Roman" w:hAnsi="Times New Roman" w:cs="Times New Roman"/>
          <w:b/>
          <w:bCs/>
          <w:sz w:val="20"/>
          <w:szCs w:val="20"/>
          <w:lang w:val="en-GB"/>
        </w:rPr>
        <w:t xml:space="preserve">delay </w:t>
      </w:r>
      <w:r w:rsidR="000F2140" w:rsidRPr="0074046B">
        <w:rPr>
          <w:rFonts w:ascii="Times New Roman" w:hAnsi="Times New Roman" w:cs="Times New Roman"/>
          <w:b/>
          <w:bCs/>
          <w:sz w:val="20"/>
          <w:szCs w:val="20"/>
          <w:lang w:val="en-GB"/>
        </w:rPr>
        <w:t xml:space="preserve">requirement </w:t>
      </w:r>
      <w:r w:rsidR="00E102C7" w:rsidRPr="0074046B">
        <w:rPr>
          <w:rFonts w:ascii="Times New Roman" w:hAnsi="Times New Roman" w:cs="Times New Roman"/>
          <w:b/>
          <w:bCs/>
          <w:sz w:val="20"/>
          <w:szCs w:val="20"/>
          <w:lang w:val="en-GB"/>
        </w:rPr>
        <w:t xml:space="preserve">for </w:t>
      </w:r>
      <w:r w:rsidRPr="0074046B">
        <w:rPr>
          <w:rFonts w:ascii="Times New Roman" w:hAnsi="Times New Roman" w:cs="Times New Roman"/>
          <w:b/>
          <w:bCs/>
          <w:sz w:val="20"/>
          <w:szCs w:val="20"/>
          <w:lang w:val="en-GB"/>
        </w:rPr>
        <w:t xml:space="preserve">UL TCI </w:t>
      </w:r>
      <w:r w:rsidR="000F2140" w:rsidRPr="0074046B">
        <w:rPr>
          <w:rFonts w:ascii="Times New Roman" w:hAnsi="Times New Roman" w:cs="Times New Roman"/>
          <w:b/>
          <w:bCs/>
          <w:sz w:val="20"/>
          <w:szCs w:val="20"/>
          <w:lang w:val="en-GB"/>
        </w:rPr>
        <w:t>state switch</w:t>
      </w:r>
      <w:r w:rsidR="00E102C7" w:rsidRPr="0074046B">
        <w:rPr>
          <w:rFonts w:ascii="Times New Roman" w:hAnsi="Times New Roman" w:cs="Times New Roman"/>
          <w:b/>
          <w:bCs/>
          <w:sz w:val="20"/>
          <w:szCs w:val="20"/>
          <w:lang w:val="en-GB"/>
        </w:rPr>
        <w:t xml:space="preserve"> is needed</w:t>
      </w:r>
      <w:r w:rsidR="0044797F" w:rsidRPr="0074046B">
        <w:rPr>
          <w:rFonts w:ascii="Times New Roman" w:hAnsi="Times New Roman" w:cs="Times New Roman"/>
          <w:b/>
          <w:bCs/>
          <w:sz w:val="20"/>
          <w:szCs w:val="20"/>
          <w:lang w:val="en-GB"/>
        </w:rPr>
        <w:t xml:space="preserve"> and the impact of </w:t>
      </w:r>
      <w:r w:rsidR="0044797F" w:rsidRPr="0074046B">
        <w:rPr>
          <w:rFonts w:ascii="Times New Roman" w:hAnsi="Times New Roman" w:cs="Times New Roman"/>
          <w:b/>
          <w:bCs/>
          <w:sz w:val="20"/>
          <w:szCs w:val="20"/>
          <w:lang w:val="en-GB"/>
        </w:rPr>
        <w:lastRenderedPageBreak/>
        <w:t>PL-RS will be considered.</w:t>
      </w:r>
    </w:p>
    <w:p w14:paraId="02CFF5FE" w14:textId="661D2917" w:rsidR="0044797F" w:rsidRPr="0074046B" w:rsidRDefault="0044797F" w:rsidP="00E52D89">
      <w:pPr>
        <w:pStyle w:val="NoSpacing"/>
        <w:rPr>
          <w:rFonts w:ascii="Times New Roman" w:hAnsi="Times New Roman" w:cs="Times New Roman"/>
          <w:b/>
          <w:bCs/>
          <w:sz w:val="20"/>
          <w:szCs w:val="20"/>
          <w:lang w:val="en-GB"/>
        </w:rPr>
      </w:pPr>
      <w:r w:rsidRPr="0074046B">
        <w:rPr>
          <w:rFonts w:ascii="Times New Roman" w:hAnsi="Times New Roman" w:cs="Times New Roman"/>
          <w:b/>
          <w:bCs/>
          <w:sz w:val="20"/>
          <w:szCs w:val="20"/>
          <w:lang w:val="en-GB"/>
        </w:rPr>
        <w:t xml:space="preserve">Proposal 2: </w:t>
      </w:r>
      <w:r w:rsidR="00A50805">
        <w:rPr>
          <w:rFonts w:ascii="Times New Roman" w:hAnsi="Times New Roman" w:cs="Times New Roman"/>
          <w:b/>
          <w:bCs/>
          <w:sz w:val="20"/>
          <w:szCs w:val="20"/>
          <w:lang w:val="en-GB"/>
        </w:rPr>
        <w:t>F</w:t>
      </w:r>
      <w:r w:rsidRPr="0074046B">
        <w:rPr>
          <w:rFonts w:ascii="Times New Roman" w:hAnsi="Times New Roman" w:cs="Times New Roman"/>
          <w:b/>
          <w:bCs/>
          <w:sz w:val="20"/>
          <w:szCs w:val="20"/>
          <w:lang w:val="en-GB"/>
        </w:rPr>
        <w:t xml:space="preserve">or Joint TCI framework, delay requirement </w:t>
      </w:r>
      <w:r w:rsidR="00613152" w:rsidRPr="0074046B">
        <w:rPr>
          <w:rFonts w:ascii="Times New Roman" w:hAnsi="Times New Roman" w:cs="Times New Roman"/>
          <w:b/>
          <w:bCs/>
          <w:sz w:val="20"/>
          <w:szCs w:val="20"/>
          <w:lang w:val="en-GB"/>
        </w:rPr>
        <w:t xml:space="preserve">for </w:t>
      </w:r>
      <w:r w:rsidR="008339AD" w:rsidRPr="0074046B">
        <w:rPr>
          <w:rFonts w:ascii="Times New Roman" w:hAnsi="Times New Roman" w:cs="Times New Roman"/>
          <w:b/>
          <w:bCs/>
          <w:sz w:val="20"/>
          <w:szCs w:val="20"/>
          <w:lang w:val="en-GB"/>
        </w:rPr>
        <w:t>Joint</w:t>
      </w:r>
      <w:r w:rsidR="00287E01" w:rsidRPr="0074046B">
        <w:rPr>
          <w:rFonts w:ascii="Times New Roman" w:hAnsi="Times New Roman" w:cs="Times New Roman"/>
          <w:b/>
          <w:bCs/>
          <w:sz w:val="20"/>
          <w:szCs w:val="20"/>
          <w:lang w:val="en-GB"/>
        </w:rPr>
        <w:t xml:space="preserve"> TCI </w:t>
      </w:r>
      <w:r w:rsidR="00071219" w:rsidRPr="0074046B">
        <w:rPr>
          <w:rFonts w:ascii="Times New Roman" w:hAnsi="Times New Roman" w:cs="Times New Roman"/>
          <w:b/>
          <w:bCs/>
          <w:sz w:val="20"/>
          <w:szCs w:val="20"/>
          <w:lang w:val="en-GB"/>
        </w:rPr>
        <w:t xml:space="preserve">state </w:t>
      </w:r>
      <w:r w:rsidR="00CE41B0" w:rsidRPr="0074046B">
        <w:rPr>
          <w:rFonts w:ascii="Times New Roman" w:hAnsi="Times New Roman" w:cs="Times New Roman"/>
          <w:b/>
          <w:bCs/>
          <w:sz w:val="20"/>
          <w:szCs w:val="20"/>
          <w:lang w:val="en-GB"/>
        </w:rPr>
        <w:t xml:space="preserve">switch </w:t>
      </w:r>
      <w:r w:rsidR="00071219" w:rsidRPr="0074046B">
        <w:rPr>
          <w:rFonts w:ascii="Times New Roman" w:hAnsi="Times New Roman" w:cs="Times New Roman"/>
          <w:b/>
          <w:bCs/>
          <w:sz w:val="20"/>
          <w:szCs w:val="20"/>
          <w:lang w:val="en-GB"/>
        </w:rPr>
        <w:t xml:space="preserve">needs further discussion. </w:t>
      </w:r>
    </w:p>
    <w:p w14:paraId="0333CCE0" w14:textId="2C0F6A43" w:rsidR="003A11D3" w:rsidRPr="0009651A" w:rsidRDefault="00841BEA" w:rsidP="00841BEA">
      <w:pPr>
        <w:keepNext/>
        <w:keepLines/>
        <w:widowControl/>
        <w:pBdr>
          <w:top w:val="single" w:sz="12" w:space="3" w:color="auto"/>
        </w:pBdr>
        <w:tabs>
          <w:tab w:val="left" w:pos="6622"/>
        </w:tabs>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09651A">
        <w:rPr>
          <w:rFonts w:ascii="Times New Roman" w:eastAsia="SimSun" w:hAnsi="Times New Roman" w:cs="Times New Roman"/>
          <w:kern w:val="0"/>
          <w:sz w:val="36"/>
          <w:szCs w:val="20"/>
          <w:lang w:val="en-GB"/>
        </w:rPr>
        <w:t>3</w:t>
      </w:r>
      <w:r w:rsidR="002D6C6F" w:rsidRPr="0009651A">
        <w:rPr>
          <w:rFonts w:ascii="Times New Roman" w:eastAsia="SimSun" w:hAnsi="Times New Roman" w:cs="Times New Roman"/>
          <w:kern w:val="0"/>
          <w:sz w:val="36"/>
          <w:szCs w:val="20"/>
          <w:lang w:val="en-GB"/>
        </w:rPr>
        <w:t xml:space="preserve"> </w:t>
      </w:r>
      <w:r w:rsidR="008A5047" w:rsidRPr="0009651A">
        <w:rPr>
          <w:rFonts w:ascii="Times New Roman" w:eastAsia="SimSun" w:hAnsi="Times New Roman" w:cs="Times New Roman"/>
          <w:kern w:val="0"/>
          <w:sz w:val="36"/>
          <w:szCs w:val="20"/>
          <w:lang w:val="en-GB"/>
        </w:rPr>
        <w:t>L1/L2 centric inter-cell mobility</w:t>
      </w:r>
    </w:p>
    <w:p w14:paraId="75E6CB7B" w14:textId="0B0ECF7A" w:rsidR="003A11D3" w:rsidRPr="00EE51A7" w:rsidRDefault="003A11D3" w:rsidP="003A11D3">
      <w:pPr>
        <w:pStyle w:val="NoSpacing"/>
        <w:rPr>
          <w:rFonts w:ascii="Times New Roman" w:hAnsi="Times New Roman" w:cs="Times New Roman"/>
          <w:sz w:val="20"/>
          <w:szCs w:val="20"/>
          <w:lang w:val="en-GB"/>
        </w:rPr>
      </w:pPr>
      <w:r w:rsidRPr="00EE51A7">
        <w:rPr>
          <w:rFonts w:ascii="Times New Roman" w:hAnsi="Times New Roman" w:cs="Times New Roman"/>
          <w:sz w:val="20"/>
          <w:szCs w:val="20"/>
          <w:lang w:val="en-GB"/>
        </w:rPr>
        <w:t>In RAN #92e meeting, the WID is updated as follows:</w:t>
      </w:r>
    </w:p>
    <w:tbl>
      <w:tblPr>
        <w:tblStyle w:val="TableGrid"/>
        <w:tblW w:w="0" w:type="auto"/>
        <w:tblLook w:val="04A0" w:firstRow="1" w:lastRow="0" w:firstColumn="1" w:lastColumn="0" w:noHBand="0" w:noVBand="1"/>
      </w:tblPr>
      <w:tblGrid>
        <w:gridCol w:w="9628"/>
      </w:tblGrid>
      <w:tr w:rsidR="003A11D3" w:rsidRPr="00EE51A7" w14:paraId="245D28D8" w14:textId="77777777" w:rsidTr="003A11D3">
        <w:tc>
          <w:tcPr>
            <w:tcW w:w="9628" w:type="dxa"/>
          </w:tcPr>
          <w:p w14:paraId="24F4ACC1" w14:textId="77777777" w:rsidR="003A11D3" w:rsidRPr="00EE51A7" w:rsidRDefault="003A11D3" w:rsidP="003A11D3">
            <w:pPr>
              <w:widowControl/>
              <w:numPr>
                <w:ilvl w:val="0"/>
                <w:numId w:val="21"/>
              </w:numPr>
              <w:overflowPunct w:val="0"/>
              <w:autoSpaceDE w:val="0"/>
              <w:autoSpaceDN w:val="0"/>
              <w:adjustRightInd w:val="0"/>
              <w:snapToGrid w:val="0"/>
              <w:spacing w:after="120"/>
              <w:ind w:right="-99"/>
              <w:jc w:val="left"/>
              <w:rPr>
                <w:rFonts w:ascii="Times New Roman" w:hAnsi="Times New Roman" w:cs="Times New Roman"/>
                <w:color w:val="000000"/>
                <w:sz w:val="20"/>
                <w:szCs w:val="20"/>
                <w:lang w:eastAsia="ko-KR"/>
              </w:rPr>
            </w:pPr>
            <w:r w:rsidRPr="00EE51A7">
              <w:rPr>
                <w:rFonts w:ascii="Times New Roman" w:hAnsi="Times New Roman" w:cs="Times New Roman"/>
                <w:color w:val="000000"/>
                <w:sz w:val="20"/>
                <w:szCs w:val="20"/>
                <w:lang w:eastAsia="ko-KR"/>
              </w:rPr>
              <w:t>Extend specification support in the following areas [RAN1]</w:t>
            </w:r>
          </w:p>
          <w:p w14:paraId="59942A20" w14:textId="77777777" w:rsidR="003A11D3" w:rsidRPr="00EE51A7" w:rsidRDefault="003A11D3" w:rsidP="003A11D3">
            <w:pPr>
              <w:pStyle w:val="ListParagraph"/>
              <w:widowControl/>
              <w:numPr>
                <w:ilvl w:val="0"/>
                <w:numId w:val="22"/>
              </w:numPr>
              <w:ind w:left="720"/>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Enhancement on multi-beam operation, mainly targeting FR2 while also applicable to FR1: </w:t>
            </w:r>
          </w:p>
          <w:p w14:paraId="2420E871" w14:textId="69DD0D49" w:rsidR="003A11D3" w:rsidRPr="00EE51A7" w:rsidRDefault="003A11D3" w:rsidP="003A11D3">
            <w:pPr>
              <w:pStyle w:val="ListParagraph"/>
              <w:widowControl/>
              <w:numPr>
                <w:ilvl w:val="1"/>
                <w:numId w:val="22"/>
              </w:numPr>
              <w:ind w:left="1440"/>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Identify and specify features to facilitate more efficient (lower latency and overhead) DL/UL beam management </w:t>
            </w:r>
            <w:r w:rsidRPr="00EE51A7">
              <w:rPr>
                <w:rFonts w:ascii="Times New Roman" w:eastAsia="Times New Roman" w:hAnsi="Times New Roman" w:cs="Times New Roman"/>
                <w:sz w:val="20"/>
                <w:szCs w:val="20"/>
                <w:highlight w:val="yellow"/>
              </w:rPr>
              <w:t xml:space="preserve">for intra-cell and inter-cell scenarios </w:t>
            </w:r>
            <w:r w:rsidRPr="00EE51A7">
              <w:rPr>
                <w:rFonts w:ascii="Times New Roman" w:hAnsi="Times New Roman" w:cs="Times New Roman"/>
                <w:sz w:val="20"/>
                <w:szCs w:val="20"/>
                <w:highlight w:val="yellow"/>
              </w:rPr>
              <w:t>to support higher UE speed</w:t>
            </w:r>
            <w:r w:rsidRPr="00EE51A7">
              <w:rPr>
                <w:rFonts w:ascii="Times New Roman" w:hAnsi="Times New Roman" w:cs="Times New Roman"/>
                <w:sz w:val="20"/>
                <w:szCs w:val="20"/>
              </w:rPr>
              <w:t xml:space="preserve"> and/or a larger number of configured TCI states:</w:t>
            </w:r>
          </w:p>
          <w:p w14:paraId="1D81F039" w14:textId="77777777" w:rsidR="003A11D3" w:rsidRPr="00EE51A7" w:rsidRDefault="003A11D3" w:rsidP="003A11D3">
            <w:pPr>
              <w:pStyle w:val="ListParagraph"/>
              <w:widowControl/>
              <w:numPr>
                <w:ilvl w:val="2"/>
                <w:numId w:val="22"/>
              </w:numPr>
              <w:ind w:left="2160"/>
              <w:contextualSpacing w:val="0"/>
              <w:jc w:val="left"/>
              <w:rPr>
                <w:rFonts w:ascii="Times New Roman" w:hAnsi="Times New Roman" w:cs="Times New Roman"/>
                <w:sz w:val="20"/>
                <w:szCs w:val="20"/>
              </w:rPr>
            </w:pPr>
            <w:r w:rsidRPr="00EE51A7">
              <w:rPr>
                <w:rFonts w:ascii="Times New Roman" w:hAnsi="Times New Roman" w:cs="Times New Roman"/>
                <w:sz w:val="20"/>
                <w:szCs w:val="20"/>
              </w:rPr>
              <w:t>Common beam for data and control transmission/reception for DL and UL, especially for intra-band CA</w:t>
            </w:r>
          </w:p>
          <w:p w14:paraId="1CE984E3" w14:textId="77777777" w:rsidR="003A11D3" w:rsidRPr="00EE51A7" w:rsidRDefault="003A11D3" w:rsidP="003A11D3">
            <w:pPr>
              <w:pStyle w:val="ListParagraph"/>
              <w:widowControl/>
              <w:numPr>
                <w:ilvl w:val="2"/>
                <w:numId w:val="22"/>
              </w:numPr>
              <w:ind w:left="2160"/>
              <w:contextualSpacing w:val="0"/>
              <w:jc w:val="left"/>
              <w:rPr>
                <w:rFonts w:ascii="Times New Roman" w:hAnsi="Times New Roman" w:cs="Times New Roman"/>
                <w:sz w:val="20"/>
                <w:szCs w:val="20"/>
              </w:rPr>
            </w:pPr>
            <w:r w:rsidRPr="00EE51A7">
              <w:rPr>
                <w:rFonts w:ascii="Times New Roman" w:hAnsi="Times New Roman" w:cs="Times New Roman"/>
                <w:sz w:val="20"/>
                <w:szCs w:val="20"/>
              </w:rPr>
              <w:t>Unified TCI framework for DL and UL beam indication</w:t>
            </w:r>
          </w:p>
          <w:p w14:paraId="459BCB8F" w14:textId="77777777" w:rsidR="003A11D3" w:rsidRPr="00EE51A7" w:rsidRDefault="003A11D3" w:rsidP="003A11D3">
            <w:pPr>
              <w:pStyle w:val="ListParagraph"/>
              <w:widowControl/>
              <w:numPr>
                <w:ilvl w:val="2"/>
                <w:numId w:val="22"/>
              </w:numPr>
              <w:snapToGrid w:val="0"/>
              <w:ind w:left="2160"/>
              <w:contextualSpacing w:val="0"/>
              <w:jc w:val="left"/>
              <w:rPr>
                <w:rFonts w:ascii="Times New Roman" w:hAnsi="Times New Roman" w:cs="Times New Roman"/>
                <w:sz w:val="20"/>
                <w:szCs w:val="20"/>
              </w:rPr>
            </w:pPr>
            <w:r w:rsidRPr="00EE51A7">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04DD17A7" w14:textId="77777777" w:rsidR="003A11D3" w:rsidRPr="00EE51A7" w:rsidRDefault="003A11D3" w:rsidP="003A11D3">
            <w:pPr>
              <w:pStyle w:val="ListParagraph"/>
              <w:widowControl/>
              <w:numPr>
                <w:ilvl w:val="2"/>
                <w:numId w:val="22"/>
              </w:numPr>
              <w:snapToGrid w:val="0"/>
              <w:ind w:left="2160"/>
              <w:contextualSpacing w:val="0"/>
              <w:jc w:val="left"/>
              <w:rPr>
                <w:rFonts w:ascii="Times New Roman" w:hAnsi="Times New Roman" w:cs="Times New Roman"/>
                <w:sz w:val="20"/>
                <w:szCs w:val="20"/>
                <w:highlight w:val="yellow"/>
              </w:rPr>
            </w:pPr>
            <w:r w:rsidRPr="00EE51A7">
              <w:rPr>
                <w:rFonts w:ascii="Times New Roman" w:hAnsi="Times New Roman" w:cs="Times New Roman"/>
                <w:sz w:val="20"/>
                <w:szCs w:val="20"/>
                <w:highlight w:val="yellow"/>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30E107F5" w14:textId="77777777" w:rsidR="003A11D3" w:rsidRPr="00EE51A7" w:rsidRDefault="003A11D3" w:rsidP="003A11D3">
            <w:pPr>
              <w:widowControl/>
              <w:numPr>
                <w:ilvl w:val="3"/>
                <w:numId w:val="23"/>
              </w:numPr>
              <w:overflowPunct w:val="0"/>
              <w:autoSpaceDE w:val="0"/>
              <w:autoSpaceDN w:val="0"/>
              <w:snapToGrid w:val="0"/>
              <w:spacing w:after="160"/>
              <w:jc w:val="left"/>
              <w:rPr>
                <w:rFonts w:ascii="Times New Roman" w:hAnsi="Times New Roman" w:cs="Times New Roman"/>
                <w:sz w:val="20"/>
                <w:szCs w:val="20"/>
                <w:highlight w:val="yellow"/>
              </w:rPr>
            </w:pPr>
            <w:r w:rsidRPr="00EE51A7">
              <w:rPr>
                <w:rFonts w:ascii="Times New Roman" w:hAnsi="Times New Roman" w:cs="Times New Roman"/>
                <w:sz w:val="20"/>
                <w:szCs w:val="20"/>
                <w:highlight w:val="yellow"/>
                <w:lang w:eastAsia="en-US"/>
              </w:rPr>
              <w:t>The beam indication is based on Rel-17 unified TCI framework</w:t>
            </w:r>
          </w:p>
          <w:p w14:paraId="43FB14E0" w14:textId="77777777" w:rsidR="003A11D3" w:rsidRPr="00EE51A7" w:rsidRDefault="003A11D3" w:rsidP="003A11D3">
            <w:pPr>
              <w:widowControl/>
              <w:numPr>
                <w:ilvl w:val="3"/>
                <w:numId w:val="23"/>
              </w:numPr>
              <w:overflowPunct w:val="0"/>
              <w:autoSpaceDE w:val="0"/>
              <w:autoSpaceDN w:val="0"/>
              <w:snapToGrid w:val="0"/>
              <w:spacing w:after="160"/>
              <w:jc w:val="left"/>
              <w:rPr>
                <w:rFonts w:ascii="Times New Roman" w:hAnsi="Times New Roman" w:cs="Times New Roman"/>
                <w:sz w:val="20"/>
                <w:szCs w:val="20"/>
                <w:highlight w:val="yellow"/>
              </w:rPr>
            </w:pPr>
            <w:r w:rsidRPr="00EE51A7">
              <w:rPr>
                <w:rFonts w:ascii="Times New Roman" w:hAnsi="Times New Roman" w:cs="Times New Roman"/>
                <w:sz w:val="20"/>
                <w:szCs w:val="20"/>
                <w:highlight w:val="yellow"/>
                <w:lang w:eastAsia="en-US"/>
              </w:rPr>
              <w:t xml:space="preserve">The same beam measurement/reporting mechanism will be reused for inter-cell </w:t>
            </w:r>
            <w:proofErr w:type="spellStart"/>
            <w:r w:rsidRPr="00EE51A7">
              <w:rPr>
                <w:rFonts w:ascii="Times New Roman" w:hAnsi="Times New Roman" w:cs="Times New Roman"/>
                <w:sz w:val="20"/>
                <w:szCs w:val="20"/>
                <w:highlight w:val="yellow"/>
                <w:lang w:eastAsia="en-US"/>
              </w:rPr>
              <w:t>mTRP</w:t>
            </w:r>
            <w:proofErr w:type="spellEnd"/>
          </w:p>
          <w:p w14:paraId="125CAB2C" w14:textId="77777777" w:rsidR="003A11D3" w:rsidRPr="00EE51A7" w:rsidRDefault="003A11D3" w:rsidP="003A11D3">
            <w:pPr>
              <w:widowControl/>
              <w:numPr>
                <w:ilvl w:val="3"/>
                <w:numId w:val="23"/>
              </w:numPr>
              <w:overflowPunct w:val="0"/>
              <w:autoSpaceDE w:val="0"/>
              <w:autoSpaceDN w:val="0"/>
              <w:snapToGrid w:val="0"/>
              <w:spacing w:after="160"/>
              <w:jc w:val="left"/>
              <w:rPr>
                <w:rFonts w:ascii="Times New Roman" w:hAnsi="Times New Roman" w:cs="Times New Roman"/>
                <w:sz w:val="20"/>
                <w:szCs w:val="20"/>
                <w:highlight w:val="yellow"/>
              </w:rPr>
            </w:pPr>
            <w:r w:rsidRPr="00EE51A7">
              <w:rPr>
                <w:rFonts w:ascii="Times New Roman" w:hAnsi="Times New Roman" w:cs="Times New Roman"/>
                <w:sz w:val="20"/>
                <w:szCs w:val="20"/>
                <w:highlight w:val="yellow"/>
              </w:rPr>
              <w:t>This work shall only consider intra-DU and intra-frequency cases</w:t>
            </w:r>
          </w:p>
          <w:p w14:paraId="081F69A4" w14:textId="77777777" w:rsidR="003A11D3" w:rsidRPr="00EE51A7" w:rsidRDefault="003A11D3" w:rsidP="003A11D3">
            <w:pPr>
              <w:pStyle w:val="ListParagraph"/>
              <w:widowControl/>
              <w:numPr>
                <w:ilvl w:val="1"/>
                <w:numId w:val="22"/>
              </w:numPr>
              <w:snapToGrid w:val="0"/>
              <w:ind w:left="1440"/>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82463F6" w14:textId="77777777" w:rsidR="003A11D3" w:rsidRPr="00EE51A7" w:rsidRDefault="003A11D3" w:rsidP="003A11D3">
            <w:pPr>
              <w:pStyle w:val="ListParagraph"/>
              <w:widowControl/>
              <w:numPr>
                <w:ilvl w:val="0"/>
                <w:numId w:val="22"/>
              </w:numPr>
              <w:ind w:left="720"/>
              <w:contextualSpacing w:val="0"/>
              <w:jc w:val="left"/>
              <w:rPr>
                <w:rFonts w:ascii="Times New Roman" w:hAnsi="Times New Roman" w:cs="Times New Roman"/>
                <w:sz w:val="20"/>
                <w:szCs w:val="20"/>
              </w:rPr>
            </w:pPr>
            <w:r w:rsidRPr="00EE51A7">
              <w:rPr>
                <w:rFonts w:ascii="Times New Roman" w:hAnsi="Times New Roman" w:cs="Times New Roman"/>
                <w:sz w:val="20"/>
                <w:szCs w:val="20"/>
              </w:rPr>
              <w:t>Enhancement on the support for multi-TRP deployment, targeting both FR1 and FR2:</w:t>
            </w:r>
          </w:p>
          <w:p w14:paraId="671BB4B9" w14:textId="77777777" w:rsidR="003A11D3" w:rsidRPr="00EE51A7" w:rsidRDefault="003A11D3" w:rsidP="003A11D3">
            <w:pPr>
              <w:pStyle w:val="ListParagraph"/>
              <w:widowControl/>
              <w:numPr>
                <w:ilvl w:val="1"/>
                <w:numId w:val="22"/>
              </w:numPr>
              <w:ind w:left="1440"/>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2CF10DAD" w14:textId="77777777" w:rsidR="003A11D3" w:rsidRPr="00EE51A7" w:rsidRDefault="003A11D3" w:rsidP="003A11D3">
            <w:pPr>
              <w:pStyle w:val="ListParagraph"/>
              <w:widowControl/>
              <w:numPr>
                <w:ilvl w:val="1"/>
                <w:numId w:val="22"/>
              </w:numPr>
              <w:ind w:left="1440"/>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Identify and specify QCL/TCI-related enhancements to enable inter-cell multi-TRP operations, assuming multi-DCI based multi-PDSCH reception </w:t>
            </w:r>
            <w:r w:rsidRPr="00EE51A7">
              <w:rPr>
                <w:rFonts w:ascii="Times New Roman" w:eastAsia="Times New Roman" w:hAnsi="Times New Roman" w:cs="Times New Roman"/>
                <w:sz w:val="20"/>
                <w:szCs w:val="20"/>
                <w:highlight w:val="yellow"/>
              </w:rPr>
              <w:t>based on Rel-15/16 TCI framework</w:t>
            </w:r>
          </w:p>
          <w:p w14:paraId="36A671FA" w14:textId="77777777" w:rsidR="003A11D3" w:rsidRPr="00EE51A7" w:rsidRDefault="003A11D3" w:rsidP="003A11D3">
            <w:pPr>
              <w:pStyle w:val="ListParagraph"/>
              <w:widowControl/>
              <w:numPr>
                <w:ilvl w:val="1"/>
                <w:numId w:val="22"/>
              </w:numPr>
              <w:ind w:left="1440"/>
              <w:contextualSpacing w:val="0"/>
              <w:jc w:val="left"/>
              <w:rPr>
                <w:rFonts w:ascii="Times New Roman" w:hAnsi="Times New Roman" w:cs="Times New Roman"/>
                <w:sz w:val="20"/>
                <w:szCs w:val="20"/>
              </w:rPr>
            </w:pPr>
            <w:r w:rsidRPr="00EE51A7">
              <w:rPr>
                <w:rFonts w:ascii="Times New Roman" w:hAnsi="Times New Roman" w:cs="Times New Roman"/>
                <w:sz w:val="20"/>
                <w:szCs w:val="20"/>
              </w:rPr>
              <w:t>Evaluate and, if needed, specify beam-management-related enhancements for simultaneous multi-TRP transmission with multi-panel reception</w:t>
            </w:r>
          </w:p>
          <w:p w14:paraId="2A6F4C47" w14:textId="77777777" w:rsidR="003A11D3" w:rsidRPr="00EE51A7" w:rsidRDefault="003A11D3" w:rsidP="003A11D3">
            <w:pPr>
              <w:pStyle w:val="ListParagraph"/>
              <w:widowControl/>
              <w:numPr>
                <w:ilvl w:val="1"/>
                <w:numId w:val="22"/>
              </w:numPr>
              <w:ind w:left="1440"/>
              <w:contextualSpacing w:val="0"/>
              <w:jc w:val="left"/>
              <w:rPr>
                <w:rFonts w:ascii="Times New Roman" w:hAnsi="Times New Roman" w:cs="Times New Roman"/>
                <w:sz w:val="20"/>
                <w:szCs w:val="20"/>
              </w:rPr>
            </w:pPr>
            <w:r w:rsidRPr="00EE51A7">
              <w:rPr>
                <w:rFonts w:ascii="Times New Roman" w:hAnsi="Times New Roman" w:cs="Times New Roman"/>
                <w:sz w:val="20"/>
                <w:szCs w:val="20"/>
              </w:rPr>
              <w:t>Enhancement to support HST-SFN deployment scenario:</w:t>
            </w:r>
          </w:p>
          <w:p w14:paraId="0ACE0C13" w14:textId="77777777" w:rsidR="003A11D3" w:rsidRPr="00EE51A7" w:rsidRDefault="003A11D3" w:rsidP="003A11D3">
            <w:pPr>
              <w:pStyle w:val="ListParagraph"/>
              <w:widowControl/>
              <w:numPr>
                <w:ilvl w:val="2"/>
                <w:numId w:val="22"/>
              </w:numPr>
              <w:ind w:left="2160"/>
              <w:contextualSpacing w:val="0"/>
              <w:jc w:val="left"/>
              <w:rPr>
                <w:rFonts w:ascii="Times New Roman" w:hAnsi="Times New Roman" w:cs="Times New Roman"/>
                <w:sz w:val="20"/>
                <w:szCs w:val="20"/>
              </w:rPr>
            </w:pPr>
            <w:r w:rsidRPr="00EE51A7">
              <w:rPr>
                <w:rFonts w:ascii="Times New Roman" w:hAnsi="Times New Roman" w:cs="Times New Roman"/>
                <w:sz w:val="20"/>
                <w:szCs w:val="20"/>
              </w:rPr>
              <w:t>Identify and specify solution(s) on QCL assumption for DMRS, e.g. multiple QCL assumptions for the same DMRS port(s), targeting DL-only transmission</w:t>
            </w:r>
          </w:p>
          <w:p w14:paraId="1DB1E4EF" w14:textId="77777777" w:rsidR="003A11D3" w:rsidRPr="00EE51A7" w:rsidRDefault="003A11D3" w:rsidP="003A11D3">
            <w:pPr>
              <w:pStyle w:val="ListParagraph"/>
              <w:widowControl/>
              <w:numPr>
                <w:ilvl w:val="2"/>
                <w:numId w:val="22"/>
              </w:numPr>
              <w:ind w:left="2160"/>
              <w:contextualSpacing w:val="0"/>
              <w:jc w:val="left"/>
              <w:rPr>
                <w:rFonts w:ascii="Times New Roman" w:hAnsi="Times New Roman" w:cs="Times New Roman"/>
                <w:sz w:val="20"/>
                <w:szCs w:val="20"/>
              </w:rPr>
            </w:pPr>
            <w:r w:rsidRPr="00EE51A7">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p w14:paraId="4CA868DC" w14:textId="77777777" w:rsidR="003A11D3" w:rsidRPr="00EE51A7" w:rsidRDefault="003A11D3" w:rsidP="003A11D3">
            <w:pPr>
              <w:rPr>
                <w:rFonts w:ascii="Times New Roman" w:hAnsi="Times New Roman" w:cs="Times New Roman"/>
                <w:sz w:val="20"/>
                <w:szCs w:val="20"/>
                <w:lang w:val="en-GB"/>
              </w:rPr>
            </w:pPr>
            <w:r w:rsidRPr="00EE51A7">
              <w:rPr>
                <w:rFonts w:ascii="Times New Roman" w:hAnsi="Times New Roman" w:cs="Times New Roman"/>
                <w:sz w:val="20"/>
                <w:szCs w:val="20"/>
                <w:lang w:val="en-GB"/>
              </w:rPr>
              <w:t>…</w:t>
            </w:r>
          </w:p>
          <w:p w14:paraId="73CB9710" w14:textId="77777777" w:rsidR="003A11D3" w:rsidRPr="00EE51A7" w:rsidRDefault="003A11D3" w:rsidP="003A11D3">
            <w:pPr>
              <w:widowControl/>
              <w:numPr>
                <w:ilvl w:val="0"/>
                <w:numId w:val="21"/>
              </w:numPr>
              <w:overflowPunct w:val="0"/>
              <w:autoSpaceDE w:val="0"/>
              <w:autoSpaceDN w:val="0"/>
              <w:adjustRightInd w:val="0"/>
              <w:snapToGrid w:val="0"/>
              <w:spacing w:after="120"/>
              <w:ind w:right="-99"/>
              <w:jc w:val="left"/>
              <w:rPr>
                <w:rFonts w:ascii="Times New Roman" w:hAnsi="Times New Roman" w:cs="Times New Roman"/>
                <w:sz w:val="20"/>
                <w:szCs w:val="20"/>
                <w:lang w:eastAsia="ko-KR"/>
              </w:rPr>
            </w:pPr>
            <w:r w:rsidRPr="00EE51A7">
              <w:rPr>
                <w:rFonts w:ascii="Times New Roman" w:hAnsi="Times New Roman" w:cs="Times New Roman"/>
                <w:iCs/>
                <w:sz w:val="20"/>
                <w:szCs w:val="20"/>
                <w:lang w:eastAsia="ko-KR"/>
              </w:rPr>
              <w:t>Investigate if the requirements on link recovery procedure is suitable for FR2 serving cells</w:t>
            </w:r>
            <w:r w:rsidRPr="00EE51A7">
              <w:rPr>
                <w:rFonts w:ascii="Times New Roman" w:hAnsi="Times New Roman" w:cs="Times New Roman"/>
                <w:sz w:val="20"/>
                <w:szCs w:val="20"/>
                <w:lang w:eastAsia="ko-KR"/>
              </w:rPr>
              <w:t xml:space="preserve"> [RAN4]</w:t>
            </w:r>
          </w:p>
          <w:p w14:paraId="646F242A" w14:textId="77777777" w:rsidR="003A11D3" w:rsidRPr="00EE51A7" w:rsidRDefault="003A11D3" w:rsidP="003A11D3">
            <w:pPr>
              <w:widowControl/>
              <w:numPr>
                <w:ilvl w:val="0"/>
                <w:numId w:val="21"/>
              </w:numPr>
              <w:overflowPunct w:val="0"/>
              <w:autoSpaceDE w:val="0"/>
              <w:autoSpaceDN w:val="0"/>
              <w:adjustRightInd w:val="0"/>
              <w:snapToGrid w:val="0"/>
              <w:spacing w:after="160"/>
              <w:ind w:right="-101"/>
              <w:jc w:val="left"/>
              <w:rPr>
                <w:rFonts w:ascii="Times New Roman" w:hAnsi="Times New Roman" w:cs="Times New Roman"/>
                <w:sz w:val="20"/>
                <w:szCs w:val="20"/>
                <w:lang w:eastAsia="ko-KR"/>
              </w:rPr>
            </w:pPr>
            <w:r w:rsidRPr="00EE51A7">
              <w:rPr>
                <w:rFonts w:ascii="Times New Roman" w:hAnsi="Times New Roman" w:cs="Times New Roman"/>
                <w:sz w:val="20"/>
                <w:szCs w:val="20"/>
                <w:lang w:eastAsia="ko-KR"/>
              </w:rPr>
              <w:t>Specify higher layer support of enhancements listed above, at least including [RAN2]</w:t>
            </w:r>
          </w:p>
          <w:p w14:paraId="16CB5A11" w14:textId="77777777" w:rsidR="003A11D3" w:rsidRPr="00EE51A7" w:rsidRDefault="003A11D3" w:rsidP="003A11D3">
            <w:pPr>
              <w:widowControl/>
              <w:numPr>
                <w:ilvl w:val="1"/>
                <w:numId w:val="21"/>
              </w:numPr>
              <w:overflowPunct w:val="0"/>
              <w:autoSpaceDE w:val="0"/>
              <w:autoSpaceDN w:val="0"/>
              <w:adjustRightInd w:val="0"/>
              <w:snapToGrid w:val="0"/>
              <w:spacing w:after="120"/>
              <w:ind w:right="-101"/>
              <w:jc w:val="left"/>
              <w:rPr>
                <w:rFonts w:ascii="Times New Roman" w:hAnsi="Times New Roman" w:cs="Times New Roman"/>
                <w:sz w:val="20"/>
                <w:szCs w:val="20"/>
                <w:lang w:eastAsia="ko-KR"/>
              </w:rPr>
            </w:pPr>
            <w:r w:rsidRPr="00EE51A7">
              <w:rPr>
                <w:rFonts w:ascii="Times New Roman" w:hAnsi="Times New Roman" w:cs="Times New Roman"/>
                <w:sz w:val="20"/>
                <w:szCs w:val="20"/>
                <w:lang w:eastAsia="en-US"/>
              </w:rPr>
              <w:lastRenderedPageBreak/>
              <w:t>For inter-cell beam management:</w:t>
            </w:r>
            <w:r w:rsidRPr="00EE51A7">
              <w:rPr>
                <w:rFonts w:ascii="Times New Roman" w:hAnsi="Times New Roman" w:cs="Times New Roman"/>
                <w:sz w:val="20"/>
                <w:szCs w:val="20"/>
              </w:rPr>
              <w:t xml:space="preserve"> </w:t>
            </w:r>
            <w:r w:rsidRPr="00EE51A7">
              <w:rPr>
                <w:rFonts w:ascii="Times New Roman" w:hAnsi="Times New Roman" w:cs="Times New Roman"/>
                <w:sz w:val="20"/>
                <w:szCs w:val="20"/>
                <w:lang w:eastAsia="en-US"/>
              </w:rPr>
              <w:t>MAC (if any) and RRC enhancements (including signaling, measurement configuration and TCI state switching)</w:t>
            </w:r>
            <w:r w:rsidRPr="00EE51A7">
              <w:rPr>
                <w:rStyle w:val="apple-converted-space"/>
                <w:rFonts w:ascii="Times New Roman" w:hAnsi="Times New Roman" w:cs="Times New Roman"/>
                <w:sz w:val="20"/>
                <w:szCs w:val="20"/>
                <w:lang w:eastAsia="en-US"/>
              </w:rPr>
              <w:t> </w:t>
            </w:r>
            <w:r w:rsidRPr="00EE51A7">
              <w:rPr>
                <w:rFonts w:ascii="Times New Roman" w:hAnsi="Times New Roman" w:cs="Times New Roman"/>
                <w:sz w:val="20"/>
                <w:szCs w:val="20"/>
                <w:lang w:eastAsia="en-US"/>
              </w:rPr>
              <w:t>assuming no impact to serving cell (i.e. serving cell does not change when beam selection is done)</w:t>
            </w:r>
          </w:p>
          <w:p w14:paraId="124B0CDB" w14:textId="77777777" w:rsidR="003A11D3" w:rsidRPr="00EE51A7" w:rsidRDefault="003A11D3" w:rsidP="003A11D3">
            <w:pPr>
              <w:widowControl/>
              <w:numPr>
                <w:ilvl w:val="0"/>
                <w:numId w:val="21"/>
              </w:numPr>
              <w:overflowPunct w:val="0"/>
              <w:autoSpaceDE w:val="0"/>
              <w:autoSpaceDN w:val="0"/>
              <w:adjustRightInd w:val="0"/>
              <w:snapToGrid w:val="0"/>
              <w:spacing w:after="120"/>
              <w:ind w:right="-99"/>
              <w:jc w:val="left"/>
              <w:rPr>
                <w:rFonts w:ascii="Times New Roman" w:hAnsi="Times New Roman" w:cs="Times New Roman"/>
                <w:sz w:val="20"/>
                <w:szCs w:val="20"/>
                <w:lang w:eastAsia="ko-KR"/>
              </w:rPr>
            </w:pPr>
            <w:r w:rsidRPr="00EE51A7">
              <w:rPr>
                <w:rFonts w:ascii="Times New Roman" w:hAnsi="Times New Roman" w:cs="Times New Roman"/>
                <w:sz w:val="20"/>
                <w:szCs w:val="20"/>
                <w:lang w:eastAsia="en-US"/>
              </w:rPr>
              <w:t>Specify signaling between CU and DU to enable inter-cell beam management if any [RAN3]</w:t>
            </w:r>
          </w:p>
          <w:p w14:paraId="6438D665" w14:textId="77777777" w:rsidR="003A11D3" w:rsidRPr="00EE51A7" w:rsidRDefault="003A11D3" w:rsidP="003A11D3">
            <w:pPr>
              <w:widowControl/>
              <w:numPr>
                <w:ilvl w:val="0"/>
                <w:numId w:val="21"/>
              </w:numPr>
              <w:overflowPunct w:val="0"/>
              <w:autoSpaceDE w:val="0"/>
              <w:autoSpaceDN w:val="0"/>
              <w:adjustRightInd w:val="0"/>
              <w:snapToGrid w:val="0"/>
              <w:spacing w:after="160"/>
              <w:ind w:right="-101"/>
              <w:jc w:val="left"/>
              <w:rPr>
                <w:rFonts w:ascii="Times New Roman" w:hAnsi="Times New Roman" w:cs="Times New Roman"/>
                <w:sz w:val="20"/>
                <w:szCs w:val="20"/>
                <w:highlight w:val="yellow"/>
                <w:lang w:eastAsia="ko-KR"/>
              </w:rPr>
            </w:pPr>
            <w:r w:rsidRPr="00EE51A7">
              <w:rPr>
                <w:rFonts w:ascii="Times New Roman" w:hAnsi="Times New Roman" w:cs="Times New Roman"/>
                <w:sz w:val="20"/>
                <w:szCs w:val="20"/>
                <w:highlight w:val="yellow"/>
                <w:lang w:eastAsia="ko-KR"/>
              </w:rPr>
              <w:t xml:space="preserve">Specify </w:t>
            </w:r>
            <w:r w:rsidRPr="00EE51A7">
              <w:rPr>
                <w:rFonts w:ascii="Times New Roman" w:eastAsia="Malgun Gothic" w:hAnsi="Times New Roman" w:cs="Times New Roman"/>
                <w:sz w:val="20"/>
                <w:szCs w:val="20"/>
                <w:highlight w:val="yellow"/>
                <w:lang w:eastAsia="ko-KR"/>
              </w:rPr>
              <w:t>core</w:t>
            </w:r>
            <w:r w:rsidRPr="00EE51A7">
              <w:rPr>
                <w:rFonts w:ascii="Times New Roman" w:hAnsi="Times New Roman" w:cs="Times New Roman"/>
                <w:sz w:val="20"/>
                <w:szCs w:val="20"/>
                <w:highlight w:val="yellow"/>
                <w:lang w:eastAsia="ko-KR"/>
              </w:rPr>
              <w:t xml:space="preserve"> requirements associated with the </w:t>
            </w:r>
            <w:r w:rsidRPr="00EE51A7">
              <w:rPr>
                <w:rFonts w:ascii="Times New Roman" w:eastAsia="Malgun Gothic" w:hAnsi="Times New Roman" w:cs="Times New Roman"/>
                <w:sz w:val="20"/>
                <w:szCs w:val="20"/>
                <w:highlight w:val="yellow"/>
                <w:lang w:eastAsia="ko-KR"/>
              </w:rPr>
              <w:t xml:space="preserve">items specified by </w:t>
            </w:r>
            <w:r w:rsidRPr="00EE51A7">
              <w:rPr>
                <w:rFonts w:ascii="Times New Roman" w:hAnsi="Times New Roman" w:cs="Times New Roman"/>
                <w:sz w:val="20"/>
                <w:szCs w:val="20"/>
                <w:highlight w:val="yellow"/>
                <w:lang w:eastAsia="ko-KR"/>
              </w:rPr>
              <w:t>RAN1, at least including [RAN4]</w:t>
            </w:r>
          </w:p>
          <w:p w14:paraId="7385BA4E" w14:textId="77777777" w:rsidR="003A11D3" w:rsidRPr="00EE51A7" w:rsidRDefault="003A11D3" w:rsidP="003A11D3">
            <w:pPr>
              <w:widowControl/>
              <w:numPr>
                <w:ilvl w:val="1"/>
                <w:numId w:val="21"/>
              </w:numPr>
              <w:overflowPunct w:val="0"/>
              <w:autoSpaceDE w:val="0"/>
              <w:autoSpaceDN w:val="0"/>
              <w:adjustRightInd w:val="0"/>
              <w:snapToGrid w:val="0"/>
              <w:spacing w:after="160"/>
              <w:ind w:right="-101"/>
              <w:jc w:val="left"/>
              <w:rPr>
                <w:rFonts w:ascii="Times New Roman" w:hAnsi="Times New Roman" w:cs="Times New Roman"/>
                <w:sz w:val="20"/>
                <w:szCs w:val="20"/>
                <w:highlight w:val="yellow"/>
                <w:lang w:eastAsia="ko-KR"/>
              </w:rPr>
            </w:pPr>
            <w:r w:rsidRPr="00EE51A7">
              <w:rPr>
                <w:rFonts w:ascii="Times New Roman" w:hAnsi="Times New Roman" w:cs="Times New Roman"/>
                <w:sz w:val="20"/>
                <w:szCs w:val="20"/>
                <w:highlight w:val="yellow"/>
                <w:lang w:eastAsia="en-US"/>
              </w:rPr>
              <w:t>UE requirements for inter-cell beam management</w:t>
            </w:r>
          </w:p>
          <w:p w14:paraId="20096B11" w14:textId="77777777" w:rsidR="003A11D3" w:rsidRPr="00EE51A7" w:rsidRDefault="003A11D3" w:rsidP="003A11D3">
            <w:pPr>
              <w:pStyle w:val="NoSpacing"/>
              <w:rPr>
                <w:rFonts w:ascii="Times New Roman" w:hAnsi="Times New Roman" w:cs="Times New Roman"/>
                <w:sz w:val="20"/>
                <w:szCs w:val="20"/>
              </w:rPr>
            </w:pPr>
          </w:p>
        </w:tc>
      </w:tr>
    </w:tbl>
    <w:p w14:paraId="200E88FD" w14:textId="77777777" w:rsidR="003A11D3" w:rsidRPr="00EE51A7" w:rsidRDefault="003A11D3" w:rsidP="003A11D3">
      <w:pPr>
        <w:pStyle w:val="NoSpacing"/>
        <w:rPr>
          <w:rFonts w:ascii="Times New Roman" w:hAnsi="Times New Roman" w:cs="Times New Roman"/>
          <w:sz w:val="20"/>
          <w:szCs w:val="20"/>
          <w:lang w:val="en-GB"/>
        </w:rPr>
      </w:pPr>
    </w:p>
    <w:p w14:paraId="27050B3D" w14:textId="77777777" w:rsidR="005F20C3" w:rsidRPr="00EE51A7" w:rsidRDefault="000B3376" w:rsidP="003A11D3">
      <w:pPr>
        <w:pStyle w:val="NoSpacing"/>
        <w:rPr>
          <w:rFonts w:ascii="Times New Roman" w:hAnsi="Times New Roman" w:cs="Times New Roman"/>
          <w:sz w:val="20"/>
          <w:szCs w:val="20"/>
          <w:lang w:val="en-GB"/>
        </w:rPr>
      </w:pPr>
      <w:r w:rsidRPr="00EE51A7">
        <w:rPr>
          <w:rFonts w:ascii="Times New Roman" w:hAnsi="Times New Roman" w:cs="Times New Roman"/>
          <w:sz w:val="20"/>
          <w:szCs w:val="20"/>
          <w:lang w:val="en-GB"/>
        </w:rPr>
        <w:t xml:space="preserve">Most changes are related to inter-cell beam management. </w:t>
      </w:r>
      <w:r w:rsidR="003A11D3" w:rsidRPr="00EE51A7">
        <w:rPr>
          <w:rFonts w:ascii="Times New Roman" w:hAnsi="Times New Roman" w:cs="Times New Roman"/>
          <w:sz w:val="20"/>
          <w:szCs w:val="20"/>
          <w:lang w:val="en-GB"/>
        </w:rPr>
        <w:t>It clarified that</w:t>
      </w:r>
      <w:r w:rsidR="005F20C3" w:rsidRPr="00EE51A7">
        <w:rPr>
          <w:rFonts w:ascii="Times New Roman" w:hAnsi="Times New Roman" w:cs="Times New Roman"/>
          <w:sz w:val="20"/>
          <w:szCs w:val="20"/>
          <w:lang w:val="en-GB"/>
        </w:rPr>
        <w:t>:</w:t>
      </w:r>
    </w:p>
    <w:p w14:paraId="01D178A8" w14:textId="2A744EAB" w:rsidR="003A11D3" w:rsidRPr="00EE51A7" w:rsidRDefault="00A50805" w:rsidP="005F20C3">
      <w:pPr>
        <w:pStyle w:val="NoSpacing"/>
        <w:numPr>
          <w:ilvl w:val="3"/>
          <w:numId w:val="22"/>
        </w:numPr>
        <w:rPr>
          <w:rFonts w:ascii="Times New Roman" w:hAnsi="Times New Roman" w:cs="Times New Roman"/>
          <w:sz w:val="20"/>
          <w:szCs w:val="20"/>
          <w:lang w:val="en-GB"/>
        </w:rPr>
      </w:pPr>
      <w:r>
        <w:rPr>
          <w:rFonts w:ascii="Times New Roman" w:hAnsi="Times New Roman" w:cs="Times New Roman"/>
          <w:sz w:val="20"/>
          <w:szCs w:val="20"/>
          <w:lang w:val="en-GB"/>
        </w:rPr>
        <w:t>F</w:t>
      </w:r>
      <w:r w:rsidR="003A11D3" w:rsidRPr="00EE51A7">
        <w:rPr>
          <w:rFonts w:ascii="Times New Roman" w:hAnsi="Times New Roman" w:cs="Times New Roman"/>
          <w:sz w:val="20"/>
          <w:szCs w:val="20"/>
          <w:lang w:val="en-GB"/>
        </w:rPr>
        <w:t>or L1/L2 centric mobility,</w:t>
      </w:r>
      <w:r w:rsidR="00BF4444" w:rsidRPr="00EE51A7">
        <w:rPr>
          <w:rFonts w:ascii="Times New Roman" w:hAnsi="Times New Roman" w:cs="Times New Roman"/>
          <w:sz w:val="20"/>
          <w:szCs w:val="20"/>
          <w:lang w:val="en-GB"/>
        </w:rPr>
        <w:t xml:space="preserve"> serving cell does not change when beam selection is done</w:t>
      </w:r>
      <w:r w:rsidR="000B3376" w:rsidRPr="00EE51A7">
        <w:rPr>
          <w:rFonts w:ascii="Times New Roman" w:hAnsi="Times New Roman" w:cs="Times New Roman"/>
          <w:sz w:val="20"/>
          <w:szCs w:val="20"/>
          <w:lang w:val="en-GB"/>
        </w:rPr>
        <w:t>.</w:t>
      </w:r>
    </w:p>
    <w:p w14:paraId="430D70E5" w14:textId="4AFAC219" w:rsidR="005F20C3" w:rsidRPr="00EE51A7" w:rsidRDefault="005F20C3" w:rsidP="005F20C3">
      <w:pPr>
        <w:pStyle w:val="NoSpacing"/>
        <w:numPr>
          <w:ilvl w:val="3"/>
          <w:numId w:val="22"/>
        </w:numPr>
        <w:rPr>
          <w:rFonts w:ascii="Times New Roman" w:hAnsi="Times New Roman" w:cs="Times New Roman"/>
          <w:sz w:val="20"/>
          <w:szCs w:val="20"/>
          <w:lang w:val="en-GB"/>
        </w:rPr>
      </w:pPr>
      <w:r w:rsidRPr="00EE51A7">
        <w:rPr>
          <w:rFonts w:ascii="Times New Roman" w:hAnsi="Times New Roman" w:cs="Times New Roman"/>
          <w:sz w:val="20"/>
          <w:szCs w:val="20"/>
        </w:rPr>
        <w:t>For inter-cell beam management, a UE can transmit to or receive from only a single cell</w:t>
      </w:r>
      <w:r w:rsidR="00A50805">
        <w:rPr>
          <w:rFonts w:ascii="Times New Roman" w:hAnsi="Times New Roman" w:cs="Times New Roman"/>
          <w:sz w:val="20"/>
          <w:szCs w:val="20"/>
        </w:rPr>
        <w:t>.</w:t>
      </w:r>
    </w:p>
    <w:p w14:paraId="589A9A59" w14:textId="25F1ED40" w:rsidR="005F20C3" w:rsidRPr="00EE51A7" w:rsidRDefault="00A50805" w:rsidP="005F20C3">
      <w:pPr>
        <w:pStyle w:val="NoSpacing"/>
        <w:numPr>
          <w:ilvl w:val="3"/>
          <w:numId w:val="22"/>
        </w:numPr>
        <w:rPr>
          <w:rFonts w:ascii="Times New Roman" w:hAnsi="Times New Roman" w:cs="Times New Roman"/>
          <w:sz w:val="20"/>
          <w:szCs w:val="20"/>
          <w:lang w:val="en-GB"/>
        </w:rPr>
      </w:pPr>
      <w:r>
        <w:rPr>
          <w:rFonts w:ascii="Times New Roman" w:hAnsi="Times New Roman" w:cs="Times New Roman"/>
          <w:sz w:val="20"/>
          <w:szCs w:val="20"/>
        </w:rPr>
        <w:t>O</w:t>
      </w:r>
      <w:r w:rsidR="005F20C3" w:rsidRPr="00EE51A7">
        <w:rPr>
          <w:rFonts w:ascii="Times New Roman" w:hAnsi="Times New Roman" w:cs="Times New Roman"/>
          <w:sz w:val="20"/>
          <w:szCs w:val="20"/>
        </w:rPr>
        <w:t>nly consider intra-DU and intra-frequency cases</w:t>
      </w:r>
      <w:r w:rsidR="005F5110" w:rsidRPr="00EE51A7">
        <w:rPr>
          <w:rFonts w:ascii="Times New Roman" w:hAnsi="Times New Roman" w:cs="Times New Roman"/>
          <w:sz w:val="20"/>
          <w:szCs w:val="20"/>
        </w:rPr>
        <w:t>.</w:t>
      </w:r>
    </w:p>
    <w:p w14:paraId="141025B5" w14:textId="2459125E" w:rsidR="005F5110" w:rsidRPr="00EE51A7" w:rsidRDefault="005F5110" w:rsidP="005F20C3">
      <w:pPr>
        <w:pStyle w:val="NoSpacing"/>
        <w:numPr>
          <w:ilvl w:val="3"/>
          <w:numId w:val="22"/>
        </w:numPr>
        <w:rPr>
          <w:rFonts w:ascii="Times New Roman" w:hAnsi="Times New Roman" w:cs="Times New Roman"/>
          <w:sz w:val="20"/>
          <w:szCs w:val="20"/>
          <w:lang w:val="en-GB"/>
        </w:rPr>
      </w:pPr>
      <w:r w:rsidRPr="00EE51A7">
        <w:rPr>
          <w:rFonts w:ascii="Times New Roman" w:hAnsi="Times New Roman" w:cs="Times New Roman"/>
          <w:sz w:val="20"/>
          <w:szCs w:val="20"/>
        </w:rPr>
        <w:t>UE requirement for inter-cell beam management will be specified</w:t>
      </w:r>
    </w:p>
    <w:p w14:paraId="06D2AACA" w14:textId="4387B785" w:rsidR="005725CF" w:rsidRPr="00EE51A7" w:rsidRDefault="00005168" w:rsidP="00785DDA">
      <w:pPr>
        <w:pStyle w:val="NoSpacing"/>
        <w:rPr>
          <w:rFonts w:ascii="Times New Roman" w:hAnsi="Times New Roman" w:cs="Times New Roman"/>
          <w:sz w:val="20"/>
          <w:szCs w:val="20"/>
          <w:lang w:val="en-GB"/>
        </w:rPr>
      </w:pPr>
      <w:r w:rsidRPr="00EE51A7">
        <w:rPr>
          <w:rFonts w:ascii="Times New Roman" w:hAnsi="Times New Roman" w:cs="Times New Roman"/>
          <w:sz w:val="20"/>
          <w:szCs w:val="20"/>
          <w:lang w:val="en-GB"/>
        </w:rPr>
        <w:t>When we discuss the inter-cell beam management, we can take these conditions into account.</w:t>
      </w:r>
      <w:r w:rsidR="005F5110" w:rsidRPr="00EE51A7">
        <w:rPr>
          <w:rFonts w:ascii="Times New Roman" w:hAnsi="Times New Roman" w:cs="Times New Roman"/>
          <w:sz w:val="20"/>
          <w:szCs w:val="20"/>
          <w:lang w:val="en-GB"/>
        </w:rPr>
        <w:t xml:space="preserve"> </w:t>
      </w:r>
    </w:p>
    <w:p w14:paraId="6541D810" w14:textId="77777777" w:rsidR="005F5110" w:rsidRPr="00EE51A7" w:rsidRDefault="005F5110" w:rsidP="00785DDA">
      <w:pPr>
        <w:pStyle w:val="NoSpacing"/>
        <w:rPr>
          <w:rFonts w:ascii="Times New Roman" w:hAnsi="Times New Roman" w:cs="Times New Roman"/>
          <w:sz w:val="20"/>
          <w:szCs w:val="20"/>
          <w:lang w:val="en-GB"/>
        </w:rPr>
      </w:pPr>
    </w:p>
    <w:p w14:paraId="43C283DE" w14:textId="00486D46" w:rsidR="00A02B8B" w:rsidRPr="00EE51A7" w:rsidRDefault="00A02B8B" w:rsidP="00785DDA">
      <w:pPr>
        <w:pStyle w:val="NoSpacing"/>
        <w:rPr>
          <w:rFonts w:ascii="Times New Roman" w:hAnsi="Times New Roman" w:cs="Times New Roman"/>
          <w:b/>
          <w:bCs/>
          <w:sz w:val="20"/>
          <w:szCs w:val="20"/>
        </w:rPr>
      </w:pPr>
      <w:r w:rsidRPr="00EE51A7">
        <w:rPr>
          <w:rFonts w:ascii="Times New Roman" w:hAnsi="Times New Roman" w:cs="Times New Roman"/>
          <w:b/>
          <w:bCs/>
          <w:sz w:val="20"/>
          <w:szCs w:val="20"/>
        </w:rPr>
        <w:t xml:space="preserve">Observation </w:t>
      </w:r>
      <w:r w:rsidR="00010A9B">
        <w:rPr>
          <w:rFonts w:ascii="Times New Roman" w:hAnsi="Times New Roman" w:cs="Times New Roman"/>
          <w:b/>
          <w:bCs/>
          <w:sz w:val="20"/>
          <w:szCs w:val="20"/>
        </w:rPr>
        <w:t>3</w:t>
      </w:r>
      <w:r w:rsidRPr="00EE51A7">
        <w:rPr>
          <w:rFonts w:ascii="Times New Roman" w:hAnsi="Times New Roman" w:cs="Times New Roman"/>
          <w:b/>
          <w:bCs/>
          <w:sz w:val="20"/>
          <w:szCs w:val="20"/>
        </w:rPr>
        <w:t xml:space="preserve">: </w:t>
      </w:r>
      <w:r w:rsidR="00A50805">
        <w:rPr>
          <w:rFonts w:ascii="Times New Roman" w:hAnsi="Times New Roman" w:cs="Times New Roman"/>
          <w:b/>
          <w:bCs/>
          <w:sz w:val="20"/>
          <w:szCs w:val="20"/>
        </w:rPr>
        <w:t>F</w:t>
      </w:r>
      <w:r w:rsidR="00F56D01" w:rsidRPr="00EE51A7">
        <w:rPr>
          <w:rFonts w:ascii="Times New Roman" w:hAnsi="Times New Roman" w:cs="Times New Roman"/>
          <w:b/>
          <w:bCs/>
          <w:sz w:val="20"/>
          <w:szCs w:val="20"/>
        </w:rPr>
        <w:t xml:space="preserve">or L1/L2 centric mobility, </w:t>
      </w:r>
      <w:r w:rsidRPr="00EE51A7">
        <w:rPr>
          <w:rFonts w:ascii="Times New Roman" w:hAnsi="Times New Roman" w:cs="Times New Roman"/>
          <w:b/>
          <w:bCs/>
          <w:sz w:val="20"/>
          <w:szCs w:val="20"/>
        </w:rPr>
        <w:t xml:space="preserve">serving cell will </w:t>
      </w:r>
      <w:r w:rsidR="009E6B78">
        <w:rPr>
          <w:rFonts w:ascii="Times New Roman" w:hAnsi="Times New Roman" w:cs="Times New Roman"/>
          <w:b/>
          <w:bCs/>
          <w:sz w:val="20"/>
          <w:szCs w:val="20"/>
        </w:rPr>
        <w:t xml:space="preserve">not </w:t>
      </w:r>
      <w:r w:rsidRPr="00EE51A7">
        <w:rPr>
          <w:rFonts w:ascii="Times New Roman" w:hAnsi="Times New Roman" w:cs="Times New Roman"/>
          <w:b/>
          <w:bCs/>
          <w:sz w:val="20"/>
          <w:szCs w:val="20"/>
        </w:rPr>
        <w:t>change</w:t>
      </w:r>
      <w:r w:rsidR="00F56D01" w:rsidRPr="00EE51A7">
        <w:rPr>
          <w:rFonts w:ascii="Times New Roman" w:hAnsi="Times New Roman" w:cs="Times New Roman"/>
          <w:b/>
          <w:bCs/>
          <w:sz w:val="20"/>
          <w:szCs w:val="20"/>
        </w:rPr>
        <w:t xml:space="preserve"> when beam selection is done.</w:t>
      </w:r>
    </w:p>
    <w:p w14:paraId="12B744C7" w14:textId="57A0EF48" w:rsidR="005725CF" w:rsidRPr="00EE51A7" w:rsidRDefault="00F56D01" w:rsidP="00785DDA">
      <w:pPr>
        <w:pStyle w:val="NoSpacing"/>
        <w:rPr>
          <w:rFonts w:ascii="Times New Roman" w:hAnsi="Times New Roman" w:cs="Times New Roman"/>
          <w:b/>
          <w:bCs/>
          <w:sz w:val="20"/>
          <w:szCs w:val="20"/>
        </w:rPr>
      </w:pPr>
      <w:r w:rsidRPr="00EE51A7">
        <w:rPr>
          <w:rFonts w:ascii="Times New Roman" w:hAnsi="Times New Roman" w:cs="Times New Roman"/>
          <w:b/>
          <w:bCs/>
          <w:sz w:val="20"/>
          <w:szCs w:val="20"/>
        </w:rPr>
        <w:t xml:space="preserve">Observation </w:t>
      </w:r>
      <w:r w:rsidR="00010A9B">
        <w:rPr>
          <w:rFonts w:ascii="Times New Roman" w:hAnsi="Times New Roman" w:cs="Times New Roman"/>
          <w:b/>
          <w:bCs/>
          <w:sz w:val="20"/>
          <w:szCs w:val="20"/>
        </w:rPr>
        <w:t>4</w:t>
      </w:r>
      <w:r w:rsidR="005725CF" w:rsidRPr="00EE51A7">
        <w:rPr>
          <w:rFonts w:ascii="Times New Roman" w:hAnsi="Times New Roman" w:cs="Times New Roman"/>
          <w:b/>
          <w:bCs/>
          <w:sz w:val="20"/>
          <w:szCs w:val="20"/>
        </w:rPr>
        <w:t xml:space="preserve">. </w:t>
      </w:r>
      <w:r w:rsidR="00497606" w:rsidRPr="00EE51A7">
        <w:rPr>
          <w:rFonts w:ascii="Times New Roman" w:hAnsi="Times New Roman" w:cs="Times New Roman"/>
          <w:b/>
          <w:bCs/>
          <w:sz w:val="20"/>
          <w:szCs w:val="20"/>
        </w:rPr>
        <w:t xml:space="preserve">For inter-cell beam management, UE will not </w:t>
      </w:r>
      <w:r w:rsidR="00DD2593">
        <w:rPr>
          <w:rFonts w:ascii="Times New Roman" w:hAnsi="Times New Roman" w:cs="Times New Roman"/>
          <w:b/>
          <w:bCs/>
          <w:sz w:val="20"/>
          <w:szCs w:val="20"/>
        </w:rPr>
        <w:t>measure</w:t>
      </w:r>
      <w:r w:rsidR="00497606" w:rsidRPr="00EE51A7">
        <w:rPr>
          <w:rFonts w:ascii="Times New Roman" w:hAnsi="Times New Roman" w:cs="Times New Roman"/>
          <w:b/>
          <w:bCs/>
          <w:sz w:val="20"/>
          <w:szCs w:val="20"/>
        </w:rPr>
        <w:t xml:space="preserve"> multiple </w:t>
      </w:r>
      <w:r w:rsidR="00357AFA" w:rsidRPr="00EE51A7">
        <w:rPr>
          <w:rFonts w:ascii="Times New Roman" w:hAnsi="Times New Roman" w:cs="Times New Roman"/>
          <w:b/>
          <w:bCs/>
          <w:sz w:val="20"/>
          <w:szCs w:val="20"/>
        </w:rPr>
        <w:t>L1-RSRP</w:t>
      </w:r>
      <w:r w:rsidR="00B6037F">
        <w:rPr>
          <w:rFonts w:ascii="Times New Roman" w:hAnsi="Times New Roman" w:cs="Times New Roman"/>
          <w:b/>
          <w:bCs/>
          <w:sz w:val="20"/>
          <w:szCs w:val="20"/>
        </w:rPr>
        <w:t>s</w:t>
      </w:r>
      <w:r w:rsidR="00357AFA" w:rsidRPr="00EE51A7">
        <w:rPr>
          <w:rFonts w:ascii="Times New Roman" w:hAnsi="Times New Roman" w:cs="Times New Roman"/>
          <w:b/>
          <w:bCs/>
          <w:sz w:val="20"/>
          <w:szCs w:val="20"/>
        </w:rPr>
        <w:t xml:space="preserve"> simultaneously.</w:t>
      </w:r>
    </w:p>
    <w:p w14:paraId="51224F65" w14:textId="5A30CD02" w:rsidR="00357AFA" w:rsidRPr="00EE51A7" w:rsidRDefault="00F56D01" w:rsidP="00785DDA">
      <w:pPr>
        <w:pStyle w:val="NoSpacing"/>
        <w:rPr>
          <w:rFonts w:ascii="Times New Roman" w:hAnsi="Times New Roman" w:cs="Times New Roman"/>
          <w:b/>
          <w:bCs/>
          <w:sz w:val="20"/>
          <w:szCs w:val="20"/>
        </w:rPr>
      </w:pPr>
      <w:r w:rsidRPr="00EE51A7">
        <w:rPr>
          <w:rFonts w:ascii="Times New Roman" w:hAnsi="Times New Roman" w:cs="Times New Roman"/>
          <w:b/>
          <w:bCs/>
          <w:sz w:val="20"/>
          <w:szCs w:val="20"/>
        </w:rPr>
        <w:t xml:space="preserve">Observation </w:t>
      </w:r>
      <w:r w:rsidR="00010A9B">
        <w:rPr>
          <w:rFonts w:ascii="Times New Roman" w:hAnsi="Times New Roman" w:cs="Times New Roman"/>
          <w:b/>
          <w:bCs/>
          <w:sz w:val="20"/>
          <w:szCs w:val="20"/>
        </w:rPr>
        <w:t>5</w:t>
      </w:r>
      <w:r w:rsidR="00357AFA" w:rsidRPr="00EE51A7">
        <w:rPr>
          <w:rFonts w:ascii="Times New Roman" w:hAnsi="Times New Roman" w:cs="Times New Roman"/>
          <w:b/>
          <w:bCs/>
          <w:sz w:val="20"/>
          <w:szCs w:val="20"/>
        </w:rPr>
        <w:t>.</w:t>
      </w:r>
      <w:r w:rsidR="0087205F" w:rsidRPr="00EE51A7">
        <w:rPr>
          <w:rFonts w:ascii="Times New Roman" w:hAnsi="Times New Roman" w:cs="Times New Roman"/>
          <w:b/>
          <w:bCs/>
          <w:sz w:val="20"/>
          <w:szCs w:val="20"/>
        </w:rPr>
        <w:t xml:space="preserve"> </w:t>
      </w:r>
      <w:r w:rsidRPr="00EE51A7">
        <w:rPr>
          <w:rFonts w:ascii="Times New Roman" w:hAnsi="Times New Roman" w:cs="Times New Roman"/>
          <w:b/>
          <w:bCs/>
          <w:sz w:val="20"/>
          <w:szCs w:val="20"/>
        </w:rPr>
        <w:t>For inter-cell management, o</w:t>
      </w:r>
      <w:r w:rsidR="0087205F" w:rsidRPr="00EE51A7">
        <w:rPr>
          <w:rFonts w:ascii="Times New Roman" w:hAnsi="Times New Roman" w:cs="Times New Roman"/>
          <w:b/>
          <w:bCs/>
          <w:sz w:val="20"/>
          <w:szCs w:val="20"/>
        </w:rPr>
        <w:t xml:space="preserve">nly need to define </w:t>
      </w:r>
      <w:r w:rsidR="008D55F5" w:rsidRPr="00EE51A7">
        <w:rPr>
          <w:rFonts w:ascii="Times New Roman" w:hAnsi="Times New Roman" w:cs="Times New Roman"/>
          <w:b/>
          <w:bCs/>
          <w:sz w:val="20"/>
          <w:szCs w:val="20"/>
        </w:rPr>
        <w:t xml:space="preserve">intra-frequency related requirement. </w:t>
      </w:r>
    </w:p>
    <w:p w14:paraId="4A45D180" w14:textId="2F4557AF" w:rsidR="00400D19" w:rsidRPr="00EE51A7" w:rsidRDefault="00400D19" w:rsidP="00785DDA">
      <w:pPr>
        <w:pStyle w:val="NoSpacing"/>
        <w:rPr>
          <w:rFonts w:ascii="Times New Roman" w:hAnsi="Times New Roman" w:cs="Times New Roman"/>
          <w:b/>
          <w:bCs/>
          <w:sz w:val="20"/>
          <w:szCs w:val="20"/>
        </w:rPr>
      </w:pPr>
      <w:r w:rsidRPr="00EE51A7">
        <w:rPr>
          <w:rFonts w:ascii="Times New Roman" w:hAnsi="Times New Roman" w:cs="Times New Roman"/>
          <w:b/>
          <w:bCs/>
          <w:sz w:val="20"/>
          <w:szCs w:val="20"/>
        </w:rPr>
        <w:t xml:space="preserve">Proposal </w:t>
      </w:r>
      <w:r w:rsidR="00010A9B">
        <w:rPr>
          <w:rFonts w:ascii="Times New Roman" w:hAnsi="Times New Roman" w:cs="Times New Roman"/>
          <w:b/>
          <w:bCs/>
          <w:sz w:val="20"/>
          <w:szCs w:val="20"/>
        </w:rPr>
        <w:t>3</w:t>
      </w:r>
      <w:r w:rsidRPr="00EE51A7">
        <w:rPr>
          <w:rFonts w:ascii="Times New Roman" w:hAnsi="Times New Roman" w:cs="Times New Roman"/>
          <w:b/>
          <w:bCs/>
          <w:sz w:val="20"/>
          <w:szCs w:val="20"/>
        </w:rPr>
        <w:t xml:space="preserve">: </w:t>
      </w:r>
      <w:r w:rsidR="00470EEC" w:rsidRPr="00EE51A7">
        <w:rPr>
          <w:rFonts w:ascii="Times New Roman" w:hAnsi="Times New Roman" w:cs="Times New Roman"/>
          <w:b/>
          <w:bCs/>
          <w:sz w:val="20"/>
          <w:szCs w:val="20"/>
        </w:rPr>
        <w:t>R</w:t>
      </w:r>
      <w:r w:rsidR="00A56B19" w:rsidRPr="00EE51A7">
        <w:rPr>
          <w:rFonts w:ascii="Times New Roman" w:hAnsi="Times New Roman" w:cs="Times New Roman"/>
          <w:b/>
          <w:bCs/>
          <w:sz w:val="20"/>
          <w:szCs w:val="20"/>
        </w:rPr>
        <w:t>equirements for inter-cell beam management is needed to be defined in RRM</w:t>
      </w:r>
      <w:r w:rsidR="00497606" w:rsidRPr="00EE51A7">
        <w:rPr>
          <w:rFonts w:ascii="Times New Roman" w:hAnsi="Times New Roman" w:cs="Times New Roman"/>
          <w:b/>
          <w:bCs/>
          <w:sz w:val="20"/>
          <w:szCs w:val="20"/>
        </w:rPr>
        <w:t xml:space="preserve"> part.</w:t>
      </w:r>
    </w:p>
    <w:p w14:paraId="21FFF753" w14:textId="59155E2E" w:rsidR="00B6037F" w:rsidRDefault="00497606" w:rsidP="00785DDA">
      <w:pPr>
        <w:pStyle w:val="NoSpacing"/>
        <w:rPr>
          <w:rFonts w:ascii="Times New Roman" w:hAnsi="Times New Roman" w:cs="Times New Roman"/>
          <w:b/>
          <w:bCs/>
          <w:sz w:val="20"/>
          <w:szCs w:val="20"/>
        </w:rPr>
      </w:pPr>
      <w:r w:rsidRPr="00EE51A7">
        <w:rPr>
          <w:rFonts w:ascii="Times New Roman" w:hAnsi="Times New Roman" w:cs="Times New Roman"/>
          <w:b/>
          <w:bCs/>
          <w:sz w:val="20"/>
          <w:szCs w:val="20"/>
        </w:rPr>
        <w:t xml:space="preserve">Proposal </w:t>
      </w:r>
      <w:r w:rsidR="00010A9B">
        <w:rPr>
          <w:rFonts w:ascii="Times New Roman" w:hAnsi="Times New Roman" w:cs="Times New Roman"/>
          <w:b/>
          <w:bCs/>
          <w:sz w:val="20"/>
          <w:szCs w:val="20"/>
        </w:rPr>
        <w:t>4</w:t>
      </w:r>
      <w:r w:rsidRPr="00EE51A7">
        <w:rPr>
          <w:rFonts w:ascii="Times New Roman" w:hAnsi="Times New Roman" w:cs="Times New Roman"/>
          <w:b/>
          <w:bCs/>
          <w:sz w:val="20"/>
          <w:szCs w:val="20"/>
        </w:rPr>
        <w:t xml:space="preserve">: </w:t>
      </w:r>
      <w:r w:rsidR="006B31AE" w:rsidRPr="00EE51A7">
        <w:rPr>
          <w:rFonts w:ascii="Times New Roman" w:hAnsi="Times New Roman" w:cs="Times New Roman"/>
          <w:b/>
          <w:bCs/>
          <w:sz w:val="20"/>
          <w:szCs w:val="20"/>
        </w:rPr>
        <w:t xml:space="preserve">For inter-cell beam management, </w:t>
      </w:r>
      <w:r w:rsidR="00D94212">
        <w:rPr>
          <w:rFonts w:ascii="Times New Roman" w:hAnsi="Times New Roman" w:cs="Times New Roman"/>
          <w:b/>
          <w:bCs/>
          <w:sz w:val="20"/>
          <w:szCs w:val="20"/>
        </w:rPr>
        <w:t xml:space="preserve">requirement will be </w:t>
      </w:r>
      <w:r w:rsidR="00743AAC">
        <w:rPr>
          <w:rFonts w:ascii="Times New Roman" w:hAnsi="Times New Roman" w:cs="Times New Roman"/>
          <w:b/>
          <w:bCs/>
          <w:sz w:val="20"/>
          <w:szCs w:val="20"/>
        </w:rPr>
        <w:t xml:space="preserve">defined if </w:t>
      </w:r>
      <w:r w:rsidR="006B31AE" w:rsidRPr="00EE51A7">
        <w:rPr>
          <w:rFonts w:ascii="Times New Roman" w:hAnsi="Times New Roman" w:cs="Times New Roman"/>
          <w:b/>
          <w:bCs/>
          <w:sz w:val="20"/>
          <w:szCs w:val="20"/>
        </w:rPr>
        <w:t xml:space="preserve">UE </w:t>
      </w:r>
      <w:r w:rsidR="00743AAC">
        <w:rPr>
          <w:rFonts w:ascii="Times New Roman" w:hAnsi="Times New Roman" w:cs="Times New Roman"/>
          <w:b/>
          <w:bCs/>
          <w:sz w:val="20"/>
          <w:szCs w:val="20"/>
        </w:rPr>
        <w:t xml:space="preserve">only </w:t>
      </w:r>
      <w:r w:rsidR="00B6037F">
        <w:rPr>
          <w:rFonts w:ascii="Times New Roman" w:hAnsi="Times New Roman" w:cs="Times New Roman"/>
          <w:b/>
          <w:bCs/>
          <w:sz w:val="20"/>
          <w:szCs w:val="20"/>
        </w:rPr>
        <w:t>measure</w:t>
      </w:r>
      <w:r w:rsidR="00743AAC">
        <w:rPr>
          <w:rFonts w:ascii="Times New Roman" w:hAnsi="Times New Roman" w:cs="Times New Roman"/>
          <w:b/>
          <w:bCs/>
          <w:sz w:val="20"/>
          <w:szCs w:val="20"/>
        </w:rPr>
        <w:t xml:space="preserve"> one L1-RSRP</w:t>
      </w:r>
      <w:r w:rsidR="00F16457">
        <w:rPr>
          <w:rFonts w:ascii="Times New Roman" w:hAnsi="Times New Roman" w:cs="Times New Roman"/>
          <w:b/>
          <w:bCs/>
          <w:sz w:val="20"/>
          <w:szCs w:val="20"/>
        </w:rPr>
        <w:t xml:space="preserve"> from one cell</w:t>
      </w:r>
      <w:r w:rsidR="00B6037F">
        <w:rPr>
          <w:rFonts w:ascii="Times New Roman" w:hAnsi="Times New Roman" w:cs="Times New Roman"/>
          <w:b/>
          <w:bCs/>
          <w:sz w:val="20"/>
          <w:szCs w:val="20"/>
        </w:rPr>
        <w:t xml:space="preserve">. There is no requirement if UE receive </w:t>
      </w:r>
      <w:r w:rsidR="006B31AE" w:rsidRPr="00EE51A7">
        <w:rPr>
          <w:rFonts w:ascii="Times New Roman" w:hAnsi="Times New Roman" w:cs="Times New Roman"/>
          <w:b/>
          <w:bCs/>
          <w:sz w:val="20"/>
          <w:szCs w:val="20"/>
        </w:rPr>
        <w:t xml:space="preserve">multiple L1-RSRP </w:t>
      </w:r>
      <w:r w:rsidR="00231F3F" w:rsidRPr="00EE51A7">
        <w:rPr>
          <w:rFonts w:ascii="Times New Roman" w:hAnsi="Times New Roman" w:cs="Times New Roman"/>
          <w:b/>
          <w:bCs/>
          <w:sz w:val="20"/>
          <w:szCs w:val="20"/>
        </w:rPr>
        <w:t>simultaneously</w:t>
      </w:r>
      <w:r w:rsidR="00B6037F">
        <w:rPr>
          <w:rFonts w:ascii="Times New Roman" w:hAnsi="Times New Roman" w:cs="Times New Roman"/>
          <w:b/>
          <w:bCs/>
          <w:sz w:val="20"/>
          <w:szCs w:val="20"/>
        </w:rPr>
        <w:t>.</w:t>
      </w:r>
    </w:p>
    <w:p w14:paraId="4BF8C1F2" w14:textId="06CE5A40" w:rsidR="00231F3F" w:rsidRDefault="00231F3F" w:rsidP="00785DDA">
      <w:pPr>
        <w:pStyle w:val="NoSpacing"/>
        <w:rPr>
          <w:rFonts w:ascii="Times New Roman" w:hAnsi="Times New Roman" w:cs="Times New Roman"/>
          <w:b/>
          <w:bCs/>
          <w:sz w:val="20"/>
          <w:szCs w:val="20"/>
        </w:rPr>
      </w:pPr>
      <w:r>
        <w:rPr>
          <w:rFonts w:ascii="Times New Roman" w:hAnsi="Times New Roman" w:cs="Times New Roman"/>
          <w:b/>
          <w:bCs/>
          <w:sz w:val="20"/>
          <w:szCs w:val="20"/>
        </w:rPr>
        <w:t xml:space="preserve">Proposal 5: </w:t>
      </w:r>
      <w:r w:rsidRPr="00EE51A7">
        <w:rPr>
          <w:rFonts w:ascii="Times New Roman" w:hAnsi="Times New Roman" w:cs="Times New Roman"/>
          <w:b/>
          <w:bCs/>
          <w:sz w:val="20"/>
          <w:szCs w:val="20"/>
        </w:rPr>
        <w:t xml:space="preserve">For inter-cell beam management, </w:t>
      </w:r>
      <w:r>
        <w:rPr>
          <w:rFonts w:ascii="Times New Roman" w:hAnsi="Times New Roman" w:cs="Times New Roman"/>
          <w:b/>
          <w:bCs/>
          <w:sz w:val="20"/>
          <w:szCs w:val="20"/>
        </w:rPr>
        <w:t xml:space="preserve">RAN4 only define intra-frequency related requirement. </w:t>
      </w:r>
    </w:p>
    <w:p w14:paraId="6DB8E7A8" w14:textId="621D1FB4" w:rsidR="00692C7C" w:rsidRPr="00231F3F" w:rsidRDefault="00692C7C" w:rsidP="00785DDA">
      <w:pPr>
        <w:pStyle w:val="NoSpacing"/>
        <w:rPr>
          <w:rFonts w:ascii="Times New Roman" w:hAnsi="Times New Roman" w:cs="Times New Roman"/>
          <w:b/>
          <w:bCs/>
          <w:sz w:val="20"/>
          <w:szCs w:val="20"/>
        </w:rPr>
      </w:pPr>
    </w:p>
    <w:p w14:paraId="6568EE7C" w14:textId="75F3BF9C" w:rsidR="008773D8" w:rsidRPr="00EE51A7" w:rsidRDefault="00222621" w:rsidP="008773D8">
      <w:pPr>
        <w:pStyle w:val="NoSpacing"/>
        <w:rPr>
          <w:rFonts w:ascii="Times New Roman" w:hAnsi="Times New Roman" w:cs="Times New Roman"/>
          <w:sz w:val="20"/>
          <w:szCs w:val="20"/>
        </w:rPr>
      </w:pPr>
      <w:r w:rsidRPr="00EE51A7">
        <w:rPr>
          <w:rFonts w:ascii="Times New Roman" w:hAnsi="Times New Roman" w:cs="Times New Roman"/>
          <w:sz w:val="20"/>
          <w:szCs w:val="20"/>
        </w:rPr>
        <w:t>RAN1 agreed that Rel.15 L1-RSRP is used as reporting quantity for measurement and reporting of non-serving-cell(s) for L1/L2-centric inter-cell mobility</w:t>
      </w:r>
      <w:r w:rsidR="001F6BC3" w:rsidRPr="00EE51A7">
        <w:rPr>
          <w:rFonts w:ascii="Times New Roman" w:hAnsi="Times New Roman" w:cs="Times New Roman"/>
          <w:sz w:val="20"/>
          <w:szCs w:val="20"/>
        </w:rPr>
        <w:t xml:space="preserve">, here, we will discuss </w:t>
      </w:r>
      <w:r w:rsidR="00123D27" w:rsidRPr="00EE51A7">
        <w:rPr>
          <w:rFonts w:ascii="Times New Roman" w:hAnsi="Times New Roman" w:cs="Times New Roman"/>
          <w:sz w:val="20"/>
          <w:szCs w:val="20"/>
        </w:rPr>
        <w:t xml:space="preserve">SSB based </w:t>
      </w:r>
      <w:r w:rsidR="001F6BC3" w:rsidRPr="00EE51A7">
        <w:rPr>
          <w:rFonts w:ascii="Times New Roman" w:hAnsi="Times New Roman" w:cs="Times New Roman"/>
          <w:sz w:val="20"/>
          <w:szCs w:val="20"/>
        </w:rPr>
        <w:t>L1-RSRP related requirement</w:t>
      </w:r>
      <w:r w:rsidR="00B6436E" w:rsidRPr="00EE51A7">
        <w:rPr>
          <w:rFonts w:ascii="Times New Roman" w:hAnsi="Times New Roman" w:cs="Times New Roman"/>
          <w:sz w:val="20"/>
          <w:szCs w:val="20"/>
        </w:rPr>
        <w:t xml:space="preserve"> firstly</w:t>
      </w:r>
      <w:r w:rsidR="001F6BC3" w:rsidRPr="00EE51A7">
        <w:rPr>
          <w:rFonts w:ascii="Times New Roman" w:hAnsi="Times New Roman" w:cs="Times New Roman"/>
          <w:sz w:val="20"/>
          <w:szCs w:val="20"/>
        </w:rPr>
        <w:t>.</w:t>
      </w:r>
    </w:p>
    <w:p w14:paraId="6CECD904" w14:textId="77777777" w:rsidR="00D90C28" w:rsidRPr="00EE51A7" w:rsidRDefault="00D90C28" w:rsidP="008773D8">
      <w:pPr>
        <w:pStyle w:val="NoSpacing"/>
        <w:rPr>
          <w:rFonts w:ascii="Times New Roman" w:hAnsi="Times New Roman" w:cs="Times New Roman"/>
          <w:sz w:val="20"/>
          <w:szCs w:val="20"/>
        </w:rPr>
      </w:pPr>
    </w:p>
    <w:p w14:paraId="7B1DE366" w14:textId="77777777" w:rsidR="00580FAF" w:rsidRPr="00EE51A7" w:rsidRDefault="00580FAF" w:rsidP="00580FAF">
      <w:pPr>
        <w:rPr>
          <w:rFonts w:ascii="Times New Roman" w:eastAsia="SimSun" w:hAnsi="Times New Roman" w:cs="Times New Roman"/>
          <w:sz w:val="20"/>
          <w:szCs w:val="20"/>
        </w:rPr>
      </w:pPr>
      <w:r w:rsidRPr="00EE51A7">
        <w:rPr>
          <w:rFonts w:ascii="Times New Roman" w:eastAsia="SimSun" w:hAnsi="Times New Roman" w:cs="Times New Roman"/>
          <w:sz w:val="20"/>
          <w:szCs w:val="20"/>
        </w:rPr>
        <w:t>When defining the requirements based on L1-RSRP, it will be discussed based on if L1-RSRP is within the SMTC.</w:t>
      </w:r>
    </w:p>
    <w:p w14:paraId="44A9C9A0" w14:textId="38D75762" w:rsidR="00580FAF" w:rsidRPr="00EE51A7" w:rsidRDefault="00580FAF" w:rsidP="002F2A1B">
      <w:pPr>
        <w:pStyle w:val="ListParagraph"/>
        <w:numPr>
          <w:ilvl w:val="0"/>
          <w:numId w:val="36"/>
        </w:numPr>
        <w:rPr>
          <w:rFonts w:ascii="Times New Roman" w:eastAsia="SimSun" w:hAnsi="Times New Roman" w:cs="Times New Roman"/>
          <w:sz w:val="20"/>
          <w:szCs w:val="20"/>
        </w:rPr>
      </w:pPr>
      <w:r w:rsidRPr="00EE51A7">
        <w:rPr>
          <w:rFonts w:ascii="Times New Roman" w:eastAsia="SimSun" w:hAnsi="Times New Roman" w:cs="Times New Roman"/>
          <w:sz w:val="20"/>
          <w:szCs w:val="20"/>
        </w:rPr>
        <w:t>L1-RSRP is within the SMTC:</w:t>
      </w:r>
    </w:p>
    <w:p w14:paraId="12DF6D50" w14:textId="77777777" w:rsidR="00382F24" w:rsidRPr="00EE51A7" w:rsidRDefault="00580FAF" w:rsidP="00580FAF">
      <w:pPr>
        <w:pStyle w:val="ListParagraph"/>
        <w:widowControl/>
        <w:numPr>
          <w:ilvl w:val="0"/>
          <w:numId w:val="35"/>
        </w:numPr>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Side condition. </w:t>
      </w:r>
    </w:p>
    <w:p w14:paraId="40A8C57C" w14:textId="105A25D5" w:rsidR="00580FAF" w:rsidRPr="00EE51A7" w:rsidRDefault="00382F24" w:rsidP="00382F24">
      <w:pPr>
        <w:pStyle w:val="ListParagraph"/>
        <w:widowControl/>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From our understanding, </w:t>
      </w:r>
      <w:r w:rsidR="00507ECD" w:rsidRPr="00EE51A7">
        <w:rPr>
          <w:rFonts w:ascii="Times New Roman" w:hAnsi="Times New Roman" w:cs="Times New Roman"/>
          <w:sz w:val="20"/>
          <w:szCs w:val="20"/>
        </w:rPr>
        <w:t>the legacy</w:t>
      </w:r>
      <w:r w:rsidR="00580FAF" w:rsidRPr="00EE51A7">
        <w:rPr>
          <w:rFonts w:ascii="Times New Roman" w:hAnsi="Times New Roman" w:cs="Times New Roman"/>
          <w:sz w:val="20"/>
          <w:szCs w:val="20"/>
        </w:rPr>
        <w:t xml:space="preserve"> SNR</w:t>
      </w:r>
      <w:r w:rsidR="00507ECD" w:rsidRPr="00EE51A7">
        <w:rPr>
          <w:rFonts w:ascii="Times New Roman" w:hAnsi="Times New Roman" w:cs="Times New Roman"/>
          <w:sz w:val="20"/>
          <w:szCs w:val="20"/>
        </w:rPr>
        <w:t>=</w:t>
      </w:r>
      <w:r w:rsidR="00580FAF" w:rsidRPr="00EE51A7">
        <w:rPr>
          <w:rFonts w:ascii="Times New Roman" w:hAnsi="Times New Roman" w:cs="Times New Roman"/>
          <w:sz w:val="20"/>
          <w:szCs w:val="20"/>
        </w:rPr>
        <w:t>-</w:t>
      </w:r>
      <w:r w:rsidR="006A0749" w:rsidRPr="00EE51A7">
        <w:rPr>
          <w:rFonts w:ascii="Times New Roman" w:hAnsi="Times New Roman" w:cs="Times New Roman"/>
          <w:sz w:val="20"/>
          <w:szCs w:val="20"/>
        </w:rPr>
        <w:t>6</w:t>
      </w:r>
      <w:r w:rsidR="00580FAF" w:rsidRPr="00EE51A7">
        <w:rPr>
          <w:rFonts w:ascii="Times New Roman" w:hAnsi="Times New Roman" w:cs="Times New Roman"/>
          <w:sz w:val="20"/>
          <w:szCs w:val="20"/>
        </w:rPr>
        <w:t>dB</w:t>
      </w:r>
      <w:r w:rsidR="00507ECD" w:rsidRPr="00EE51A7">
        <w:rPr>
          <w:rFonts w:ascii="Times New Roman" w:hAnsi="Times New Roman" w:cs="Times New Roman"/>
          <w:sz w:val="20"/>
          <w:szCs w:val="20"/>
        </w:rPr>
        <w:t xml:space="preserve"> </w:t>
      </w:r>
      <w:r w:rsidR="006A0749" w:rsidRPr="00EE51A7">
        <w:rPr>
          <w:rFonts w:ascii="Times New Roman" w:hAnsi="Times New Roman" w:cs="Times New Roman"/>
          <w:sz w:val="20"/>
          <w:szCs w:val="20"/>
        </w:rPr>
        <w:t>for neigh</w:t>
      </w:r>
      <w:r w:rsidR="00FE1D9B" w:rsidRPr="00EE51A7">
        <w:rPr>
          <w:rFonts w:ascii="Times New Roman" w:hAnsi="Times New Roman" w:cs="Times New Roman"/>
          <w:sz w:val="20"/>
          <w:szCs w:val="20"/>
        </w:rPr>
        <w:t xml:space="preserve">bor cell measurement </w:t>
      </w:r>
      <w:r w:rsidR="00507ECD" w:rsidRPr="00EE51A7">
        <w:rPr>
          <w:rFonts w:ascii="Times New Roman" w:hAnsi="Times New Roman" w:cs="Times New Roman"/>
          <w:sz w:val="20"/>
          <w:szCs w:val="20"/>
        </w:rPr>
        <w:t>can be re-used.</w:t>
      </w:r>
    </w:p>
    <w:p w14:paraId="6483AF09" w14:textId="3ADF8F6B" w:rsidR="00382F24" w:rsidRPr="00EE51A7" w:rsidRDefault="00580FAF" w:rsidP="00580FAF">
      <w:pPr>
        <w:pStyle w:val="ListParagraph"/>
        <w:widowControl/>
        <w:numPr>
          <w:ilvl w:val="0"/>
          <w:numId w:val="35"/>
        </w:numPr>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Measurement period. </w:t>
      </w:r>
    </w:p>
    <w:p w14:paraId="25ACEF07" w14:textId="59A33060" w:rsidR="00580FAF" w:rsidRPr="00EE51A7" w:rsidRDefault="00675DBD" w:rsidP="00382F24">
      <w:pPr>
        <w:pStyle w:val="ListParagraph"/>
        <w:widowControl/>
        <w:contextualSpacing w:val="0"/>
        <w:jc w:val="left"/>
        <w:rPr>
          <w:rFonts w:ascii="Times New Roman" w:hAnsi="Times New Roman" w:cs="Times New Roman"/>
          <w:sz w:val="20"/>
          <w:szCs w:val="20"/>
        </w:rPr>
      </w:pPr>
      <w:r w:rsidRPr="00EE51A7">
        <w:rPr>
          <w:rFonts w:ascii="Times New Roman" w:hAnsi="Times New Roman" w:cs="Times New Roman"/>
          <w:sz w:val="20"/>
          <w:szCs w:val="20"/>
        </w:rPr>
        <w:t>For FR2, since</w:t>
      </w:r>
      <w:r w:rsidR="00580FAF" w:rsidRPr="00EE51A7">
        <w:rPr>
          <w:rFonts w:ascii="Times New Roman" w:hAnsi="Times New Roman" w:cs="Times New Roman"/>
          <w:sz w:val="20"/>
          <w:szCs w:val="20"/>
        </w:rPr>
        <w:t xml:space="preserve"> </w:t>
      </w:r>
      <w:r w:rsidRPr="00EE51A7">
        <w:rPr>
          <w:rFonts w:ascii="Times New Roman" w:hAnsi="Times New Roman" w:cs="Times New Roman"/>
          <w:sz w:val="20"/>
          <w:szCs w:val="20"/>
        </w:rPr>
        <w:t>d</w:t>
      </w:r>
      <w:r w:rsidR="00580FAF" w:rsidRPr="00EE51A7">
        <w:rPr>
          <w:rFonts w:ascii="Times New Roman" w:hAnsi="Times New Roman" w:cs="Times New Roman"/>
          <w:sz w:val="20"/>
          <w:szCs w:val="20"/>
        </w:rPr>
        <w:t>ifferent Rx beam will be used</w:t>
      </w:r>
      <w:r w:rsidRPr="00EE51A7">
        <w:rPr>
          <w:rFonts w:ascii="Times New Roman" w:hAnsi="Times New Roman" w:cs="Times New Roman"/>
          <w:sz w:val="20"/>
          <w:szCs w:val="20"/>
        </w:rPr>
        <w:t xml:space="preserve"> for L1 and L3 measurement,</w:t>
      </w:r>
      <w:r w:rsidR="00580FAF" w:rsidRPr="00EE51A7">
        <w:rPr>
          <w:rFonts w:ascii="Times New Roman" w:hAnsi="Times New Roman" w:cs="Times New Roman"/>
          <w:sz w:val="20"/>
          <w:szCs w:val="20"/>
        </w:rPr>
        <w:t xml:space="preserve"> </w:t>
      </w:r>
      <w:r w:rsidR="00BD3725" w:rsidRPr="00EE51A7">
        <w:rPr>
          <w:rFonts w:ascii="Times New Roman" w:hAnsi="Times New Roman" w:cs="Times New Roman"/>
          <w:sz w:val="20"/>
          <w:szCs w:val="20"/>
        </w:rPr>
        <w:t>s</w:t>
      </w:r>
      <w:r w:rsidR="00580FAF" w:rsidRPr="00EE51A7">
        <w:rPr>
          <w:rFonts w:ascii="Times New Roman" w:hAnsi="Times New Roman" w:cs="Times New Roman"/>
          <w:sz w:val="20"/>
          <w:szCs w:val="20"/>
        </w:rPr>
        <w:t>haring factor will be introduced.</w:t>
      </w:r>
      <w:r w:rsidRPr="00EE51A7">
        <w:rPr>
          <w:rFonts w:ascii="Times New Roman" w:hAnsi="Times New Roman" w:cs="Times New Roman"/>
          <w:sz w:val="20"/>
          <w:szCs w:val="20"/>
        </w:rPr>
        <w:t xml:space="preserve"> The </w:t>
      </w:r>
      <w:r w:rsidR="00BD3725" w:rsidRPr="00EE51A7">
        <w:rPr>
          <w:rFonts w:ascii="Times New Roman" w:hAnsi="Times New Roman" w:cs="Times New Roman"/>
          <w:sz w:val="20"/>
          <w:szCs w:val="20"/>
        </w:rPr>
        <w:t>measurement period will be extended</w:t>
      </w:r>
      <w:r w:rsidR="002F2A1B" w:rsidRPr="00EE51A7">
        <w:rPr>
          <w:rFonts w:ascii="Times New Roman" w:hAnsi="Times New Roman" w:cs="Times New Roman"/>
          <w:sz w:val="20"/>
          <w:szCs w:val="20"/>
        </w:rPr>
        <w:t xml:space="preserve"> </w:t>
      </w:r>
      <w:r w:rsidR="007E7D2E" w:rsidRPr="00EE51A7">
        <w:rPr>
          <w:rFonts w:ascii="Times New Roman" w:hAnsi="Times New Roman" w:cs="Times New Roman"/>
          <w:sz w:val="20"/>
          <w:szCs w:val="20"/>
        </w:rPr>
        <w:t xml:space="preserve">by the sharing factor </w:t>
      </w:r>
      <w:r w:rsidR="008A529B" w:rsidRPr="00EE51A7">
        <w:rPr>
          <w:rFonts w:ascii="Times New Roman" w:hAnsi="Times New Roman" w:cs="Times New Roman"/>
          <w:sz w:val="20"/>
          <w:szCs w:val="20"/>
        </w:rPr>
        <w:t xml:space="preserve">for </w:t>
      </w:r>
      <w:r w:rsidR="002F2A1B" w:rsidRPr="00EE51A7">
        <w:rPr>
          <w:rFonts w:ascii="Times New Roman" w:hAnsi="Times New Roman" w:cs="Times New Roman"/>
          <w:sz w:val="20"/>
          <w:szCs w:val="20"/>
        </w:rPr>
        <w:t>the following two scenarios:</w:t>
      </w:r>
    </w:p>
    <w:p w14:paraId="765AB63B" w14:textId="1948CC0E" w:rsidR="00580FAF" w:rsidRPr="00EE51A7" w:rsidRDefault="00580FAF" w:rsidP="007E7D2E">
      <w:pPr>
        <w:pStyle w:val="ListParagraph"/>
        <w:widowControl/>
        <w:numPr>
          <w:ilvl w:val="0"/>
          <w:numId w:val="21"/>
        </w:numPr>
        <w:jc w:val="left"/>
        <w:rPr>
          <w:rFonts w:ascii="Times New Roman" w:hAnsi="Times New Roman" w:cs="Times New Roman"/>
          <w:sz w:val="20"/>
          <w:szCs w:val="20"/>
        </w:rPr>
      </w:pPr>
      <w:r w:rsidRPr="00EE51A7">
        <w:rPr>
          <w:rFonts w:ascii="Times New Roman" w:hAnsi="Times New Roman" w:cs="Times New Roman"/>
          <w:sz w:val="20"/>
          <w:szCs w:val="20"/>
        </w:rPr>
        <w:t xml:space="preserve">P is </w:t>
      </w:r>
      <w:proofErr w:type="spellStart"/>
      <w:r w:rsidRPr="00EE51A7">
        <w:rPr>
          <w:rFonts w:ascii="Times New Roman" w:hAnsi="Times New Roman" w:cs="Times New Roman"/>
          <w:sz w:val="20"/>
          <w:szCs w:val="20"/>
        </w:rPr>
        <w:t>P</w:t>
      </w:r>
      <w:r w:rsidRPr="00EE51A7">
        <w:rPr>
          <w:rFonts w:ascii="Times New Roman" w:hAnsi="Times New Roman" w:cs="Times New Roman"/>
          <w:sz w:val="20"/>
          <w:szCs w:val="20"/>
          <w:vertAlign w:val="subscript"/>
        </w:rPr>
        <w:t>sharing</w:t>
      </w:r>
      <w:proofErr w:type="spellEnd"/>
      <w:r w:rsidRPr="00EE51A7">
        <w:rPr>
          <w:rFonts w:ascii="Times New Roman" w:hAnsi="Times New Roman" w:cs="Times New Roman"/>
          <w:sz w:val="20"/>
          <w:szCs w:val="20"/>
          <w:vertAlign w:val="subscript"/>
        </w:rPr>
        <w:t xml:space="preserve"> factor</w:t>
      </w:r>
      <w:r w:rsidRPr="00EE51A7">
        <w:rPr>
          <w:rFonts w:ascii="Times New Roman" w:hAnsi="Times New Roman" w:cs="Times New Roman"/>
          <w:sz w:val="20"/>
          <w:szCs w:val="20"/>
        </w:rPr>
        <w:t>, when SSB is not overlapped with measurement gap and SSB is fully overlapped with SMTC period (T</w:t>
      </w:r>
      <w:r w:rsidRPr="00EE51A7">
        <w:rPr>
          <w:rFonts w:ascii="Times New Roman" w:hAnsi="Times New Roman" w:cs="Times New Roman"/>
          <w:sz w:val="20"/>
          <w:szCs w:val="20"/>
          <w:vertAlign w:val="subscript"/>
        </w:rPr>
        <w:t>SSB</w:t>
      </w:r>
      <w:r w:rsidRPr="00EE51A7">
        <w:rPr>
          <w:rFonts w:ascii="Times New Roman" w:hAnsi="Times New Roman" w:cs="Times New Roman"/>
          <w:sz w:val="20"/>
          <w:szCs w:val="20"/>
        </w:rPr>
        <w:t xml:space="preserve"> = </w:t>
      </w:r>
      <w:proofErr w:type="spellStart"/>
      <w:r w:rsidRPr="00EE51A7">
        <w:rPr>
          <w:rFonts w:ascii="Times New Roman" w:hAnsi="Times New Roman" w:cs="Times New Roman"/>
          <w:sz w:val="20"/>
          <w:szCs w:val="20"/>
        </w:rPr>
        <w:t>T</w:t>
      </w:r>
      <w:r w:rsidRPr="00EE51A7">
        <w:rPr>
          <w:rFonts w:ascii="Times New Roman" w:hAnsi="Times New Roman" w:cs="Times New Roman"/>
          <w:sz w:val="20"/>
          <w:szCs w:val="20"/>
          <w:vertAlign w:val="subscript"/>
        </w:rPr>
        <w:t>SMTCperiod</w:t>
      </w:r>
      <w:proofErr w:type="spellEnd"/>
      <w:r w:rsidRPr="00EE51A7">
        <w:rPr>
          <w:rFonts w:ascii="Times New Roman" w:hAnsi="Times New Roman" w:cs="Times New Roman"/>
          <w:sz w:val="20"/>
          <w:szCs w:val="20"/>
        </w:rPr>
        <w:t>).</w:t>
      </w:r>
    </w:p>
    <w:p w14:paraId="110DFBB5" w14:textId="03504ED2" w:rsidR="00580FAF" w:rsidRPr="00EE51A7" w:rsidRDefault="00580FAF" w:rsidP="007E7D2E">
      <w:pPr>
        <w:pStyle w:val="ListParagraph"/>
        <w:widowControl/>
        <w:numPr>
          <w:ilvl w:val="0"/>
          <w:numId w:val="21"/>
        </w:numPr>
        <w:jc w:val="left"/>
        <w:rPr>
          <w:rFonts w:ascii="Times New Roman" w:hAnsi="Times New Roman" w:cs="Times New Roman"/>
          <w:sz w:val="20"/>
          <w:szCs w:val="20"/>
        </w:rPr>
      </w:pPr>
      <w:r w:rsidRPr="00EE51A7">
        <w:rPr>
          <w:rFonts w:ascii="Times New Roman" w:hAnsi="Times New Roman" w:cs="Times New Roman"/>
          <w:sz w:val="20"/>
          <w:szCs w:val="20"/>
        </w:rPr>
        <w:t xml:space="preserve">P is </w:t>
      </w:r>
      <m:oMath>
        <m:r>
          <w:rPr>
            <w:rFonts w:ascii="Cambria Math" w:hAnsi="Cambria Math" w:cs="Times New Roman"/>
            <w:sz w:val="20"/>
            <w:szCs w:val="20"/>
          </w:rPr>
          <m:t xml:space="preserve"> </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sharing factor</m:t>
                </m:r>
              </m:sub>
            </m:sSub>
          </m:num>
          <m:den>
            <m:r>
              <w:rPr>
                <w:rFonts w:ascii="Cambria Math" w:hAnsi="Cambria Math" w:cs="Times New Roman"/>
                <w:sz w:val="20"/>
                <w:szCs w:val="20"/>
              </w:rPr>
              <m:t>1-</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SSB</m:t>
                    </m:r>
                  </m:sub>
                </m:sSub>
              </m:num>
              <m:den>
                <m:r>
                  <m:rPr>
                    <m:sty m:val="p"/>
                  </m:rPr>
                  <w:rPr>
                    <w:rFonts w:ascii="Cambria Math" w:hAnsi="Cambria Math" w:cs="Times New Roman"/>
                    <w:sz w:val="20"/>
                    <w:szCs w:val="20"/>
                  </w:rPr>
                  <m:t>MRGP</m:t>
                </m:r>
              </m:den>
            </m:f>
          </m:den>
        </m:f>
      </m:oMath>
      <w:r w:rsidRPr="00EE51A7">
        <w:rPr>
          <w:rFonts w:ascii="Times New Roman" w:hAnsi="Times New Roman" w:cs="Times New Roman"/>
          <w:sz w:val="20"/>
          <w:szCs w:val="20"/>
        </w:rPr>
        <w:t>, when SSB is partially overlapped with measurement gap and SSB is fully overlapped with SMTC occasion (T</w:t>
      </w:r>
      <w:r w:rsidRPr="00EE51A7">
        <w:rPr>
          <w:rFonts w:ascii="Times New Roman" w:hAnsi="Times New Roman" w:cs="Times New Roman"/>
          <w:sz w:val="20"/>
          <w:szCs w:val="20"/>
          <w:vertAlign w:val="subscript"/>
        </w:rPr>
        <w:t>SSB</w:t>
      </w:r>
      <w:r w:rsidRPr="00EE51A7">
        <w:rPr>
          <w:rFonts w:ascii="Times New Roman" w:hAnsi="Times New Roman" w:cs="Times New Roman"/>
          <w:sz w:val="20"/>
          <w:szCs w:val="20"/>
        </w:rPr>
        <w:t xml:space="preserve"> = </w:t>
      </w:r>
      <w:proofErr w:type="spellStart"/>
      <w:r w:rsidRPr="00EE51A7">
        <w:rPr>
          <w:rFonts w:ascii="Times New Roman" w:hAnsi="Times New Roman" w:cs="Times New Roman"/>
          <w:sz w:val="20"/>
          <w:szCs w:val="20"/>
        </w:rPr>
        <w:t>T</w:t>
      </w:r>
      <w:r w:rsidRPr="00EE51A7">
        <w:rPr>
          <w:rFonts w:ascii="Times New Roman" w:hAnsi="Times New Roman" w:cs="Times New Roman"/>
          <w:sz w:val="20"/>
          <w:szCs w:val="20"/>
          <w:vertAlign w:val="subscript"/>
        </w:rPr>
        <w:t>SMTCperiod</w:t>
      </w:r>
      <w:proofErr w:type="spellEnd"/>
      <w:r w:rsidRPr="00EE51A7">
        <w:rPr>
          <w:rFonts w:ascii="Times New Roman" w:hAnsi="Times New Roman" w:cs="Times New Roman"/>
          <w:sz w:val="20"/>
          <w:szCs w:val="20"/>
        </w:rPr>
        <w:t>) and SMTC occasion is partially overlapped with measurement gap (</w:t>
      </w:r>
      <w:proofErr w:type="spellStart"/>
      <w:r w:rsidRPr="00EE51A7">
        <w:rPr>
          <w:rFonts w:ascii="Times New Roman" w:hAnsi="Times New Roman" w:cs="Times New Roman"/>
          <w:sz w:val="20"/>
          <w:szCs w:val="20"/>
        </w:rPr>
        <w:t>T</w:t>
      </w:r>
      <w:r w:rsidRPr="00EE51A7">
        <w:rPr>
          <w:rFonts w:ascii="Times New Roman" w:hAnsi="Times New Roman" w:cs="Times New Roman"/>
          <w:sz w:val="20"/>
          <w:szCs w:val="20"/>
          <w:vertAlign w:val="subscript"/>
        </w:rPr>
        <w:t>SMTCperiod</w:t>
      </w:r>
      <w:proofErr w:type="spellEnd"/>
      <w:r w:rsidRPr="00EE51A7">
        <w:rPr>
          <w:rFonts w:ascii="Times New Roman" w:hAnsi="Times New Roman" w:cs="Times New Roman"/>
          <w:sz w:val="20"/>
          <w:szCs w:val="20"/>
        </w:rPr>
        <w:t xml:space="preserve"> &lt; MGRP)</w:t>
      </w:r>
    </w:p>
    <w:p w14:paraId="41CA162B" w14:textId="52D31B72" w:rsidR="00382F24" w:rsidRPr="00EE51A7" w:rsidRDefault="00E80EB0" w:rsidP="00580FAF">
      <w:pPr>
        <w:pStyle w:val="ListParagraph"/>
        <w:widowControl/>
        <w:numPr>
          <w:ilvl w:val="0"/>
          <w:numId w:val="35"/>
        </w:numPr>
        <w:contextualSpacing w:val="0"/>
        <w:jc w:val="left"/>
        <w:rPr>
          <w:rFonts w:ascii="Times New Roman" w:hAnsi="Times New Roman" w:cs="Times New Roman"/>
          <w:sz w:val="20"/>
          <w:szCs w:val="20"/>
        </w:rPr>
      </w:pPr>
      <w:r>
        <w:rPr>
          <w:rFonts w:ascii="Times New Roman" w:hAnsi="Times New Roman" w:cs="Times New Roman"/>
          <w:sz w:val="20"/>
          <w:szCs w:val="20"/>
        </w:rPr>
        <w:t>M</w:t>
      </w:r>
      <w:r w:rsidR="00580FAF" w:rsidRPr="00EE51A7">
        <w:rPr>
          <w:rFonts w:ascii="Times New Roman" w:hAnsi="Times New Roman" w:cs="Times New Roman"/>
          <w:sz w:val="20"/>
          <w:szCs w:val="20"/>
        </w:rPr>
        <w:t>easurement restriction.</w:t>
      </w:r>
    </w:p>
    <w:p w14:paraId="288F1812" w14:textId="1239170B" w:rsidR="000C5C66" w:rsidRPr="00EE51A7" w:rsidRDefault="000C5C66" w:rsidP="00404069">
      <w:pPr>
        <w:pStyle w:val="ListParagraph"/>
        <w:widowControl/>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From the modified WID, </w:t>
      </w:r>
      <w:r w:rsidR="00A85D2F" w:rsidRPr="00EE51A7">
        <w:rPr>
          <w:rFonts w:ascii="Times New Roman" w:hAnsi="Times New Roman" w:cs="Times New Roman"/>
          <w:sz w:val="20"/>
          <w:szCs w:val="20"/>
        </w:rPr>
        <w:t xml:space="preserve">UE will only receive one </w:t>
      </w:r>
      <w:r w:rsidR="007474BA" w:rsidRPr="00EE51A7">
        <w:rPr>
          <w:rFonts w:ascii="Times New Roman" w:eastAsia="SimSun" w:hAnsi="Times New Roman" w:cs="Times New Roman"/>
          <w:sz w:val="20"/>
          <w:szCs w:val="20"/>
        </w:rPr>
        <w:t xml:space="preserve">non-serving </w:t>
      </w:r>
      <w:r w:rsidR="00A85D2F" w:rsidRPr="00EE51A7">
        <w:rPr>
          <w:rFonts w:ascii="Times New Roman" w:hAnsi="Times New Roman" w:cs="Times New Roman"/>
          <w:sz w:val="20"/>
          <w:szCs w:val="20"/>
        </w:rPr>
        <w:t xml:space="preserve">L1-RSRP at one time, </w:t>
      </w:r>
      <w:r w:rsidR="00BD2E8E" w:rsidRPr="00EE51A7">
        <w:rPr>
          <w:rFonts w:ascii="Times New Roman" w:hAnsi="Times New Roman" w:cs="Times New Roman"/>
          <w:sz w:val="20"/>
          <w:szCs w:val="20"/>
        </w:rPr>
        <w:t xml:space="preserve">therefore, there will be no confliction between L1-RSRP measurement from multiple cells. However, there will still be confliction between </w:t>
      </w:r>
      <w:r w:rsidR="005A4F00" w:rsidRPr="00EE51A7">
        <w:rPr>
          <w:rFonts w:ascii="Times New Roman" w:eastAsia="SimSun" w:hAnsi="Times New Roman" w:cs="Times New Roman"/>
          <w:sz w:val="20"/>
          <w:szCs w:val="20"/>
        </w:rPr>
        <w:t xml:space="preserve">non-serving </w:t>
      </w:r>
      <w:r w:rsidR="005A4F00">
        <w:rPr>
          <w:rFonts w:ascii="Times New Roman" w:eastAsia="SimSun" w:hAnsi="Times New Roman" w:cs="Times New Roman"/>
          <w:sz w:val="20"/>
          <w:szCs w:val="20"/>
        </w:rPr>
        <w:t xml:space="preserve">cell </w:t>
      </w:r>
      <w:r w:rsidR="00DD57A6" w:rsidRPr="00EE51A7">
        <w:rPr>
          <w:rFonts w:ascii="Times New Roman" w:hAnsi="Times New Roman" w:cs="Times New Roman"/>
          <w:sz w:val="20"/>
          <w:szCs w:val="20"/>
        </w:rPr>
        <w:t>L1-RSRP measurement with other L1 measurement from serving cell</w:t>
      </w:r>
      <w:r w:rsidR="00494A29" w:rsidRPr="00EE51A7">
        <w:rPr>
          <w:rFonts w:ascii="Times New Roman" w:hAnsi="Times New Roman" w:cs="Times New Roman"/>
          <w:sz w:val="20"/>
          <w:szCs w:val="20"/>
        </w:rPr>
        <w:t xml:space="preserve"> for FR2 since the receiving beam is different</w:t>
      </w:r>
      <w:r w:rsidR="00DD57A6" w:rsidRPr="00EE51A7">
        <w:rPr>
          <w:rFonts w:ascii="Times New Roman" w:hAnsi="Times New Roman" w:cs="Times New Roman"/>
          <w:sz w:val="20"/>
          <w:szCs w:val="20"/>
        </w:rPr>
        <w:t>.</w:t>
      </w:r>
      <w:r w:rsidR="00494A29" w:rsidRPr="00EE51A7">
        <w:rPr>
          <w:rFonts w:ascii="Times New Roman" w:hAnsi="Times New Roman" w:cs="Times New Roman"/>
          <w:sz w:val="20"/>
          <w:szCs w:val="20"/>
        </w:rPr>
        <w:t xml:space="preserve"> </w:t>
      </w:r>
    </w:p>
    <w:p w14:paraId="40CE45D9" w14:textId="1C1A49C8" w:rsidR="001E47C2" w:rsidRPr="00EE51A7" w:rsidRDefault="009C2F3F" w:rsidP="00404069">
      <w:pPr>
        <w:pStyle w:val="ListParagraph"/>
        <w:widowControl/>
        <w:contextualSpacing w:val="0"/>
        <w:jc w:val="left"/>
        <w:rPr>
          <w:rFonts w:ascii="Times New Roman" w:hAnsi="Times New Roman" w:cs="Times New Roman"/>
          <w:sz w:val="20"/>
          <w:szCs w:val="20"/>
        </w:rPr>
      </w:pPr>
      <w:r>
        <w:rPr>
          <w:rFonts w:ascii="Times New Roman" w:hAnsi="Times New Roman" w:cs="Times New Roman"/>
          <w:sz w:val="20"/>
          <w:szCs w:val="20"/>
        </w:rPr>
        <w:lastRenderedPageBreak/>
        <w:t>F</w:t>
      </w:r>
      <w:r w:rsidR="00404069" w:rsidRPr="00EE51A7">
        <w:rPr>
          <w:rFonts w:ascii="Times New Roman" w:hAnsi="Times New Roman" w:cs="Times New Roman"/>
          <w:sz w:val="20"/>
          <w:szCs w:val="20"/>
        </w:rPr>
        <w:t xml:space="preserve">or legacy requirement, </w:t>
      </w:r>
      <w:r w:rsidR="00231A38" w:rsidRPr="001C4DD7">
        <w:rPr>
          <w:rFonts w:ascii="Times New Roman" w:hAnsi="Times New Roman" w:cs="Times New Roman"/>
          <w:sz w:val="20"/>
          <w:szCs w:val="20"/>
        </w:rPr>
        <w:t>when the SSB for L1-RSRP measurement on one CC is in the same OFDM symbol as CSI-RS for RLM, BFD, CBD or L1-RSRP measurement on the same CC or different CCs in the same band, UE is required to measure one of but not both SSB for L1-RSRP measurement and CSI-RS.</w:t>
      </w:r>
      <w:r w:rsidR="001E47C2" w:rsidRPr="00EE51A7">
        <w:rPr>
          <w:rFonts w:ascii="Times New Roman" w:hAnsi="Times New Roman" w:cs="Times New Roman"/>
          <w:sz w:val="20"/>
          <w:szCs w:val="20"/>
        </w:rPr>
        <w:t xml:space="preserve"> </w:t>
      </w:r>
      <w:r w:rsidR="006F2917">
        <w:rPr>
          <w:rFonts w:ascii="Times New Roman" w:hAnsi="Times New Roman" w:cs="Times New Roman"/>
          <w:sz w:val="20"/>
          <w:szCs w:val="20"/>
        </w:rPr>
        <w:t>Longer delay is expected. Therefore, w</w:t>
      </w:r>
      <w:r w:rsidR="00AA7369" w:rsidRPr="00EE51A7">
        <w:rPr>
          <w:rFonts w:ascii="Times New Roman" w:hAnsi="Times New Roman" w:cs="Times New Roman"/>
          <w:sz w:val="20"/>
          <w:szCs w:val="20"/>
        </w:rPr>
        <w:t xml:space="preserve">hen the SSB for </w:t>
      </w:r>
      <w:r w:rsidR="00394489" w:rsidRPr="001C4DD7">
        <w:rPr>
          <w:rFonts w:ascii="Times New Roman" w:hAnsi="Times New Roman" w:cs="Times New Roman"/>
          <w:sz w:val="20"/>
          <w:szCs w:val="20"/>
        </w:rPr>
        <w:t xml:space="preserve">non-serving </w:t>
      </w:r>
      <w:r w:rsidR="005A4F00" w:rsidRPr="001C4DD7">
        <w:rPr>
          <w:rFonts w:ascii="Times New Roman" w:hAnsi="Times New Roman" w:cs="Times New Roman"/>
          <w:sz w:val="20"/>
          <w:szCs w:val="20"/>
        </w:rPr>
        <w:t xml:space="preserve">cell </w:t>
      </w:r>
      <w:r w:rsidR="00AA7369" w:rsidRPr="00EE51A7">
        <w:rPr>
          <w:rFonts w:ascii="Times New Roman" w:hAnsi="Times New Roman" w:cs="Times New Roman"/>
          <w:sz w:val="20"/>
          <w:szCs w:val="20"/>
        </w:rPr>
        <w:t>L1-RSRP measurement is in the same OFDM symbol as CSI-RS for RLM, BFD, CBD or L1-RSRP measurement</w:t>
      </w:r>
      <w:r w:rsidR="009401F0" w:rsidRPr="00EE51A7">
        <w:rPr>
          <w:rFonts w:ascii="Times New Roman" w:hAnsi="Times New Roman" w:cs="Times New Roman"/>
          <w:sz w:val="20"/>
          <w:szCs w:val="20"/>
        </w:rPr>
        <w:t xml:space="preserve"> of serving cell</w:t>
      </w:r>
      <w:r w:rsidR="001E47C2" w:rsidRPr="00EE51A7">
        <w:rPr>
          <w:rFonts w:ascii="Times New Roman" w:hAnsi="Times New Roman" w:cs="Times New Roman"/>
          <w:sz w:val="20"/>
          <w:szCs w:val="20"/>
        </w:rPr>
        <w:t>,</w:t>
      </w:r>
      <w:r w:rsidR="009401F0" w:rsidRPr="00EE51A7">
        <w:rPr>
          <w:rFonts w:ascii="Times New Roman" w:hAnsi="Times New Roman" w:cs="Times New Roman"/>
          <w:sz w:val="20"/>
          <w:szCs w:val="20"/>
        </w:rPr>
        <w:t xml:space="preserve"> </w:t>
      </w:r>
      <w:r w:rsidR="006F2917">
        <w:rPr>
          <w:rFonts w:ascii="Times New Roman" w:hAnsi="Times New Roman" w:cs="Times New Roman"/>
          <w:sz w:val="20"/>
          <w:szCs w:val="20"/>
        </w:rPr>
        <w:t>no requirement will be defined either</w:t>
      </w:r>
      <w:r w:rsidR="00BA514F">
        <w:rPr>
          <w:rFonts w:ascii="Times New Roman" w:hAnsi="Times New Roman" w:cs="Times New Roman"/>
          <w:sz w:val="20"/>
          <w:szCs w:val="20"/>
        </w:rPr>
        <w:t>.</w:t>
      </w:r>
    </w:p>
    <w:p w14:paraId="6FA3568A" w14:textId="683BE823" w:rsidR="00DC6FF6" w:rsidRPr="00EE51A7" w:rsidRDefault="00DC6FF6" w:rsidP="00382F24">
      <w:pPr>
        <w:pStyle w:val="ListParagraph"/>
        <w:widowControl/>
        <w:contextualSpacing w:val="0"/>
        <w:jc w:val="left"/>
        <w:rPr>
          <w:rFonts w:ascii="Times New Roman" w:hAnsi="Times New Roman" w:cs="Times New Roman"/>
          <w:sz w:val="20"/>
          <w:szCs w:val="20"/>
        </w:rPr>
      </w:pPr>
    </w:p>
    <w:p w14:paraId="0E831FE0" w14:textId="77777777" w:rsidR="00550796" w:rsidRPr="00EE51A7" w:rsidRDefault="00580FAF" w:rsidP="00580FAF">
      <w:pPr>
        <w:pStyle w:val="ListParagraph"/>
        <w:widowControl/>
        <w:numPr>
          <w:ilvl w:val="0"/>
          <w:numId w:val="35"/>
        </w:numPr>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Scheduling restriction. </w:t>
      </w:r>
    </w:p>
    <w:p w14:paraId="600841FF" w14:textId="28D25373" w:rsidR="00580FAF" w:rsidRPr="00EE51A7" w:rsidRDefault="00580FAF" w:rsidP="00550796">
      <w:pPr>
        <w:pStyle w:val="ListParagraph"/>
        <w:widowControl/>
        <w:contextualSpacing w:val="0"/>
        <w:jc w:val="left"/>
        <w:rPr>
          <w:rFonts w:ascii="Times New Roman" w:hAnsi="Times New Roman" w:cs="Times New Roman"/>
          <w:sz w:val="20"/>
          <w:szCs w:val="20"/>
        </w:rPr>
      </w:pPr>
      <w:r w:rsidRPr="00EE51A7">
        <w:rPr>
          <w:rFonts w:ascii="Times New Roman" w:hAnsi="Times New Roman" w:cs="Times New Roman"/>
          <w:sz w:val="20"/>
          <w:szCs w:val="20"/>
        </w:rPr>
        <w:t xml:space="preserve">Re-use legacy </w:t>
      </w:r>
      <w:r w:rsidR="006C5F27">
        <w:rPr>
          <w:rFonts w:ascii="Times New Roman" w:hAnsi="Times New Roman" w:cs="Times New Roman"/>
          <w:sz w:val="20"/>
          <w:szCs w:val="20"/>
        </w:rPr>
        <w:t xml:space="preserve">intra-frequency </w:t>
      </w:r>
      <w:r w:rsidRPr="00EE51A7">
        <w:rPr>
          <w:rFonts w:ascii="Times New Roman" w:hAnsi="Times New Roman" w:cs="Times New Roman"/>
          <w:sz w:val="20"/>
          <w:szCs w:val="20"/>
        </w:rPr>
        <w:t>SSB based L3 measurement</w:t>
      </w:r>
      <w:r w:rsidR="00C06D2E">
        <w:rPr>
          <w:rFonts w:ascii="Times New Roman" w:hAnsi="Times New Roman" w:cs="Times New Roman"/>
          <w:sz w:val="20"/>
          <w:szCs w:val="20"/>
        </w:rPr>
        <w:t xml:space="preserve"> scheduling restriction</w:t>
      </w:r>
      <w:r w:rsidRPr="00EE51A7">
        <w:rPr>
          <w:rFonts w:ascii="Times New Roman" w:hAnsi="Times New Roman" w:cs="Times New Roman"/>
          <w:sz w:val="20"/>
          <w:szCs w:val="20"/>
        </w:rPr>
        <w:t>.</w:t>
      </w:r>
    </w:p>
    <w:p w14:paraId="03134615" w14:textId="77777777" w:rsidR="0023675F" w:rsidRDefault="0023675F" w:rsidP="0023675F">
      <w:pPr>
        <w:widowControl/>
        <w:jc w:val="left"/>
        <w:rPr>
          <w:rFonts w:ascii="Times New Roman" w:hAnsi="Times New Roman" w:cs="Times New Roman"/>
          <w:b/>
          <w:bCs/>
          <w:sz w:val="20"/>
          <w:szCs w:val="20"/>
        </w:rPr>
      </w:pPr>
    </w:p>
    <w:p w14:paraId="299F3488" w14:textId="2E02FF38" w:rsidR="0023675F" w:rsidRPr="00BA514F" w:rsidRDefault="0023675F" w:rsidP="0023675F">
      <w:pPr>
        <w:widowControl/>
        <w:jc w:val="left"/>
        <w:rPr>
          <w:rFonts w:ascii="Times New Roman" w:hAnsi="Times New Roman" w:cs="Times New Roman"/>
          <w:b/>
          <w:bCs/>
          <w:sz w:val="20"/>
          <w:szCs w:val="20"/>
        </w:rPr>
      </w:pPr>
      <w:r>
        <w:rPr>
          <w:rFonts w:ascii="Times New Roman" w:hAnsi="Times New Roman" w:cs="Times New Roman"/>
          <w:b/>
          <w:bCs/>
          <w:sz w:val="20"/>
          <w:szCs w:val="20"/>
        </w:rPr>
        <w:t xml:space="preserve">Proposal 6: </w:t>
      </w:r>
      <w:r w:rsidR="00066A69">
        <w:rPr>
          <w:rFonts w:ascii="Times New Roman" w:hAnsi="Times New Roman" w:cs="Times New Roman"/>
          <w:b/>
          <w:bCs/>
          <w:sz w:val="20"/>
          <w:szCs w:val="20"/>
        </w:rPr>
        <w:t>I</w:t>
      </w:r>
      <w:r>
        <w:rPr>
          <w:rFonts w:ascii="Times New Roman" w:hAnsi="Times New Roman" w:cs="Times New Roman"/>
          <w:b/>
          <w:bCs/>
          <w:sz w:val="20"/>
          <w:szCs w:val="20"/>
        </w:rPr>
        <w:t xml:space="preserve">f </w:t>
      </w:r>
      <w:r w:rsidRPr="002027AD">
        <w:rPr>
          <w:rFonts w:ascii="Times New Roman" w:hAnsi="Times New Roman" w:cs="Times New Roman"/>
          <w:b/>
          <w:bCs/>
          <w:sz w:val="20"/>
          <w:szCs w:val="20"/>
        </w:rPr>
        <w:t xml:space="preserve">non-serving </w:t>
      </w:r>
      <w:r>
        <w:rPr>
          <w:rFonts w:ascii="Times New Roman" w:hAnsi="Times New Roman" w:cs="Times New Roman"/>
          <w:b/>
          <w:bCs/>
          <w:sz w:val="20"/>
          <w:szCs w:val="20"/>
        </w:rPr>
        <w:t xml:space="preserve">cell L1-RSRP is configured in SMTC, </w:t>
      </w:r>
      <w:r w:rsidRPr="002027AD">
        <w:rPr>
          <w:rFonts w:ascii="Times New Roman" w:hAnsi="Times New Roman" w:cs="Times New Roman"/>
          <w:b/>
          <w:bCs/>
          <w:sz w:val="20"/>
          <w:szCs w:val="20"/>
        </w:rPr>
        <w:t xml:space="preserve">the SSB for </w:t>
      </w:r>
      <w:r>
        <w:rPr>
          <w:rFonts w:ascii="Times New Roman" w:hAnsi="Times New Roman" w:cs="Times New Roman"/>
          <w:b/>
          <w:bCs/>
          <w:sz w:val="20"/>
          <w:szCs w:val="20"/>
        </w:rPr>
        <w:t xml:space="preserve">non-serving cell </w:t>
      </w:r>
      <w:r w:rsidRPr="002027AD">
        <w:rPr>
          <w:rFonts w:ascii="Times New Roman" w:hAnsi="Times New Roman" w:cs="Times New Roman"/>
          <w:b/>
          <w:bCs/>
          <w:sz w:val="20"/>
          <w:szCs w:val="20"/>
        </w:rPr>
        <w:t xml:space="preserve">L1-RSRP measurement </w:t>
      </w:r>
      <w:r>
        <w:rPr>
          <w:rFonts w:ascii="Times New Roman" w:hAnsi="Times New Roman" w:cs="Times New Roman"/>
          <w:b/>
          <w:bCs/>
          <w:sz w:val="20"/>
          <w:szCs w:val="20"/>
        </w:rPr>
        <w:t>conflicts with other CSI-RS based serving cell L1</w:t>
      </w:r>
      <w:r w:rsidRPr="002027AD">
        <w:rPr>
          <w:rFonts w:ascii="Times New Roman" w:hAnsi="Times New Roman" w:cs="Times New Roman"/>
          <w:b/>
          <w:bCs/>
          <w:sz w:val="20"/>
          <w:szCs w:val="20"/>
        </w:rPr>
        <w:t xml:space="preserve"> </w:t>
      </w:r>
      <w:r>
        <w:rPr>
          <w:rFonts w:ascii="Times New Roman" w:hAnsi="Times New Roman" w:cs="Times New Roman"/>
          <w:b/>
          <w:bCs/>
          <w:sz w:val="20"/>
          <w:szCs w:val="20"/>
        </w:rPr>
        <w:t>measurement</w:t>
      </w:r>
      <w:r w:rsidRPr="002027AD">
        <w:rPr>
          <w:rFonts w:ascii="Times New Roman" w:hAnsi="Times New Roman" w:cs="Times New Roman"/>
          <w:b/>
          <w:bCs/>
          <w:sz w:val="20"/>
          <w:szCs w:val="20"/>
        </w:rPr>
        <w:t xml:space="preserve">, </w:t>
      </w:r>
      <w:r w:rsidRPr="00BA514F">
        <w:rPr>
          <w:rFonts w:ascii="Times New Roman" w:hAnsi="Times New Roman" w:cs="Times New Roman"/>
          <w:b/>
          <w:bCs/>
          <w:sz w:val="20"/>
          <w:szCs w:val="20"/>
        </w:rPr>
        <w:t>no requirement will be defined</w:t>
      </w:r>
      <w:r w:rsidRPr="002027AD">
        <w:rPr>
          <w:rFonts w:ascii="Times New Roman" w:hAnsi="Times New Roman" w:cs="Times New Roman"/>
          <w:b/>
          <w:bCs/>
          <w:sz w:val="20"/>
          <w:szCs w:val="20"/>
        </w:rPr>
        <w:t>.</w:t>
      </w:r>
    </w:p>
    <w:p w14:paraId="35CB19F8" w14:textId="77777777" w:rsidR="006D69E1" w:rsidRPr="0023675F" w:rsidRDefault="006D69E1" w:rsidP="0023675F">
      <w:pPr>
        <w:rPr>
          <w:rFonts w:ascii="Times New Roman" w:eastAsia="SimSun" w:hAnsi="Times New Roman" w:cs="Times New Roman"/>
          <w:sz w:val="20"/>
          <w:szCs w:val="20"/>
        </w:rPr>
      </w:pPr>
    </w:p>
    <w:p w14:paraId="16BDB995" w14:textId="12CCB29F" w:rsidR="006D69E1" w:rsidRPr="00EE51A7" w:rsidRDefault="006D69E1" w:rsidP="006D69E1">
      <w:pPr>
        <w:pStyle w:val="ListParagraph"/>
        <w:numPr>
          <w:ilvl w:val="0"/>
          <w:numId w:val="36"/>
        </w:numPr>
        <w:rPr>
          <w:rFonts w:ascii="Times New Roman" w:eastAsia="SimSun" w:hAnsi="Times New Roman" w:cs="Times New Roman"/>
          <w:sz w:val="20"/>
          <w:szCs w:val="20"/>
        </w:rPr>
      </w:pPr>
      <w:r w:rsidRPr="00EE51A7">
        <w:rPr>
          <w:rFonts w:ascii="Times New Roman" w:eastAsia="SimSun" w:hAnsi="Times New Roman" w:cs="Times New Roman"/>
          <w:sz w:val="20"/>
          <w:szCs w:val="20"/>
        </w:rPr>
        <w:t>L1-RSRP is outside the SMTC:</w:t>
      </w:r>
    </w:p>
    <w:p w14:paraId="0DCBC279" w14:textId="53CE4F49" w:rsidR="00720E98" w:rsidRDefault="00772AA6" w:rsidP="006C5F27">
      <w:pPr>
        <w:pStyle w:val="ListParagraph"/>
        <w:widowControl/>
        <w:contextualSpacing w:val="0"/>
        <w:jc w:val="left"/>
        <w:rPr>
          <w:rFonts w:ascii="Times New Roman" w:hAnsi="Times New Roman" w:cs="Times New Roman"/>
          <w:sz w:val="20"/>
          <w:szCs w:val="20"/>
        </w:rPr>
      </w:pPr>
      <w:r w:rsidRPr="006C5F27">
        <w:rPr>
          <w:rFonts w:ascii="Times New Roman" w:hAnsi="Times New Roman" w:cs="Times New Roman"/>
          <w:sz w:val="20"/>
          <w:szCs w:val="20"/>
        </w:rPr>
        <w:t xml:space="preserve">When </w:t>
      </w:r>
      <w:r w:rsidR="00421777">
        <w:rPr>
          <w:rFonts w:ascii="Times New Roman" w:hAnsi="Times New Roman" w:cs="Times New Roman"/>
          <w:sz w:val="20"/>
          <w:szCs w:val="20"/>
        </w:rPr>
        <w:t>t</w:t>
      </w:r>
      <w:r w:rsidR="00D21E6F" w:rsidRPr="006C5F27">
        <w:rPr>
          <w:rFonts w:ascii="Times New Roman" w:hAnsi="Times New Roman" w:cs="Times New Roman"/>
          <w:sz w:val="20"/>
          <w:szCs w:val="20"/>
        </w:rPr>
        <w:t xml:space="preserve">he </w:t>
      </w:r>
      <w:r w:rsidR="00D21E6F" w:rsidRPr="00EE51A7">
        <w:rPr>
          <w:rFonts w:ascii="Times New Roman" w:hAnsi="Times New Roman" w:cs="Times New Roman"/>
          <w:sz w:val="20"/>
          <w:szCs w:val="20"/>
        </w:rPr>
        <w:t xml:space="preserve">SSB resources used for </w:t>
      </w:r>
      <w:r w:rsidR="00D21E6F" w:rsidRPr="006C5F27">
        <w:rPr>
          <w:rFonts w:ascii="Times New Roman" w:hAnsi="Times New Roman" w:cs="Times New Roman"/>
          <w:sz w:val="20"/>
          <w:szCs w:val="20"/>
        </w:rPr>
        <w:t>L1-RSRP measurements of non-serving cell is outside SMTC window</w:t>
      </w:r>
      <w:r w:rsidRPr="006C5F27">
        <w:rPr>
          <w:rFonts w:ascii="Times New Roman" w:hAnsi="Times New Roman" w:cs="Times New Roman"/>
          <w:sz w:val="20"/>
          <w:szCs w:val="20"/>
        </w:rPr>
        <w:t>,</w:t>
      </w:r>
      <w:r w:rsidR="00A34564" w:rsidRPr="006C5F27">
        <w:rPr>
          <w:rFonts w:ascii="Times New Roman" w:hAnsi="Times New Roman" w:cs="Times New Roman"/>
          <w:sz w:val="20"/>
          <w:szCs w:val="20"/>
        </w:rPr>
        <w:t xml:space="preserve"> </w:t>
      </w:r>
      <w:r w:rsidR="00720E98" w:rsidRPr="006C5F27">
        <w:rPr>
          <w:rFonts w:ascii="Times New Roman" w:hAnsi="Times New Roman" w:cs="Times New Roman"/>
          <w:sz w:val="20"/>
          <w:szCs w:val="20"/>
        </w:rPr>
        <w:t>UE would need to perform additional cell identification</w:t>
      </w:r>
      <w:r w:rsidRPr="006C5F27">
        <w:rPr>
          <w:rFonts w:ascii="Times New Roman" w:hAnsi="Times New Roman" w:cs="Times New Roman"/>
          <w:sz w:val="20"/>
          <w:szCs w:val="20"/>
        </w:rPr>
        <w:t>.</w:t>
      </w:r>
      <w:r w:rsidR="00381CB5" w:rsidRPr="006C5F27">
        <w:rPr>
          <w:rFonts w:ascii="Times New Roman" w:hAnsi="Times New Roman" w:cs="Times New Roman"/>
          <w:sz w:val="20"/>
          <w:szCs w:val="20"/>
        </w:rPr>
        <w:t xml:space="preserve"> </w:t>
      </w:r>
      <w:r w:rsidR="00421777">
        <w:rPr>
          <w:rFonts w:ascii="Times New Roman" w:hAnsi="Times New Roman" w:cs="Times New Roman"/>
          <w:sz w:val="20"/>
          <w:szCs w:val="20"/>
        </w:rPr>
        <w:t>Besides, c</w:t>
      </w:r>
      <w:r w:rsidR="00381CB5" w:rsidRPr="006C5F27">
        <w:rPr>
          <w:rFonts w:ascii="Times New Roman" w:hAnsi="Times New Roman" w:cs="Times New Roman"/>
          <w:sz w:val="20"/>
          <w:szCs w:val="20"/>
        </w:rPr>
        <w:t xml:space="preserve">onfliction between </w:t>
      </w:r>
      <w:r w:rsidR="00394489" w:rsidRPr="006C5F27">
        <w:rPr>
          <w:rFonts w:ascii="Times New Roman" w:hAnsi="Times New Roman" w:cs="Times New Roman"/>
          <w:sz w:val="20"/>
          <w:szCs w:val="20"/>
        </w:rPr>
        <w:t>non-serving</w:t>
      </w:r>
      <w:r w:rsidR="00421777">
        <w:rPr>
          <w:rFonts w:ascii="Times New Roman" w:hAnsi="Times New Roman" w:cs="Times New Roman"/>
          <w:sz w:val="20"/>
          <w:szCs w:val="20"/>
        </w:rPr>
        <w:t xml:space="preserve"> cell</w:t>
      </w:r>
      <w:r w:rsidR="00394489" w:rsidRPr="006C5F27">
        <w:rPr>
          <w:rFonts w:ascii="Times New Roman" w:hAnsi="Times New Roman" w:cs="Times New Roman"/>
          <w:sz w:val="20"/>
          <w:szCs w:val="20"/>
        </w:rPr>
        <w:t xml:space="preserve"> </w:t>
      </w:r>
      <w:r w:rsidR="00651F17" w:rsidRPr="006C5F27">
        <w:rPr>
          <w:rFonts w:ascii="Times New Roman" w:hAnsi="Times New Roman" w:cs="Times New Roman"/>
          <w:sz w:val="20"/>
          <w:szCs w:val="20"/>
        </w:rPr>
        <w:t xml:space="preserve">L1-RSRP, </w:t>
      </w:r>
      <w:r w:rsidR="008C7161">
        <w:rPr>
          <w:rFonts w:ascii="Times New Roman" w:hAnsi="Times New Roman" w:cs="Times New Roman"/>
          <w:sz w:val="20"/>
          <w:szCs w:val="20"/>
        </w:rPr>
        <w:t xml:space="preserve">SMTC, </w:t>
      </w:r>
      <w:r w:rsidR="00651F17" w:rsidRPr="006C5F27">
        <w:rPr>
          <w:rFonts w:ascii="Times New Roman" w:hAnsi="Times New Roman" w:cs="Times New Roman"/>
          <w:sz w:val="20"/>
          <w:szCs w:val="20"/>
        </w:rPr>
        <w:t>measurement gap and serving cell</w:t>
      </w:r>
      <w:r w:rsidR="00720E98" w:rsidRPr="006C5F27">
        <w:rPr>
          <w:rFonts w:ascii="Times New Roman" w:hAnsi="Times New Roman" w:cs="Times New Roman"/>
          <w:sz w:val="20"/>
          <w:szCs w:val="20"/>
        </w:rPr>
        <w:t xml:space="preserve"> </w:t>
      </w:r>
      <w:r w:rsidR="00651F17" w:rsidRPr="006C5F27">
        <w:rPr>
          <w:rFonts w:ascii="Times New Roman" w:hAnsi="Times New Roman" w:cs="Times New Roman"/>
          <w:sz w:val="20"/>
          <w:szCs w:val="20"/>
        </w:rPr>
        <w:t xml:space="preserve">L1-RSRP </w:t>
      </w:r>
      <w:r w:rsidR="00142E14" w:rsidRPr="006C5F27">
        <w:rPr>
          <w:rFonts w:ascii="Times New Roman" w:hAnsi="Times New Roman" w:cs="Times New Roman"/>
          <w:sz w:val="20"/>
          <w:szCs w:val="20"/>
        </w:rPr>
        <w:t>are</w:t>
      </w:r>
      <w:r w:rsidR="002C4829" w:rsidRPr="006C5F27">
        <w:rPr>
          <w:rFonts w:ascii="Times New Roman" w:hAnsi="Times New Roman" w:cs="Times New Roman"/>
          <w:sz w:val="20"/>
          <w:szCs w:val="20"/>
        </w:rPr>
        <w:t xml:space="preserve"> also needed to be considered.</w:t>
      </w:r>
      <w:r w:rsidR="007D617D">
        <w:rPr>
          <w:rFonts w:ascii="Times New Roman" w:hAnsi="Times New Roman" w:cs="Times New Roman"/>
          <w:sz w:val="20"/>
          <w:szCs w:val="20"/>
        </w:rPr>
        <w:t xml:space="preserve"> </w:t>
      </w:r>
      <w:r w:rsidR="007D6B87">
        <w:rPr>
          <w:rFonts w:ascii="Times New Roman" w:hAnsi="Times New Roman" w:cs="Times New Roman"/>
          <w:sz w:val="20"/>
          <w:szCs w:val="20"/>
        </w:rPr>
        <w:t xml:space="preserve">the measurement period and restriction </w:t>
      </w:r>
      <w:r w:rsidR="003064DF">
        <w:rPr>
          <w:rFonts w:ascii="Times New Roman" w:hAnsi="Times New Roman" w:cs="Times New Roman"/>
          <w:sz w:val="20"/>
          <w:szCs w:val="20"/>
        </w:rPr>
        <w:t xml:space="preserve">requirement </w:t>
      </w:r>
      <w:r w:rsidR="007D6B87">
        <w:rPr>
          <w:rFonts w:ascii="Times New Roman" w:hAnsi="Times New Roman" w:cs="Times New Roman"/>
          <w:sz w:val="20"/>
          <w:szCs w:val="20"/>
        </w:rPr>
        <w:t>are more complex.</w:t>
      </w:r>
    </w:p>
    <w:p w14:paraId="62808E1E" w14:textId="77777777" w:rsidR="00DD1E1C" w:rsidRDefault="00DD1E1C" w:rsidP="000C40BA">
      <w:pPr>
        <w:widowControl/>
        <w:jc w:val="left"/>
        <w:rPr>
          <w:rFonts w:ascii="Times New Roman" w:hAnsi="Times New Roman" w:cs="Times New Roman"/>
          <w:b/>
          <w:bCs/>
          <w:sz w:val="20"/>
          <w:szCs w:val="20"/>
        </w:rPr>
      </w:pPr>
    </w:p>
    <w:p w14:paraId="1252965C" w14:textId="42B33726" w:rsidR="00DD34E8" w:rsidRPr="00DD34E8" w:rsidRDefault="00DD1E1C" w:rsidP="000C40BA">
      <w:pPr>
        <w:widowControl/>
        <w:jc w:val="left"/>
        <w:rPr>
          <w:rFonts w:ascii="Times New Roman" w:hAnsi="Times New Roman" w:cs="Times New Roman"/>
          <w:b/>
          <w:bCs/>
          <w:sz w:val="20"/>
          <w:szCs w:val="20"/>
        </w:rPr>
      </w:pPr>
      <w:r w:rsidRPr="00DD34E8">
        <w:rPr>
          <w:rFonts w:ascii="Times New Roman" w:hAnsi="Times New Roman" w:cs="Times New Roman"/>
          <w:b/>
          <w:bCs/>
          <w:sz w:val="20"/>
          <w:szCs w:val="20"/>
        </w:rPr>
        <w:t>Proposal 7: If non-serving cell L1-RSRP is configured without SMTC, UE would need to perform additional cell identification.</w:t>
      </w:r>
    </w:p>
    <w:p w14:paraId="6DC1C7DF" w14:textId="0FA088F3" w:rsidR="001D4BBF" w:rsidRPr="0009651A" w:rsidRDefault="00464AD1" w:rsidP="001D4BBF">
      <w:pPr>
        <w:keepNext/>
        <w:keepLines/>
        <w:widowControl/>
        <w:pBdr>
          <w:top w:val="single" w:sz="12" w:space="3" w:color="auto"/>
        </w:pBdr>
        <w:tabs>
          <w:tab w:val="left" w:pos="6622"/>
        </w:tabs>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09651A">
        <w:rPr>
          <w:rFonts w:ascii="Times New Roman" w:eastAsia="SimSun" w:hAnsi="Times New Roman" w:cs="Times New Roman"/>
          <w:kern w:val="0"/>
          <w:sz w:val="36"/>
          <w:szCs w:val="20"/>
          <w:lang w:val="en-GB"/>
        </w:rPr>
        <w:t xml:space="preserve">4 </w:t>
      </w:r>
      <w:r w:rsidR="008A5047" w:rsidRPr="0009651A">
        <w:rPr>
          <w:rFonts w:ascii="Times New Roman" w:eastAsia="SimSun" w:hAnsi="Times New Roman" w:cs="Times New Roman"/>
          <w:kern w:val="0"/>
          <w:sz w:val="36"/>
          <w:szCs w:val="20"/>
          <w:lang w:val="en-GB"/>
        </w:rPr>
        <w:t>Beam indication signaling medium</w:t>
      </w:r>
    </w:p>
    <w:p w14:paraId="2CCEC11B" w14:textId="4A9E8155" w:rsidR="006405AA" w:rsidRPr="00851CE5" w:rsidRDefault="006405AA" w:rsidP="006405AA">
      <w:pPr>
        <w:rPr>
          <w:rFonts w:ascii="Times New Roman" w:hAnsi="Times New Roman" w:cs="Times New Roman"/>
          <w:sz w:val="20"/>
          <w:szCs w:val="20"/>
        </w:rPr>
      </w:pPr>
      <w:r w:rsidRPr="00851CE5">
        <w:rPr>
          <w:rFonts w:ascii="Times New Roman" w:hAnsi="Times New Roman" w:cs="Times New Roman"/>
          <w:sz w:val="20"/>
          <w:szCs w:val="20"/>
        </w:rPr>
        <w:t>For beam indication, there is agreement from RAN1:</w:t>
      </w:r>
    </w:p>
    <w:tbl>
      <w:tblPr>
        <w:tblStyle w:val="TableGrid"/>
        <w:tblW w:w="0" w:type="auto"/>
        <w:tblInd w:w="720" w:type="dxa"/>
        <w:tblLook w:val="04A0" w:firstRow="1" w:lastRow="0" w:firstColumn="1" w:lastColumn="0" w:noHBand="0" w:noVBand="1"/>
      </w:tblPr>
      <w:tblGrid>
        <w:gridCol w:w="8908"/>
      </w:tblGrid>
      <w:tr w:rsidR="006405AA" w:rsidRPr="00851CE5" w14:paraId="16EC7918" w14:textId="77777777" w:rsidTr="004C1519">
        <w:tc>
          <w:tcPr>
            <w:tcW w:w="10790" w:type="dxa"/>
          </w:tcPr>
          <w:p w14:paraId="2E409343" w14:textId="77777777" w:rsidR="006405AA" w:rsidRPr="00851CE5" w:rsidRDefault="006405AA" w:rsidP="004C1519">
            <w:pPr>
              <w:rPr>
                <w:rFonts w:ascii="Times New Roman" w:hAnsi="Times New Roman" w:cs="Times New Roman"/>
                <w:b/>
                <w:sz w:val="20"/>
                <w:szCs w:val="20"/>
                <w:highlight w:val="green"/>
              </w:rPr>
            </w:pPr>
            <w:r w:rsidRPr="00851CE5">
              <w:rPr>
                <w:rFonts w:ascii="Times New Roman" w:hAnsi="Times New Roman" w:cs="Times New Roman"/>
                <w:b/>
                <w:bCs/>
                <w:sz w:val="20"/>
                <w:szCs w:val="20"/>
                <w:highlight w:val="green"/>
              </w:rPr>
              <w:t>Agreements from RAN1#105-e:</w:t>
            </w:r>
          </w:p>
          <w:p w14:paraId="170C07E0" w14:textId="77777777" w:rsidR="006405AA" w:rsidRPr="00851CE5" w:rsidRDefault="006405AA" w:rsidP="004C1519">
            <w:pPr>
              <w:snapToGrid w:val="0"/>
              <w:rPr>
                <w:rFonts w:ascii="Times New Roman" w:hAnsi="Times New Roman" w:cs="Times New Roman"/>
                <w:sz w:val="20"/>
                <w:szCs w:val="20"/>
              </w:rPr>
            </w:pPr>
          </w:p>
          <w:p w14:paraId="00FA1686" w14:textId="3F5E1302" w:rsidR="006405AA" w:rsidRPr="00851CE5" w:rsidRDefault="006405AA" w:rsidP="004C1519">
            <w:pPr>
              <w:snapToGrid w:val="0"/>
              <w:rPr>
                <w:rFonts w:ascii="Times New Roman" w:hAnsi="Times New Roman" w:cs="Times New Roman"/>
                <w:sz w:val="20"/>
                <w:szCs w:val="20"/>
              </w:rPr>
            </w:pPr>
            <w:r w:rsidRPr="00851CE5">
              <w:rPr>
                <w:rFonts w:ascii="Times New Roman" w:hAnsi="Times New Roman" w:cs="Times New Roman"/>
                <w:sz w:val="20"/>
                <w:szCs w:val="20"/>
                <w:highlight w:val="yellow"/>
              </w:rPr>
              <w:t xml:space="preserve">On Rel-17 DCI-based beam indication, regarding application time of the beam indication, the first slot that is at least X </w:t>
            </w:r>
            <w:proofErr w:type="spellStart"/>
            <w:r w:rsidRPr="00851CE5">
              <w:rPr>
                <w:rFonts w:ascii="Times New Roman" w:hAnsi="Times New Roman" w:cs="Times New Roman"/>
                <w:sz w:val="20"/>
                <w:szCs w:val="20"/>
                <w:highlight w:val="yellow"/>
              </w:rPr>
              <w:t>ms</w:t>
            </w:r>
            <w:proofErr w:type="spellEnd"/>
            <w:r w:rsidRPr="00851CE5">
              <w:rPr>
                <w:rFonts w:ascii="Times New Roman" w:hAnsi="Times New Roman" w:cs="Times New Roman"/>
                <w:sz w:val="20"/>
                <w:szCs w:val="20"/>
                <w:highlight w:val="yellow"/>
              </w:rPr>
              <w:t> or Y symbols after the last symbol of the acknowledgment of the joint or separate DL/UL beam indication</w:t>
            </w:r>
            <w:r w:rsidRPr="00851CE5">
              <w:rPr>
                <w:rFonts w:ascii="Times New Roman" w:hAnsi="Times New Roman" w:cs="Times New Roman"/>
                <w:sz w:val="20"/>
                <w:szCs w:val="20"/>
              </w:rPr>
              <w:t>.</w:t>
            </w:r>
          </w:p>
          <w:p w14:paraId="153EBB85" w14:textId="77777777" w:rsidR="006405AA" w:rsidRPr="00851CE5" w:rsidRDefault="006405AA" w:rsidP="006405AA">
            <w:pPr>
              <w:pStyle w:val="ListParagraph"/>
              <w:widowControl/>
              <w:numPr>
                <w:ilvl w:val="0"/>
                <w:numId w:val="28"/>
              </w:numPr>
              <w:snapToGrid w:val="0"/>
              <w:spacing w:before="120"/>
              <w:contextualSpacing w:val="0"/>
              <w:rPr>
                <w:rFonts w:ascii="Times New Roman" w:hAnsi="Times New Roman" w:cs="Times New Roman"/>
                <w:b/>
                <w:sz w:val="20"/>
                <w:szCs w:val="20"/>
                <w:u w:val="single"/>
              </w:rPr>
            </w:pPr>
            <w:r w:rsidRPr="00851CE5">
              <w:rPr>
                <w:rFonts w:ascii="Times New Roman" w:hAnsi="Times New Roman" w:cs="Times New Roman"/>
                <w:sz w:val="20"/>
                <w:szCs w:val="20"/>
              </w:rPr>
              <w:t>Note: The gap between the last symbol of the beam indication DCI and that first slot shall satisfy the UE capability</w:t>
            </w:r>
          </w:p>
          <w:p w14:paraId="22AC9092" w14:textId="77777777" w:rsidR="006405AA" w:rsidRPr="00851CE5" w:rsidRDefault="006405AA" w:rsidP="006405AA">
            <w:pPr>
              <w:pStyle w:val="ListParagraph"/>
              <w:widowControl/>
              <w:numPr>
                <w:ilvl w:val="0"/>
                <w:numId w:val="28"/>
              </w:numPr>
              <w:snapToGrid w:val="0"/>
              <w:spacing w:before="120"/>
              <w:contextualSpacing w:val="0"/>
              <w:rPr>
                <w:rFonts w:ascii="Times New Roman" w:hAnsi="Times New Roman" w:cs="Times New Roman"/>
                <w:b/>
                <w:sz w:val="20"/>
                <w:szCs w:val="20"/>
                <w:u w:val="single"/>
              </w:rPr>
            </w:pPr>
            <w:r w:rsidRPr="00851CE5">
              <w:rPr>
                <w:rFonts w:ascii="Times New Roman" w:hAnsi="Times New Roman" w:cs="Times New Roman"/>
                <w:bCs/>
                <w:sz w:val="20"/>
                <w:szCs w:val="20"/>
              </w:rPr>
              <w:t xml:space="preserve">FFS: </w:t>
            </w:r>
            <w:r w:rsidRPr="00851CE5">
              <w:rPr>
                <w:rFonts w:ascii="Times New Roman" w:hAnsi="Times New Roman" w:cs="Times New Roman"/>
                <w:sz w:val="20"/>
                <w:szCs w:val="20"/>
              </w:rPr>
              <w:t xml:space="preserve">Application time and </w:t>
            </w:r>
            <w:r w:rsidRPr="00851CE5">
              <w:rPr>
                <w:rFonts w:ascii="Times New Roman" w:hAnsi="Times New Roman" w:cs="Times New Roman"/>
                <w:bCs/>
                <w:sz w:val="20"/>
                <w:szCs w:val="20"/>
              </w:rPr>
              <w:t xml:space="preserve">whether additional offset is needed for the application time in case of cross carrier beam indication and </w:t>
            </w:r>
            <w:r w:rsidRPr="00851CE5">
              <w:rPr>
                <w:rFonts w:ascii="Times New Roman" w:hAnsi="Times New Roman" w:cs="Times New Roman"/>
                <w:sz w:val="20"/>
                <w:szCs w:val="20"/>
              </w:rPr>
              <w:t>common TCI state ID update across a set of configured CCs if CCs have different SCSs</w:t>
            </w:r>
            <w:r w:rsidRPr="00851CE5" w:rsidDel="00F356C9">
              <w:rPr>
                <w:rFonts w:ascii="Times New Roman" w:hAnsi="Times New Roman" w:cs="Times New Roman"/>
                <w:bCs/>
                <w:sz w:val="20"/>
                <w:szCs w:val="20"/>
              </w:rPr>
              <w:t xml:space="preserve"> </w:t>
            </w:r>
          </w:p>
          <w:p w14:paraId="5132F94F" w14:textId="77777777" w:rsidR="006405AA" w:rsidRPr="00851CE5" w:rsidRDefault="006405AA" w:rsidP="006405AA">
            <w:pPr>
              <w:pStyle w:val="ListParagraph"/>
              <w:widowControl/>
              <w:numPr>
                <w:ilvl w:val="0"/>
                <w:numId w:val="28"/>
              </w:numPr>
              <w:snapToGrid w:val="0"/>
              <w:spacing w:before="120"/>
              <w:contextualSpacing w:val="0"/>
              <w:rPr>
                <w:rFonts w:ascii="Times New Roman" w:hAnsi="Times New Roman" w:cs="Times New Roman"/>
                <w:b/>
                <w:sz w:val="20"/>
                <w:szCs w:val="20"/>
                <w:u w:val="single"/>
              </w:rPr>
            </w:pPr>
            <w:r w:rsidRPr="00851CE5">
              <w:rPr>
                <w:rFonts w:ascii="Times New Roman" w:hAnsi="Times New Roman" w:cs="Times New Roman"/>
                <w:bCs/>
                <w:sz w:val="20"/>
                <w:szCs w:val="20"/>
              </w:rPr>
              <w:t>FFS: Whether inter-cell beam switching needs higher X/Y values than intra-cell</w:t>
            </w:r>
          </w:p>
          <w:p w14:paraId="43B87850" w14:textId="63860372" w:rsidR="006405AA" w:rsidRPr="00851CE5" w:rsidRDefault="006405AA" w:rsidP="006405AA">
            <w:pPr>
              <w:pStyle w:val="ListParagraph"/>
              <w:widowControl/>
              <w:numPr>
                <w:ilvl w:val="0"/>
                <w:numId w:val="28"/>
              </w:numPr>
              <w:snapToGrid w:val="0"/>
              <w:spacing w:before="120"/>
              <w:contextualSpacing w:val="0"/>
              <w:rPr>
                <w:rFonts w:ascii="Times New Roman" w:hAnsi="Times New Roman" w:cs="Times New Roman"/>
                <w:sz w:val="20"/>
                <w:szCs w:val="20"/>
              </w:rPr>
            </w:pPr>
            <w:r w:rsidRPr="00851CE5">
              <w:rPr>
                <w:rFonts w:ascii="Times New Roman" w:hAnsi="Times New Roman" w:cs="Times New Roman"/>
                <w:bCs/>
                <w:sz w:val="20"/>
                <w:szCs w:val="20"/>
              </w:rPr>
              <w:t>FFS: Whether application time can be indicated/determined dynamically for different scenarios, e.g. cross CC, inter-cell, inter-panel without reverting previous RAN1 agreements.</w:t>
            </w:r>
          </w:p>
        </w:tc>
      </w:tr>
    </w:tbl>
    <w:p w14:paraId="08EE5401" w14:textId="77777777" w:rsidR="006405AA" w:rsidRPr="00851CE5" w:rsidRDefault="006405AA" w:rsidP="006405AA">
      <w:pPr>
        <w:pStyle w:val="ListParagraph"/>
        <w:rPr>
          <w:rFonts w:ascii="Times New Roman" w:hAnsi="Times New Roman" w:cs="Times New Roman"/>
          <w:sz w:val="20"/>
          <w:szCs w:val="20"/>
        </w:rPr>
      </w:pPr>
    </w:p>
    <w:p w14:paraId="3A196C60" w14:textId="522C894F" w:rsidR="006405AA" w:rsidRPr="00851CE5" w:rsidRDefault="006405AA" w:rsidP="006405AA">
      <w:pPr>
        <w:rPr>
          <w:rFonts w:ascii="Times New Roman" w:hAnsi="Times New Roman" w:cs="Times New Roman"/>
          <w:sz w:val="20"/>
          <w:szCs w:val="20"/>
        </w:rPr>
      </w:pPr>
      <w:r w:rsidRPr="00851CE5">
        <w:rPr>
          <w:rFonts w:ascii="Times New Roman" w:hAnsi="Times New Roman" w:cs="Times New Roman"/>
          <w:sz w:val="20"/>
          <w:szCs w:val="20"/>
        </w:rPr>
        <w:t>From the RAN</w:t>
      </w:r>
      <w:r w:rsidR="009C5FFF" w:rsidRPr="00851CE5">
        <w:rPr>
          <w:rFonts w:ascii="Times New Roman" w:hAnsi="Times New Roman" w:cs="Times New Roman"/>
          <w:sz w:val="20"/>
          <w:szCs w:val="20"/>
        </w:rPr>
        <w:t xml:space="preserve">1’s agreement, </w:t>
      </w:r>
      <w:r w:rsidRPr="00851CE5">
        <w:rPr>
          <w:rFonts w:ascii="Times New Roman" w:hAnsi="Times New Roman" w:cs="Times New Roman"/>
          <w:sz w:val="20"/>
          <w:szCs w:val="20"/>
        </w:rPr>
        <w:t>the action time should be after the transmission of ACK of the beam indication signal, which is similar to MAC CE based TCI update.</w:t>
      </w:r>
      <w:r w:rsidR="00B43D06" w:rsidRPr="00851CE5">
        <w:rPr>
          <w:rFonts w:ascii="Times New Roman" w:hAnsi="Times New Roman" w:cs="Times New Roman"/>
          <w:sz w:val="20"/>
          <w:szCs w:val="20"/>
        </w:rPr>
        <w:t xml:space="preserve"> Therefore, for </w:t>
      </w:r>
      <w:r w:rsidR="00DD07C8" w:rsidRPr="00851CE5">
        <w:rPr>
          <w:rFonts w:ascii="Times New Roman" w:hAnsi="Times New Roman" w:cs="Times New Roman"/>
          <w:sz w:val="20"/>
          <w:szCs w:val="20"/>
        </w:rPr>
        <w:t>DCI based beam indication, the delay requirement</w:t>
      </w:r>
      <w:r w:rsidR="0083007A" w:rsidRPr="00851CE5">
        <w:rPr>
          <w:rFonts w:ascii="Times New Roman" w:hAnsi="Times New Roman" w:cs="Times New Roman"/>
          <w:sz w:val="20"/>
          <w:szCs w:val="20"/>
        </w:rPr>
        <w:t xml:space="preserve"> </w:t>
      </w:r>
      <w:r w:rsidR="00073AF5" w:rsidRPr="00851CE5">
        <w:rPr>
          <w:rFonts w:ascii="Times New Roman" w:hAnsi="Times New Roman" w:cs="Times New Roman"/>
          <w:sz w:val="20"/>
          <w:szCs w:val="20"/>
        </w:rPr>
        <w:t xml:space="preserve">needs </w:t>
      </w:r>
      <w:r w:rsidR="005630EC" w:rsidRPr="00851CE5">
        <w:rPr>
          <w:rFonts w:ascii="Times New Roman" w:hAnsi="Times New Roman" w:cs="Times New Roman"/>
          <w:sz w:val="20"/>
          <w:szCs w:val="20"/>
        </w:rPr>
        <w:t>update.</w:t>
      </w:r>
    </w:p>
    <w:p w14:paraId="7388AAD8" w14:textId="77777777" w:rsidR="00B43D06" w:rsidRPr="00851CE5" w:rsidRDefault="00B43D06" w:rsidP="006405AA">
      <w:pPr>
        <w:rPr>
          <w:rFonts w:ascii="Times New Roman" w:hAnsi="Times New Roman" w:cs="Times New Roman"/>
          <w:sz w:val="20"/>
          <w:szCs w:val="20"/>
        </w:rPr>
      </w:pPr>
    </w:p>
    <w:p w14:paraId="08227266" w14:textId="2CF43702" w:rsidR="005630EC" w:rsidRPr="00851CE5" w:rsidRDefault="005630EC" w:rsidP="005630EC">
      <w:pPr>
        <w:rPr>
          <w:rFonts w:ascii="Times New Roman" w:hAnsi="Times New Roman" w:cs="Times New Roman"/>
          <w:b/>
          <w:bCs/>
          <w:sz w:val="20"/>
          <w:szCs w:val="20"/>
        </w:rPr>
      </w:pPr>
      <w:r w:rsidRPr="00851CE5">
        <w:rPr>
          <w:rFonts w:ascii="Times New Roman" w:hAnsi="Times New Roman" w:cs="Times New Roman"/>
          <w:b/>
          <w:bCs/>
          <w:sz w:val="20"/>
          <w:szCs w:val="20"/>
        </w:rPr>
        <w:t xml:space="preserve">Proposal </w:t>
      </w:r>
      <w:r w:rsidR="00530EC3">
        <w:rPr>
          <w:rFonts w:ascii="Times New Roman" w:hAnsi="Times New Roman" w:cs="Times New Roman"/>
          <w:b/>
          <w:bCs/>
          <w:sz w:val="20"/>
          <w:szCs w:val="20"/>
        </w:rPr>
        <w:t>8</w:t>
      </w:r>
      <w:r w:rsidRPr="00851CE5">
        <w:rPr>
          <w:rFonts w:ascii="Times New Roman" w:hAnsi="Times New Roman" w:cs="Times New Roman"/>
          <w:b/>
          <w:bCs/>
          <w:sz w:val="20"/>
          <w:szCs w:val="20"/>
        </w:rPr>
        <w:t xml:space="preserve">: </w:t>
      </w:r>
      <w:r w:rsidR="00530EC3">
        <w:rPr>
          <w:rFonts w:ascii="Times New Roman" w:hAnsi="Times New Roman" w:cs="Times New Roman"/>
          <w:b/>
          <w:bCs/>
          <w:sz w:val="20"/>
          <w:szCs w:val="20"/>
        </w:rPr>
        <w:t>F</w:t>
      </w:r>
      <w:r w:rsidRPr="00851CE5">
        <w:rPr>
          <w:rFonts w:ascii="Times New Roman" w:hAnsi="Times New Roman" w:cs="Times New Roman"/>
          <w:b/>
          <w:bCs/>
          <w:sz w:val="20"/>
          <w:szCs w:val="20"/>
        </w:rPr>
        <w:t xml:space="preserve">or DCI based beam indication, the delay requirement needs </w:t>
      </w:r>
      <w:r w:rsidR="00B230BE" w:rsidRPr="00851CE5">
        <w:rPr>
          <w:rFonts w:ascii="Times New Roman" w:hAnsi="Times New Roman" w:cs="Times New Roman"/>
          <w:b/>
          <w:bCs/>
          <w:sz w:val="20"/>
          <w:szCs w:val="20"/>
        </w:rPr>
        <w:t>update</w:t>
      </w:r>
      <w:r w:rsidR="00DD7201" w:rsidRPr="00851CE5">
        <w:rPr>
          <w:rFonts w:ascii="Times New Roman" w:hAnsi="Times New Roman" w:cs="Times New Roman"/>
          <w:b/>
          <w:bCs/>
          <w:sz w:val="20"/>
          <w:szCs w:val="20"/>
        </w:rPr>
        <w:t xml:space="preserve"> by </w:t>
      </w:r>
      <w:r w:rsidR="00AF24D5">
        <w:rPr>
          <w:rFonts w:ascii="Times New Roman" w:hAnsi="Times New Roman" w:cs="Times New Roman"/>
          <w:b/>
          <w:bCs/>
          <w:sz w:val="20"/>
          <w:szCs w:val="20"/>
        </w:rPr>
        <w:t xml:space="preserve">referring to RAN1 requirement where </w:t>
      </w:r>
      <w:r w:rsidR="00DD7201" w:rsidRPr="00851CE5">
        <w:rPr>
          <w:rFonts w:ascii="Times New Roman" w:hAnsi="Times New Roman" w:cs="Times New Roman"/>
          <w:b/>
          <w:bCs/>
          <w:sz w:val="20"/>
          <w:szCs w:val="20"/>
        </w:rPr>
        <w:t>transmission of ACK</w:t>
      </w:r>
      <w:r w:rsidR="00AF24D5">
        <w:rPr>
          <w:rFonts w:ascii="Times New Roman" w:hAnsi="Times New Roman" w:cs="Times New Roman"/>
          <w:b/>
          <w:bCs/>
          <w:sz w:val="20"/>
          <w:szCs w:val="20"/>
        </w:rPr>
        <w:t xml:space="preserve"> is considered</w:t>
      </w:r>
      <w:r w:rsidRPr="00851CE5">
        <w:rPr>
          <w:rFonts w:ascii="Times New Roman" w:hAnsi="Times New Roman" w:cs="Times New Roman"/>
          <w:b/>
          <w:bCs/>
          <w:sz w:val="20"/>
          <w:szCs w:val="20"/>
        </w:rPr>
        <w:t xml:space="preserve"> .</w:t>
      </w:r>
    </w:p>
    <w:p w14:paraId="3006F529" w14:textId="65700368" w:rsidR="00F268F5" w:rsidRPr="0009651A" w:rsidRDefault="00B503CB" w:rsidP="00BF4444">
      <w:pPr>
        <w:keepNext/>
        <w:keepLines/>
        <w:widowControl/>
        <w:pBdr>
          <w:top w:val="single" w:sz="12" w:space="3" w:color="auto"/>
        </w:pBdr>
        <w:tabs>
          <w:tab w:val="left" w:pos="6622"/>
        </w:tabs>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09651A">
        <w:rPr>
          <w:rFonts w:ascii="Times New Roman" w:eastAsia="SimSun" w:hAnsi="Times New Roman" w:cs="Times New Roman"/>
          <w:kern w:val="0"/>
          <w:sz w:val="36"/>
          <w:szCs w:val="20"/>
          <w:lang w:val="en-GB"/>
        </w:rPr>
        <w:lastRenderedPageBreak/>
        <w:t>5</w:t>
      </w:r>
      <w:r w:rsidR="00C308A6" w:rsidRPr="0009651A">
        <w:rPr>
          <w:rFonts w:ascii="Times New Roman" w:eastAsia="SimSun" w:hAnsi="Times New Roman" w:cs="Times New Roman"/>
          <w:kern w:val="0"/>
          <w:sz w:val="36"/>
          <w:szCs w:val="20"/>
          <w:lang w:val="en-GB"/>
        </w:rPr>
        <w:t xml:space="preserve"> Conclusion</w:t>
      </w:r>
      <w:r w:rsidR="00BF4444" w:rsidRPr="0009651A">
        <w:rPr>
          <w:rFonts w:ascii="Times New Roman" w:eastAsia="SimSun" w:hAnsi="Times New Roman" w:cs="Times New Roman"/>
          <w:kern w:val="0"/>
          <w:sz w:val="36"/>
          <w:szCs w:val="20"/>
          <w:lang w:val="en-GB"/>
        </w:rPr>
        <w:tab/>
        <w:t xml:space="preserve"> </w:t>
      </w:r>
    </w:p>
    <w:p w14:paraId="2FDF0F46" w14:textId="2C7D4AD7" w:rsidR="00AA7AD0" w:rsidRDefault="00AA7AD0" w:rsidP="00AA7AD0">
      <w:pPr>
        <w:widowControl/>
        <w:spacing w:after="240"/>
        <w:jc w:val="left"/>
        <w:rPr>
          <w:rFonts w:ascii="Times New Roman" w:hAnsi="Times New Roman" w:cs="Times New Roman"/>
          <w:bCs/>
          <w:sz w:val="20"/>
          <w:szCs w:val="20"/>
        </w:rPr>
      </w:pPr>
      <w:r w:rsidRPr="0009651A">
        <w:rPr>
          <w:rFonts w:ascii="Times New Roman" w:hAnsi="Times New Roman" w:cs="Times New Roman"/>
          <w:bCs/>
          <w:sz w:val="20"/>
          <w:szCs w:val="20"/>
        </w:rPr>
        <w:t xml:space="preserve">In this contribution, we provide our views </w:t>
      </w:r>
      <w:r w:rsidR="00524E01" w:rsidRPr="0009651A">
        <w:rPr>
          <w:rFonts w:ascii="Times New Roman" w:hAnsi="Times New Roman" w:cs="Times New Roman"/>
          <w:bCs/>
          <w:sz w:val="20"/>
          <w:szCs w:val="20"/>
        </w:rPr>
        <w:t xml:space="preserve">regarding </w:t>
      </w:r>
      <w:r w:rsidR="003D4273">
        <w:rPr>
          <w:rFonts w:ascii="Times New Roman" w:hAnsi="Times New Roman" w:cs="Times New Roman"/>
          <w:bCs/>
          <w:sz w:val="20"/>
          <w:szCs w:val="20"/>
        </w:rPr>
        <w:t>RRM enhancement for multi-beam enhancement</w:t>
      </w:r>
      <w:r w:rsidR="00FC5FC7" w:rsidRPr="0009651A">
        <w:rPr>
          <w:rFonts w:ascii="Times New Roman" w:hAnsi="Times New Roman" w:cs="Times New Roman"/>
          <w:bCs/>
          <w:sz w:val="20"/>
          <w:szCs w:val="20"/>
        </w:rPr>
        <w:t>:</w:t>
      </w:r>
      <w:r w:rsidR="00524E01" w:rsidRPr="0009651A">
        <w:rPr>
          <w:rFonts w:ascii="Times New Roman" w:hAnsi="Times New Roman" w:cs="Times New Roman"/>
          <w:bCs/>
          <w:sz w:val="20"/>
          <w:szCs w:val="20"/>
        </w:rPr>
        <w:t xml:space="preserve"> </w:t>
      </w:r>
    </w:p>
    <w:p w14:paraId="471B568C" w14:textId="77777777" w:rsidR="000E73E4" w:rsidRPr="0074046B" w:rsidRDefault="000E73E4" w:rsidP="000E73E4">
      <w:pPr>
        <w:pStyle w:val="NoSpacing"/>
        <w:spacing w:after="120"/>
        <w:rPr>
          <w:rFonts w:ascii="Times New Roman" w:hAnsi="Times New Roman" w:cs="Times New Roman"/>
          <w:b/>
          <w:bCs/>
          <w:sz w:val="20"/>
          <w:szCs w:val="20"/>
          <w:lang w:val="en-GB"/>
        </w:rPr>
      </w:pPr>
      <w:r w:rsidRPr="0074046B">
        <w:rPr>
          <w:rFonts w:ascii="Times New Roman" w:hAnsi="Times New Roman" w:cs="Times New Roman"/>
          <w:b/>
          <w:bCs/>
          <w:sz w:val="20"/>
          <w:szCs w:val="20"/>
          <w:lang w:val="en-GB"/>
        </w:rPr>
        <w:t xml:space="preserve">Observation 1: New UL TCI concept will replace uplink </w:t>
      </w:r>
      <w:proofErr w:type="spellStart"/>
      <w:r w:rsidRPr="0074046B">
        <w:rPr>
          <w:rFonts w:ascii="Times New Roman" w:hAnsi="Times New Roman" w:cs="Times New Roman"/>
          <w:b/>
          <w:bCs/>
          <w:sz w:val="20"/>
          <w:szCs w:val="20"/>
          <w:lang w:val="en-GB"/>
        </w:rPr>
        <w:t>spatialRelationInfo</w:t>
      </w:r>
      <w:proofErr w:type="spellEnd"/>
      <w:r w:rsidRPr="0074046B">
        <w:rPr>
          <w:rFonts w:ascii="Times New Roman" w:hAnsi="Times New Roman" w:cs="Times New Roman"/>
          <w:b/>
          <w:bCs/>
          <w:sz w:val="20"/>
          <w:szCs w:val="20"/>
          <w:lang w:val="en-GB"/>
        </w:rPr>
        <w:t>, a source reference signal in the UL TCI will provide a reference for determining UL TX spatial filter.</w:t>
      </w:r>
    </w:p>
    <w:p w14:paraId="6A5DA82D" w14:textId="77777777" w:rsidR="000E73E4" w:rsidRPr="0074046B" w:rsidRDefault="000E73E4" w:rsidP="00510CD5">
      <w:pPr>
        <w:pStyle w:val="NoSpacing"/>
        <w:spacing w:after="120"/>
        <w:rPr>
          <w:rFonts w:ascii="Times New Roman" w:hAnsi="Times New Roman" w:cs="Times New Roman"/>
          <w:b/>
          <w:bCs/>
          <w:sz w:val="20"/>
          <w:szCs w:val="20"/>
          <w:lang w:val="en-GB"/>
        </w:rPr>
      </w:pPr>
      <w:r w:rsidRPr="0074046B">
        <w:rPr>
          <w:rFonts w:ascii="Times New Roman" w:hAnsi="Times New Roman" w:cs="Times New Roman"/>
          <w:b/>
          <w:bCs/>
          <w:sz w:val="20"/>
          <w:szCs w:val="20"/>
          <w:lang w:val="en-GB"/>
        </w:rPr>
        <w:t xml:space="preserve">Observation 2: </w:t>
      </w:r>
      <w:r w:rsidRPr="0074046B">
        <w:rPr>
          <w:rFonts w:ascii="Times New Roman" w:hAnsi="Times New Roman" w:cs="Times New Roman"/>
          <w:b/>
          <w:bCs/>
          <w:sz w:val="20"/>
          <w:szCs w:val="20"/>
        </w:rPr>
        <w:t>On path-loss measurement for Rel.17 unified TCI framework</w:t>
      </w:r>
      <w:r w:rsidRPr="0074046B">
        <w:rPr>
          <w:rFonts w:ascii="Times New Roman" w:hAnsi="Times New Roman" w:cs="Times New Roman"/>
          <w:b/>
          <w:bCs/>
          <w:sz w:val="20"/>
          <w:szCs w:val="20"/>
          <w:lang w:eastAsia="ja-JP"/>
        </w:rPr>
        <w:t>, a PL-RS (configured for path-loss calculation) is either included in</w:t>
      </w:r>
      <w:r w:rsidRPr="0074046B">
        <w:rPr>
          <w:rStyle w:val="apple-converted-space"/>
          <w:rFonts w:ascii="Times New Roman" w:hAnsi="Times New Roman" w:cs="Times New Roman"/>
          <w:b/>
          <w:bCs/>
          <w:sz w:val="20"/>
          <w:szCs w:val="20"/>
          <w:lang w:eastAsia="ja-JP"/>
        </w:rPr>
        <w:t> </w:t>
      </w:r>
      <w:r w:rsidRPr="0074046B">
        <w:rPr>
          <w:rStyle w:val="apple-converted-space"/>
          <w:rFonts w:ascii="Times New Roman" w:hAnsi="Times New Roman" w:cs="Times New Roman"/>
          <w:b/>
          <w:bCs/>
          <w:sz w:val="20"/>
          <w:szCs w:val="20"/>
        </w:rPr>
        <w:t xml:space="preserve">UL </w:t>
      </w:r>
      <w:r w:rsidRPr="0074046B">
        <w:rPr>
          <w:rStyle w:val="apple-converted-space"/>
          <w:rFonts w:ascii="Times New Roman" w:hAnsi="Times New Roman" w:cs="Times New Roman"/>
          <w:b/>
          <w:bCs/>
          <w:sz w:val="20"/>
          <w:szCs w:val="20"/>
          <w:lang w:eastAsia="ja-JP"/>
        </w:rPr>
        <w:t>TCI state</w:t>
      </w:r>
      <w:r w:rsidRPr="0074046B">
        <w:rPr>
          <w:rStyle w:val="apple-converted-space"/>
          <w:rFonts w:ascii="Times New Roman" w:hAnsi="Times New Roman" w:cs="Times New Roman"/>
          <w:b/>
          <w:bCs/>
          <w:sz w:val="20"/>
          <w:szCs w:val="20"/>
        </w:rPr>
        <w:t xml:space="preserve"> or (if applicable) joint TCI state</w:t>
      </w:r>
      <w:r w:rsidRPr="0074046B">
        <w:rPr>
          <w:rStyle w:val="apple-converted-space"/>
          <w:rFonts w:ascii="Times New Roman" w:hAnsi="Times New Roman" w:cs="Times New Roman"/>
          <w:b/>
          <w:bCs/>
          <w:sz w:val="20"/>
          <w:szCs w:val="20"/>
          <w:lang w:eastAsia="ja-JP"/>
        </w:rPr>
        <w:t xml:space="preserve"> or associated with </w:t>
      </w:r>
      <w:r w:rsidRPr="0074046B">
        <w:rPr>
          <w:rFonts w:ascii="Times New Roman" w:hAnsi="Times New Roman" w:cs="Times New Roman"/>
          <w:b/>
          <w:bCs/>
          <w:sz w:val="20"/>
          <w:szCs w:val="20"/>
          <w:lang w:eastAsia="ja-JP"/>
        </w:rPr>
        <w:t>UL TCI state or (if applicable) joint TCI state.</w:t>
      </w:r>
    </w:p>
    <w:p w14:paraId="450A0818" w14:textId="77777777" w:rsidR="00510CD5" w:rsidRPr="00510CD5" w:rsidRDefault="00510CD5" w:rsidP="00510CD5">
      <w:pPr>
        <w:pStyle w:val="NoSpacing"/>
        <w:spacing w:after="120"/>
        <w:rPr>
          <w:rFonts w:ascii="Times New Roman" w:hAnsi="Times New Roman" w:cs="Times New Roman"/>
          <w:b/>
          <w:bCs/>
          <w:sz w:val="20"/>
          <w:szCs w:val="20"/>
          <w:lang w:eastAsia="ja-JP"/>
        </w:rPr>
      </w:pPr>
      <w:r w:rsidRPr="00510CD5">
        <w:rPr>
          <w:rFonts w:ascii="Times New Roman" w:hAnsi="Times New Roman" w:cs="Times New Roman"/>
          <w:b/>
          <w:bCs/>
          <w:sz w:val="20"/>
          <w:szCs w:val="20"/>
          <w:lang w:eastAsia="ja-JP"/>
        </w:rPr>
        <w:t>Proposal 1: For separate TCI framework, delay requirement for UL TCI state switch is needed and the impact of PL-RS will be considered.</w:t>
      </w:r>
    </w:p>
    <w:p w14:paraId="2CE561C1" w14:textId="77777777" w:rsidR="00510CD5" w:rsidRPr="00510CD5" w:rsidRDefault="00510CD5" w:rsidP="00510CD5">
      <w:pPr>
        <w:pStyle w:val="NoSpacing"/>
        <w:spacing w:after="120"/>
        <w:rPr>
          <w:rFonts w:ascii="Times New Roman" w:hAnsi="Times New Roman" w:cs="Times New Roman"/>
          <w:b/>
          <w:bCs/>
          <w:sz w:val="20"/>
          <w:szCs w:val="20"/>
        </w:rPr>
      </w:pPr>
      <w:r w:rsidRPr="00510CD5">
        <w:rPr>
          <w:rFonts w:ascii="Times New Roman" w:hAnsi="Times New Roman" w:cs="Times New Roman"/>
          <w:b/>
          <w:bCs/>
          <w:sz w:val="20"/>
          <w:szCs w:val="20"/>
        </w:rPr>
        <w:t xml:space="preserve">Proposal 2: For Joint TCI framework, delay requirement for Joint TCI state switch needs further discussion. </w:t>
      </w:r>
    </w:p>
    <w:p w14:paraId="3E04B043" w14:textId="77777777" w:rsidR="00510CD5" w:rsidRPr="00EE51A7" w:rsidRDefault="00510CD5" w:rsidP="00510CD5">
      <w:pPr>
        <w:pStyle w:val="NoSpacing"/>
        <w:spacing w:after="120"/>
        <w:rPr>
          <w:rFonts w:ascii="Times New Roman" w:hAnsi="Times New Roman" w:cs="Times New Roman"/>
          <w:b/>
          <w:bCs/>
          <w:sz w:val="20"/>
          <w:szCs w:val="20"/>
        </w:rPr>
      </w:pPr>
      <w:r w:rsidRPr="00EE51A7">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EE51A7">
        <w:rPr>
          <w:rFonts w:ascii="Times New Roman" w:hAnsi="Times New Roman" w:cs="Times New Roman"/>
          <w:b/>
          <w:bCs/>
          <w:sz w:val="20"/>
          <w:szCs w:val="20"/>
        </w:rPr>
        <w:t xml:space="preserve">: </w:t>
      </w:r>
      <w:r>
        <w:rPr>
          <w:rFonts w:ascii="Times New Roman" w:hAnsi="Times New Roman" w:cs="Times New Roman"/>
          <w:b/>
          <w:bCs/>
          <w:sz w:val="20"/>
          <w:szCs w:val="20"/>
        </w:rPr>
        <w:t>F</w:t>
      </w:r>
      <w:r w:rsidRPr="00EE51A7">
        <w:rPr>
          <w:rFonts w:ascii="Times New Roman" w:hAnsi="Times New Roman" w:cs="Times New Roman"/>
          <w:b/>
          <w:bCs/>
          <w:sz w:val="20"/>
          <w:szCs w:val="20"/>
        </w:rPr>
        <w:t xml:space="preserve">or L1/L2 centric mobility, serving cell will </w:t>
      </w:r>
      <w:r>
        <w:rPr>
          <w:rFonts w:ascii="Times New Roman" w:hAnsi="Times New Roman" w:cs="Times New Roman"/>
          <w:b/>
          <w:bCs/>
          <w:sz w:val="20"/>
          <w:szCs w:val="20"/>
        </w:rPr>
        <w:t xml:space="preserve">not </w:t>
      </w:r>
      <w:r w:rsidRPr="00EE51A7">
        <w:rPr>
          <w:rFonts w:ascii="Times New Roman" w:hAnsi="Times New Roman" w:cs="Times New Roman"/>
          <w:b/>
          <w:bCs/>
          <w:sz w:val="20"/>
          <w:szCs w:val="20"/>
        </w:rPr>
        <w:t>change when beam selection is done.</w:t>
      </w:r>
    </w:p>
    <w:p w14:paraId="54EABCF3" w14:textId="77777777" w:rsidR="00510CD5" w:rsidRPr="00EE51A7" w:rsidRDefault="00510CD5" w:rsidP="00510CD5">
      <w:pPr>
        <w:pStyle w:val="NoSpacing"/>
        <w:rPr>
          <w:rFonts w:ascii="Times New Roman" w:hAnsi="Times New Roman" w:cs="Times New Roman"/>
          <w:b/>
          <w:bCs/>
          <w:sz w:val="20"/>
          <w:szCs w:val="20"/>
        </w:rPr>
      </w:pPr>
      <w:r w:rsidRPr="00EE51A7">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EE51A7">
        <w:rPr>
          <w:rFonts w:ascii="Times New Roman" w:hAnsi="Times New Roman" w:cs="Times New Roman"/>
          <w:b/>
          <w:bCs/>
          <w:sz w:val="20"/>
          <w:szCs w:val="20"/>
        </w:rPr>
        <w:t xml:space="preserve">. For inter-cell beam management, UE will not </w:t>
      </w:r>
      <w:r>
        <w:rPr>
          <w:rFonts w:ascii="Times New Roman" w:hAnsi="Times New Roman" w:cs="Times New Roman"/>
          <w:b/>
          <w:bCs/>
          <w:sz w:val="20"/>
          <w:szCs w:val="20"/>
        </w:rPr>
        <w:t>measure</w:t>
      </w:r>
      <w:r w:rsidRPr="00EE51A7">
        <w:rPr>
          <w:rFonts w:ascii="Times New Roman" w:hAnsi="Times New Roman" w:cs="Times New Roman"/>
          <w:b/>
          <w:bCs/>
          <w:sz w:val="20"/>
          <w:szCs w:val="20"/>
        </w:rPr>
        <w:t xml:space="preserve"> multiple L1-RSRP</w:t>
      </w:r>
      <w:r>
        <w:rPr>
          <w:rFonts w:ascii="Times New Roman" w:hAnsi="Times New Roman" w:cs="Times New Roman"/>
          <w:b/>
          <w:bCs/>
          <w:sz w:val="20"/>
          <w:szCs w:val="20"/>
        </w:rPr>
        <w:t>s</w:t>
      </w:r>
      <w:r w:rsidRPr="00EE51A7">
        <w:rPr>
          <w:rFonts w:ascii="Times New Roman" w:hAnsi="Times New Roman" w:cs="Times New Roman"/>
          <w:b/>
          <w:bCs/>
          <w:sz w:val="20"/>
          <w:szCs w:val="20"/>
        </w:rPr>
        <w:t xml:space="preserve"> simultaneously.</w:t>
      </w:r>
    </w:p>
    <w:p w14:paraId="4C5FA279" w14:textId="77777777" w:rsidR="00510CD5" w:rsidRPr="00EE51A7" w:rsidRDefault="00510CD5" w:rsidP="00510CD5">
      <w:pPr>
        <w:pStyle w:val="NoSpacing"/>
        <w:spacing w:after="120"/>
        <w:rPr>
          <w:rFonts w:ascii="Times New Roman" w:hAnsi="Times New Roman" w:cs="Times New Roman"/>
          <w:b/>
          <w:bCs/>
          <w:sz w:val="20"/>
          <w:szCs w:val="20"/>
        </w:rPr>
      </w:pPr>
      <w:r w:rsidRPr="00EE51A7">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sidRPr="00EE51A7">
        <w:rPr>
          <w:rFonts w:ascii="Times New Roman" w:hAnsi="Times New Roman" w:cs="Times New Roman"/>
          <w:b/>
          <w:bCs/>
          <w:sz w:val="20"/>
          <w:szCs w:val="20"/>
        </w:rPr>
        <w:t xml:space="preserve">. For inter-cell management, only need to define intra-frequency related requirement. </w:t>
      </w:r>
    </w:p>
    <w:p w14:paraId="0BE8E0E4" w14:textId="77777777" w:rsidR="00510CD5" w:rsidRPr="00EE51A7" w:rsidRDefault="00510CD5" w:rsidP="00510CD5">
      <w:pPr>
        <w:pStyle w:val="NoSpacing"/>
        <w:spacing w:after="120"/>
        <w:rPr>
          <w:rFonts w:ascii="Times New Roman" w:hAnsi="Times New Roman" w:cs="Times New Roman"/>
          <w:b/>
          <w:bCs/>
          <w:sz w:val="20"/>
          <w:szCs w:val="20"/>
        </w:rPr>
      </w:pPr>
      <w:r w:rsidRPr="00EE51A7">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EE51A7">
        <w:rPr>
          <w:rFonts w:ascii="Times New Roman" w:hAnsi="Times New Roman" w:cs="Times New Roman"/>
          <w:b/>
          <w:bCs/>
          <w:sz w:val="20"/>
          <w:szCs w:val="20"/>
        </w:rPr>
        <w:t>: Requirements for inter-cell beam management is needed to be defined in RRM part.</w:t>
      </w:r>
    </w:p>
    <w:p w14:paraId="000831A5" w14:textId="77777777" w:rsidR="00510CD5" w:rsidRDefault="00510CD5" w:rsidP="00510CD5">
      <w:pPr>
        <w:pStyle w:val="NoSpacing"/>
        <w:spacing w:after="120"/>
        <w:rPr>
          <w:rFonts w:ascii="Times New Roman" w:hAnsi="Times New Roman" w:cs="Times New Roman"/>
          <w:b/>
          <w:bCs/>
          <w:sz w:val="20"/>
          <w:szCs w:val="20"/>
        </w:rPr>
      </w:pPr>
      <w:r w:rsidRPr="00EE51A7">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EE51A7">
        <w:rPr>
          <w:rFonts w:ascii="Times New Roman" w:hAnsi="Times New Roman" w:cs="Times New Roman"/>
          <w:b/>
          <w:bCs/>
          <w:sz w:val="20"/>
          <w:szCs w:val="20"/>
        </w:rPr>
        <w:t xml:space="preserve">: For inter-cell beam management, </w:t>
      </w:r>
      <w:r>
        <w:rPr>
          <w:rFonts w:ascii="Times New Roman" w:hAnsi="Times New Roman" w:cs="Times New Roman"/>
          <w:b/>
          <w:bCs/>
          <w:sz w:val="20"/>
          <w:szCs w:val="20"/>
        </w:rPr>
        <w:t xml:space="preserve">requirement will be defined if </w:t>
      </w:r>
      <w:r w:rsidRPr="00EE51A7">
        <w:rPr>
          <w:rFonts w:ascii="Times New Roman" w:hAnsi="Times New Roman" w:cs="Times New Roman"/>
          <w:b/>
          <w:bCs/>
          <w:sz w:val="20"/>
          <w:szCs w:val="20"/>
        </w:rPr>
        <w:t xml:space="preserve">UE </w:t>
      </w:r>
      <w:r>
        <w:rPr>
          <w:rFonts w:ascii="Times New Roman" w:hAnsi="Times New Roman" w:cs="Times New Roman"/>
          <w:b/>
          <w:bCs/>
          <w:sz w:val="20"/>
          <w:szCs w:val="20"/>
        </w:rPr>
        <w:t xml:space="preserve">only measure one L1-RSRP from one cell. There is no requirement if UE receive </w:t>
      </w:r>
      <w:r w:rsidRPr="00EE51A7">
        <w:rPr>
          <w:rFonts w:ascii="Times New Roman" w:hAnsi="Times New Roman" w:cs="Times New Roman"/>
          <w:b/>
          <w:bCs/>
          <w:sz w:val="20"/>
          <w:szCs w:val="20"/>
        </w:rPr>
        <w:t>multiple L1-RSRP simultaneously</w:t>
      </w:r>
      <w:r>
        <w:rPr>
          <w:rFonts w:ascii="Times New Roman" w:hAnsi="Times New Roman" w:cs="Times New Roman"/>
          <w:b/>
          <w:bCs/>
          <w:sz w:val="20"/>
          <w:szCs w:val="20"/>
        </w:rPr>
        <w:t>.</w:t>
      </w:r>
    </w:p>
    <w:p w14:paraId="55653DDD" w14:textId="77777777" w:rsidR="00510CD5" w:rsidRDefault="00510CD5" w:rsidP="00733B25">
      <w:pPr>
        <w:pStyle w:val="NoSpacing"/>
        <w:spacing w:after="120"/>
        <w:rPr>
          <w:rFonts w:ascii="Times New Roman" w:hAnsi="Times New Roman" w:cs="Times New Roman"/>
          <w:b/>
          <w:bCs/>
          <w:sz w:val="20"/>
          <w:szCs w:val="20"/>
        </w:rPr>
      </w:pPr>
      <w:r>
        <w:rPr>
          <w:rFonts w:ascii="Times New Roman" w:hAnsi="Times New Roman" w:cs="Times New Roman"/>
          <w:b/>
          <w:bCs/>
          <w:sz w:val="20"/>
          <w:szCs w:val="20"/>
        </w:rPr>
        <w:t xml:space="preserve">Proposal 5: </w:t>
      </w:r>
      <w:r w:rsidRPr="00EE51A7">
        <w:rPr>
          <w:rFonts w:ascii="Times New Roman" w:hAnsi="Times New Roman" w:cs="Times New Roman"/>
          <w:b/>
          <w:bCs/>
          <w:sz w:val="20"/>
          <w:szCs w:val="20"/>
        </w:rPr>
        <w:t xml:space="preserve">For inter-cell beam management, </w:t>
      </w:r>
      <w:r>
        <w:rPr>
          <w:rFonts w:ascii="Times New Roman" w:hAnsi="Times New Roman" w:cs="Times New Roman"/>
          <w:b/>
          <w:bCs/>
          <w:sz w:val="20"/>
          <w:szCs w:val="20"/>
        </w:rPr>
        <w:t xml:space="preserve">RAN4 only define intra-frequency related requirement. </w:t>
      </w:r>
    </w:p>
    <w:p w14:paraId="7D52190E" w14:textId="77777777" w:rsidR="00733B25" w:rsidRPr="00BA514F" w:rsidRDefault="00733B25" w:rsidP="00733B25">
      <w:pPr>
        <w:widowControl/>
        <w:jc w:val="left"/>
        <w:rPr>
          <w:rFonts w:ascii="Times New Roman" w:hAnsi="Times New Roman" w:cs="Times New Roman"/>
          <w:b/>
          <w:bCs/>
          <w:sz w:val="20"/>
          <w:szCs w:val="20"/>
        </w:rPr>
      </w:pPr>
      <w:r w:rsidRPr="002027AD">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2027AD">
        <w:rPr>
          <w:rFonts w:ascii="Times New Roman" w:hAnsi="Times New Roman" w:cs="Times New Roman"/>
          <w:b/>
          <w:bCs/>
          <w:sz w:val="20"/>
          <w:szCs w:val="20"/>
        </w:rPr>
        <w:t>:</w:t>
      </w:r>
      <w:r w:rsidRPr="002027AD">
        <w:rPr>
          <w:rFonts w:ascii="Times New Roman" w:hAnsi="Times New Roman" w:cs="Times New Roman"/>
          <w:sz w:val="20"/>
          <w:szCs w:val="20"/>
        </w:rPr>
        <w:t xml:space="preserve"> </w:t>
      </w:r>
      <w:r w:rsidRPr="002027AD">
        <w:rPr>
          <w:rFonts w:ascii="Times New Roman" w:hAnsi="Times New Roman" w:cs="Times New Roman"/>
          <w:b/>
          <w:bCs/>
          <w:sz w:val="20"/>
          <w:szCs w:val="20"/>
        </w:rPr>
        <w:t xml:space="preserve">When the SSB for non-serving </w:t>
      </w:r>
      <w:r>
        <w:rPr>
          <w:rFonts w:ascii="Times New Roman" w:hAnsi="Times New Roman" w:cs="Times New Roman"/>
          <w:b/>
          <w:bCs/>
          <w:sz w:val="20"/>
          <w:szCs w:val="20"/>
        </w:rPr>
        <w:t xml:space="preserve">cell </w:t>
      </w:r>
      <w:r w:rsidRPr="002027AD">
        <w:rPr>
          <w:rFonts w:ascii="Times New Roman" w:hAnsi="Times New Roman" w:cs="Times New Roman"/>
          <w:b/>
          <w:bCs/>
          <w:sz w:val="20"/>
          <w:szCs w:val="20"/>
        </w:rPr>
        <w:t xml:space="preserve">L1-RSRP measurement </w:t>
      </w:r>
      <w:r>
        <w:rPr>
          <w:rFonts w:ascii="Times New Roman" w:hAnsi="Times New Roman" w:cs="Times New Roman"/>
          <w:b/>
          <w:bCs/>
          <w:sz w:val="20"/>
          <w:szCs w:val="20"/>
        </w:rPr>
        <w:t>conflicts with other CSI-RS based serving cell L1</w:t>
      </w:r>
      <w:r w:rsidRPr="002027AD">
        <w:rPr>
          <w:rFonts w:ascii="Times New Roman" w:hAnsi="Times New Roman" w:cs="Times New Roman"/>
          <w:b/>
          <w:bCs/>
          <w:sz w:val="20"/>
          <w:szCs w:val="20"/>
        </w:rPr>
        <w:t xml:space="preserve"> </w:t>
      </w:r>
      <w:r>
        <w:rPr>
          <w:rFonts w:ascii="Times New Roman" w:hAnsi="Times New Roman" w:cs="Times New Roman"/>
          <w:b/>
          <w:bCs/>
          <w:sz w:val="20"/>
          <w:szCs w:val="20"/>
        </w:rPr>
        <w:t>measurement</w:t>
      </w:r>
      <w:r w:rsidRPr="002027AD">
        <w:rPr>
          <w:rFonts w:ascii="Times New Roman" w:hAnsi="Times New Roman" w:cs="Times New Roman"/>
          <w:b/>
          <w:bCs/>
          <w:sz w:val="20"/>
          <w:szCs w:val="20"/>
        </w:rPr>
        <w:t xml:space="preserve">, </w:t>
      </w:r>
      <w:r w:rsidRPr="00BA514F">
        <w:rPr>
          <w:rFonts w:ascii="Times New Roman" w:hAnsi="Times New Roman" w:cs="Times New Roman"/>
          <w:b/>
          <w:bCs/>
          <w:sz w:val="20"/>
          <w:szCs w:val="20"/>
        </w:rPr>
        <w:t>no requirement will be defined</w:t>
      </w:r>
      <w:r w:rsidRPr="002027AD">
        <w:rPr>
          <w:rFonts w:ascii="Times New Roman" w:hAnsi="Times New Roman" w:cs="Times New Roman"/>
          <w:b/>
          <w:bCs/>
          <w:sz w:val="20"/>
          <w:szCs w:val="20"/>
        </w:rPr>
        <w:t>.</w:t>
      </w:r>
    </w:p>
    <w:p w14:paraId="43ECC895" w14:textId="77777777" w:rsidR="00530EC3" w:rsidRPr="00DD34E8" w:rsidRDefault="00530EC3" w:rsidP="00530EC3">
      <w:pPr>
        <w:widowControl/>
        <w:jc w:val="left"/>
        <w:rPr>
          <w:rFonts w:ascii="Times New Roman" w:hAnsi="Times New Roman" w:cs="Times New Roman"/>
          <w:b/>
          <w:bCs/>
          <w:sz w:val="20"/>
          <w:szCs w:val="20"/>
        </w:rPr>
      </w:pPr>
      <w:r w:rsidRPr="00DD34E8">
        <w:rPr>
          <w:rFonts w:ascii="Times New Roman" w:hAnsi="Times New Roman" w:cs="Times New Roman"/>
          <w:b/>
          <w:bCs/>
          <w:sz w:val="20"/>
          <w:szCs w:val="20"/>
        </w:rPr>
        <w:t>Proposal 7: If non-serving cell L1-RSRP is configured without SMTC, UE would need to perform additional cell identification.</w:t>
      </w:r>
    </w:p>
    <w:p w14:paraId="26BEBF61" w14:textId="07BE3709" w:rsidR="003D4273" w:rsidRPr="00510CD5" w:rsidRDefault="00530EC3" w:rsidP="00530EC3">
      <w:pPr>
        <w:rPr>
          <w:rFonts w:ascii="Times New Roman" w:hAnsi="Times New Roman" w:cs="Times New Roman"/>
          <w:bCs/>
          <w:sz w:val="20"/>
          <w:szCs w:val="20"/>
        </w:rPr>
      </w:pPr>
      <w:r w:rsidRPr="00851CE5">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851CE5">
        <w:rPr>
          <w:rFonts w:ascii="Times New Roman" w:hAnsi="Times New Roman" w:cs="Times New Roman"/>
          <w:b/>
          <w:bCs/>
          <w:sz w:val="20"/>
          <w:szCs w:val="20"/>
        </w:rPr>
        <w:t xml:space="preserve">: </w:t>
      </w:r>
      <w:r>
        <w:rPr>
          <w:rFonts w:ascii="Times New Roman" w:hAnsi="Times New Roman" w:cs="Times New Roman"/>
          <w:b/>
          <w:bCs/>
          <w:sz w:val="20"/>
          <w:szCs w:val="20"/>
        </w:rPr>
        <w:t>F</w:t>
      </w:r>
      <w:r w:rsidRPr="00851CE5">
        <w:rPr>
          <w:rFonts w:ascii="Times New Roman" w:hAnsi="Times New Roman" w:cs="Times New Roman"/>
          <w:b/>
          <w:bCs/>
          <w:sz w:val="20"/>
          <w:szCs w:val="20"/>
        </w:rPr>
        <w:t xml:space="preserve">or DCI based beam indication, the delay requirement needs update by </w:t>
      </w:r>
      <w:r>
        <w:rPr>
          <w:rFonts w:ascii="Times New Roman" w:hAnsi="Times New Roman" w:cs="Times New Roman"/>
          <w:b/>
          <w:bCs/>
          <w:sz w:val="20"/>
          <w:szCs w:val="20"/>
        </w:rPr>
        <w:t xml:space="preserve">referring to RAN1 requirement where </w:t>
      </w:r>
      <w:r w:rsidRPr="00851CE5">
        <w:rPr>
          <w:rFonts w:ascii="Times New Roman" w:hAnsi="Times New Roman" w:cs="Times New Roman"/>
          <w:b/>
          <w:bCs/>
          <w:sz w:val="20"/>
          <w:szCs w:val="20"/>
        </w:rPr>
        <w:t>transmission of ACK</w:t>
      </w:r>
      <w:r>
        <w:rPr>
          <w:rFonts w:ascii="Times New Roman" w:hAnsi="Times New Roman" w:cs="Times New Roman"/>
          <w:b/>
          <w:bCs/>
          <w:sz w:val="20"/>
          <w:szCs w:val="20"/>
        </w:rPr>
        <w:t xml:space="preserve"> is considered</w:t>
      </w:r>
      <w:r w:rsidRPr="00851CE5">
        <w:rPr>
          <w:rFonts w:ascii="Times New Roman" w:hAnsi="Times New Roman" w:cs="Times New Roman"/>
          <w:b/>
          <w:bCs/>
          <w:sz w:val="20"/>
          <w:szCs w:val="20"/>
        </w:rPr>
        <w:t xml:space="preserve"> .</w:t>
      </w:r>
    </w:p>
    <w:p w14:paraId="07C00C56" w14:textId="60E30263" w:rsidR="00710C89" w:rsidRPr="0009651A" w:rsidRDefault="00984BE2" w:rsidP="00710C89">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09651A">
        <w:rPr>
          <w:rFonts w:ascii="Times New Roman" w:eastAsia="SimSun" w:hAnsi="Times New Roman" w:cs="Times New Roman"/>
          <w:kern w:val="0"/>
          <w:sz w:val="36"/>
          <w:szCs w:val="20"/>
          <w:lang w:val="en-GB"/>
        </w:rPr>
        <w:t>7</w:t>
      </w:r>
      <w:r w:rsidR="00710C89" w:rsidRPr="0009651A">
        <w:rPr>
          <w:rFonts w:ascii="Times New Roman" w:eastAsia="SimSun" w:hAnsi="Times New Roman" w:cs="Times New Roman"/>
          <w:kern w:val="0"/>
          <w:sz w:val="36"/>
          <w:szCs w:val="20"/>
          <w:lang w:val="en-GB"/>
        </w:rPr>
        <w:t xml:space="preserve"> Reference</w:t>
      </w:r>
    </w:p>
    <w:p w14:paraId="6DA5E408" w14:textId="2F0B0281" w:rsidR="00C308A6" w:rsidRPr="002810EB" w:rsidRDefault="00710C89">
      <w:pPr>
        <w:rPr>
          <w:rFonts w:ascii="Times New Roman" w:eastAsia="Batang" w:hAnsi="Times New Roman" w:cs="Times New Roman"/>
          <w:bCs/>
        </w:rPr>
      </w:pPr>
      <w:r w:rsidRPr="002810EB">
        <w:rPr>
          <w:rFonts w:ascii="Times New Roman" w:eastAsia="Batang" w:hAnsi="Times New Roman" w:cs="Times New Roman"/>
          <w:bCs/>
        </w:rPr>
        <w:t>[1]</w:t>
      </w:r>
      <w:r w:rsidR="002810EB">
        <w:rPr>
          <w:rFonts w:ascii="Times New Roman" w:eastAsia="Batang" w:hAnsi="Times New Roman" w:cs="Times New Roman"/>
          <w:bCs/>
        </w:rPr>
        <w:t xml:space="preserve"> </w:t>
      </w:r>
      <w:r w:rsidR="00BC1FA0" w:rsidRPr="002810EB">
        <w:rPr>
          <w:rFonts w:ascii="Times New Roman" w:eastAsia="Batang" w:hAnsi="Times New Roman" w:cs="Times New Roman"/>
          <w:bCs/>
        </w:rPr>
        <w:t xml:space="preserve">RP-211586, </w:t>
      </w:r>
      <w:r w:rsidR="004B4708" w:rsidRPr="002810EB">
        <w:rPr>
          <w:rFonts w:ascii="Times New Roman" w:eastAsia="Batang" w:hAnsi="Times New Roman" w:cs="Times New Roman"/>
          <w:bCs/>
        </w:rPr>
        <w:t xml:space="preserve">Revised WID: Further enhancements on MIMO for NR, </w:t>
      </w:r>
      <w:r w:rsidR="0009172A" w:rsidRPr="002810EB">
        <w:rPr>
          <w:rFonts w:ascii="Times New Roman" w:eastAsia="Batang" w:hAnsi="Times New Roman" w:cs="Times New Roman"/>
          <w:bCs/>
        </w:rPr>
        <w:t>Samsung</w:t>
      </w:r>
    </w:p>
    <w:p w14:paraId="4675BCAC" w14:textId="017CD35B" w:rsidR="0009172A" w:rsidRPr="002810EB" w:rsidRDefault="0009172A">
      <w:pPr>
        <w:rPr>
          <w:rFonts w:ascii="Times New Roman" w:hAnsi="Times New Roman" w:cs="Times New Roman"/>
          <w:bCs/>
        </w:rPr>
      </w:pPr>
      <w:r w:rsidRPr="002810EB">
        <w:rPr>
          <w:rFonts w:ascii="Times New Roman" w:eastAsia="Batang" w:hAnsi="Times New Roman" w:cs="Times New Roman"/>
          <w:bCs/>
        </w:rPr>
        <w:t>[2]</w:t>
      </w:r>
      <w:r w:rsidR="002810EB">
        <w:rPr>
          <w:rFonts w:ascii="Times New Roman" w:eastAsia="Batang" w:hAnsi="Times New Roman" w:cs="Times New Roman"/>
          <w:bCs/>
        </w:rPr>
        <w:t xml:space="preserve"> </w:t>
      </w:r>
      <w:r w:rsidRPr="002810EB">
        <w:rPr>
          <w:rFonts w:ascii="Times New Roman" w:eastAsia="Batang" w:hAnsi="Times New Roman" w:cs="Times New Roman"/>
          <w:bCs/>
        </w:rPr>
        <w:t>R4-210835</w:t>
      </w:r>
      <w:r w:rsidR="00B30279" w:rsidRPr="002810EB">
        <w:rPr>
          <w:rFonts w:ascii="Times New Roman" w:eastAsia="Batang" w:hAnsi="Times New Roman" w:cs="Times New Roman"/>
          <w:bCs/>
        </w:rPr>
        <w:t>8</w:t>
      </w:r>
      <w:r w:rsidRPr="002810EB">
        <w:rPr>
          <w:rFonts w:ascii="Times New Roman" w:eastAsia="Batang" w:hAnsi="Times New Roman" w:cs="Times New Roman"/>
          <w:bCs/>
        </w:rPr>
        <w:t>,</w:t>
      </w:r>
      <w:r w:rsidR="002810EB">
        <w:rPr>
          <w:rFonts w:ascii="Times New Roman" w:eastAsia="Batang" w:hAnsi="Times New Roman" w:cs="Times New Roman"/>
          <w:bCs/>
        </w:rPr>
        <w:t xml:space="preserve"> </w:t>
      </w:r>
      <w:r w:rsidRPr="002810EB">
        <w:rPr>
          <w:rFonts w:ascii="Times New Roman" w:eastAsia="Batang" w:hAnsi="Times New Roman" w:cs="Times New Roman"/>
          <w:bCs/>
        </w:rPr>
        <w:t xml:space="preserve">WF on work plan for REl-17 </w:t>
      </w:r>
      <w:proofErr w:type="spellStart"/>
      <w:r w:rsidRPr="002810EB">
        <w:rPr>
          <w:rFonts w:ascii="Times New Roman" w:eastAsia="Batang" w:hAnsi="Times New Roman" w:cs="Times New Roman"/>
          <w:bCs/>
        </w:rPr>
        <w:t>FeMIMO</w:t>
      </w:r>
      <w:proofErr w:type="spellEnd"/>
      <w:r w:rsidRPr="002810EB">
        <w:rPr>
          <w:rFonts w:ascii="Times New Roman" w:eastAsia="Batang" w:hAnsi="Times New Roman" w:cs="Times New Roman"/>
          <w:bCs/>
        </w:rPr>
        <w:t xml:space="preserve"> RRM</w:t>
      </w:r>
      <w:r w:rsidR="00B30279" w:rsidRPr="002810EB">
        <w:rPr>
          <w:rFonts w:ascii="Times New Roman" w:eastAsia="Batang" w:hAnsi="Times New Roman" w:cs="Times New Roman"/>
          <w:bCs/>
        </w:rPr>
        <w:t>, Samsung</w:t>
      </w:r>
    </w:p>
    <w:sectPr w:rsidR="0009172A" w:rsidRPr="002810EB" w:rsidSect="0059018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D1182" w14:textId="77777777" w:rsidR="001557A2" w:rsidRDefault="001557A2" w:rsidP="00590185">
      <w:r>
        <w:separator/>
      </w:r>
    </w:p>
  </w:endnote>
  <w:endnote w:type="continuationSeparator" w:id="0">
    <w:p w14:paraId="1E70C042" w14:textId="77777777" w:rsidR="001557A2" w:rsidRDefault="001557A2" w:rsidP="0059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STIXTwo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A8FA7" w14:textId="77777777" w:rsidR="001557A2" w:rsidRDefault="001557A2" w:rsidP="00590185">
      <w:r>
        <w:separator/>
      </w:r>
    </w:p>
  </w:footnote>
  <w:footnote w:type="continuationSeparator" w:id="0">
    <w:p w14:paraId="135FC424" w14:textId="77777777" w:rsidR="001557A2" w:rsidRDefault="001557A2" w:rsidP="00590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16FE4"/>
    <w:multiLevelType w:val="hybridMultilevel"/>
    <w:tmpl w:val="6468407E"/>
    <w:lvl w:ilvl="0" w:tplc="DE8ADE00">
      <w:start w:val="2"/>
      <w:numFmt w:val="bullet"/>
      <w:lvlText w:val="-"/>
      <w:lvlJc w:val="left"/>
      <w:pPr>
        <w:ind w:left="1080" w:hanging="360"/>
      </w:pPr>
      <w:rPr>
        <w:rFonts w:ascii="DengXian" w:eastAsia="DengXian" w:hAnsi="DengXian" w:cstheme="minorBidi"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5C79C8"/>
    <w:multiLevelType w:val="hybridMultilevel"/>
    <w:tmpl w:val="919EFFE6"/>
    <w:lvl w:ilvl="0" w:tplc="04090003">
      <w:start w:val="1"/>
      <w:numFmt w:val="bullet"/>
      <w:lvlText w:val=""/>
      <w:lvlJc w:val="left"/>
      <w:pPr>
        <w:ind w:left="1260" w:hanging="360"/>
      </w:pPr>
      <w:rPr>
        <w:rFonts w:ascii="MS Gothic" w:hAnsi="MS Goth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89D22F9"/>
    <w:multiLevelType w:val="hybridMultilevel"/>
    <w:tmpl w:val="E53CC61A"/>
    <w:lvl w:ilvl="0" w:tplc="69FED3B0">
      <w:start w:val="1"/>
      <w:numFmt w:val="bullet"/>
      <w:lvlText w:val="•"/>
      <w:lvlJc w:val="left"/>
      <w:pPr>
        <w:tabs>
          <w:tab w:val="num" w:pos="720"/>
        </w:tabs>
        <w:ind w:left="720" w:hanging="360"/>
      </w:pPr>
      <w:rPr>
        <w:rFonts w:ascii="Arial" w:hAnsi="Arial" w:hint="default"/>
      </w:rPr>
    </w:lvl>
    <w:lvl w:ilvl="1" w:tplc="91BC6340">
      <w:numFmt w:val="bullet"/>
      <w:lvlText w:val="•"/>
      <w:lvlJc w:val="left"/>
      <w:pPr>
        <w:tabs>
          <w:tab w:val="num" w:pos="1440"/>
        </w:tabs>
        <w:ind w:left="1440" w:hanging="360"/>
      </w:pPr>
      <w:rPr>
        <w:rFonts w:ascii="Arial" w:hAnsi="Arial" w:hint="default"/>
      </w:rPr>
    </w:lvl>
    <w:lvl w:ilvl="2" w:tplc="2146004C">
      <w:numFmt w:val="bullet"/>
      <w:lvlText w:val="•"/>
      <w:lvlJc w:val="left"/>
      <w:pPr>
        <w:tabs>
          <w:tab w:val="num" w:pos="2160"/>
        </w:tabs>
        <w:ind w:left="2160" w:hanging="360"/>
      </w:pPr>
      <w:rPr>
        <w:rFonts w:ascii="Arial" w:hAnsi="Arial" w:hint="default"/>
      </w:rPr>
    </w:lvl>
    <w:lvl w:ilvl="3" w:tplc="C636B482" w:tentative="1">
      <w:start w:val="1"/>
      <w:numFmt w:val="bullet"/>
      <w:lvlText w:val="•"/>
      <w:lvlJc w:val="left"/>
      <w:pPr>
        <w:tabs>
          <w:tab w:val="num" w:pos="2880"/>
        </w:tabs>
        <w:ind w:left="2880" w:hanging="360"/>
      </w:pPr>
      <w:rPr>
        <w:rFonts w:ascii="Arial" w:hAnsi="Arial" w:hint="default"/>
      </w:rPr>
    </w:lvl>
    <w:lvl w:ilvl="4" w:tplc="6BBA538E" w:tentative="1">
      <w:start w:val="1"/>
      <w:numFmt w:val="bullet"/>
      <w:lvlText w:val="•"/>
      <w:lvlJc w:val="left"/>
      <w:pPr>
        <w:tabs>
          <w:tab w:val="num" w:pos="3600"/>
        </w:tabs>
        <w:ind w:left="3600" w:hanging="360"/>
      </w:pPr>
      <w:rPr>
        <w:rFonts w:ascii="Arial" w:hAnsi="Arial" w:hint="default"/>
      </w:rPr>
    </w:lvl>
    <w:lvl w:ilvl="5" w:tplc="ED44FDC4" w:tentative="1">
      <w:start w:val="1"/>
      <w:numFmt w:val="bullet"/>
      <w:lvlText w:val="•"/>
      <w:lvlJc w:val="left"/>
      <w:pPr>
        <w:tabs>
          <w:tab w:val="num" w:pos="4320"/>
        </w:tabs>
        <w:ind w:left="4320" w:hanging="360"/>
      </w:pPr>
      <w:rPr>
        <w:rFonts w:ascii="Arial" w:hAnsi="Arial" w:hint="default"/>
      </w:rPr>
    </w:lvl>
    <w:lvl w:ilvl="6" w:tplc="E0B419C2" w:tentative="1">
      <w:start w:val="1"/>
      <w:numFmt w:val="bullet"/>
      <w:lvlText w:val="•"/>
      <w:lvlJc w:val="left"/>
      <w:pPr>
        <w:tabs>
          <w:tab w:val="num" w:pos="5040"/>
        </w:tabs>
        <w:ind w:left="5040" w:hanging="360"/>
      </w:pPr>
      <w:rPr>
        <w:rFonts w:ascii="Arial" w:hAnsi="Arial" w:hint="default"/>
      </w:rPr>
    </w:lvl>
    <w:lvl w:ilvl="7" w:tplc="B1546B3E" w:tentative="1">
      <w:start w:val="1"/>
      <w:numFmt w:val="bullet"/>
      <w:lvlText w:val="•"/>
      <w:lvlJc w:val="left"/>
      <w:pPr>
        <w:tabs>
          <w:tab w:val="num" w:pos="5760"/>
        </w:tabs>
        <w:ind w:left="5760" w:hanging="360"/>
      </w:pPr>
      <w:rPr>
        <w:rFonts w:ascii="Arial" w:hAnsi="Arial" w:hint="default"/>
      </w:rPr>
    </w:lvl>
    <w:lvl w:ilvl="8" w:tplc="8E2CD6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9361E5"/>
    <w:multiLevelType w:val="hybridMultilevel"/>
    <w:tmpl w:val="D520A670"/>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610"/>
        </w:tabs>
        <w:ind w:left="2610" w:hanging="360"/>
      </w:pPr>
      <w:rPr>
        <w:rFonts w:ascii="Wingdings" w:hAnsi="Wingdings"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5443BF"/>
    <w:multiLevelType w:val="hybridMultilevel"/>
    <w:tmpl w:val="577468A0"/>
    <w:lvl w:ilvl="0" w:tplc="255E1346">
      <w:start w:val="1"/>
      <w:numFmt w:val="bullet"/>
      <w:lvlText w:val="•"/>
      <w:lvlJc w:val="left"/>
      <w:pPr>
        <w:tabs>
          <w:tab w:val="num" w:pos="720"/>
        </w:tabs>
        <w:ind w:left="720" w:hanging="360"/>
      </w:pPr>
      <w:rPr>
        <w:rFonts w:ascii="Arial" w:hAnsi="Arial" w:hint="default"/>
      </w:rPr>
    </w:lvl>
    <w:lvl w:ilvl="1" w:tplc="D432223A">
      <w:numFmt w:val="bullet"/>
      <w:lvlText w:val="•"/>
      <w:lvlJc w:val="left"/>
      <w:pPr>
        <w:tabs>
          <w:tab w:val="num" w:pos="1440"/>
        </w:tabs>
        <w:ind w:left="1440" w:hanging="360"/>
      </w:pPr>
      <w:rPr>
        <w:rFonts w:ascii="Arial" w:hAnsi="Arial" w:hint="default"/>
      </w:rPr>
    </w:lvl>
    <w:lvl w:ilvl="2" w:tplc="56DCC81C">
      <w:numFmt w:val="bullet"/>
      <w:lvlText w:val="•"/>
      <w:lvlJc w:val="left"/>
      <w:pPr>
        <w:tabs>
          <w:tab w:val="num" w:pos="2160"/>
        </w:tabs>
        <w:ind w:left="2160" w:hanging="360"/>
      </w:pPr>
      <w:rPr>
        <w:rFonts w:ascii="Arial" w:hAnsi="Arial" w:hint="default"/>
      </w:rPr>
    </w:lvl>
    <w:lvl w:ilvl="3" w:tplc="876E1368" w:tentative="1">
      <w:start w:val="1"/>
      <w:numFmt w:val="bullet"/>
      <w:lvlText w:val="•"/>
      <w:lvlJc w:val="left"/>
      <w:pPr>
        <w:tabs>
          <w:tab w:val="num" w:pos="2880"/>
        </w:tabs>
        <w:ind w:left="2880" w:hanging="360"/>
      </w:pPr>
      <w:rPr>
        <w:rFonts w:ascii="Arial" w:hAnsi="Arial" w:hint="default"/>
      </w:rPr>
    </w:lvl>
    <w:lvl w:ilvl="4" w:tplc="F9108A6A" w:tentative="1">
      <w:start w:val="1"/>
      <w:numFmt w:val="bullet"/>
      <w:lvlText w:val="•"/>
      <w:lvlJc w:val="left"/>
      <w:pPr>
        <w:tabs>
          <w:tab w:val="num" w:pos="3600"/>
        </w:tabs>
        <w:ind w:left="3600" w:hanging="360"/>
      </w:pPr>
      <w:rPr>
        <w:rFonts w:ascii="Arial" w:hAnsi="Arial" w:hint="default"/>
      </w:rPr>
    </w:lvl>
    <w:lvl w:ilvl="5" w:tplc="91F60ACE" w:tentative="1">
      <w:start w:val="1"/>
      <w:numFmt w:val="bullet"/>
      <w:lvlText w:val="•"/>
      <w:lvlJc w:val="left"/>
      <w:pPr>
        <w:tabs>
          <w:tab w:val="num" w:pos="4320"/>
        </w:tabs>
        <w:ind w:left="4320" w:hanging="360"/>
      </w:pPr>
      <w:rPr>
        <w:rFonts w:ascii="Arial" w:hAnsi="Arial" w:hint="default"/>
      </w:rPr>
    </w:lvl>
    <w:lvl w:ilvl="6" w:tplc="BD9C78B8" w:tentative="1">
      <w:start w:val="1"/>
      <w:numFmt w:val="bullet"/>
      <w:lvlText w:val="•"/>
      <w:lvlJc w:val="left"/>
      <w:pPr>
        <w:tabs>
          <w:tab w:val="num" w:pos="5040"/>
        </w:tabs>
        <w:ind w:left="5040" w:hanging="360"/>
      </w:pPr>
      <w:rPr>
        <w:rFonts w:ascii="Arial" w:hAnsi="Arial" w:hint="default"/>
      </w:rPr>
    </w:lvl>
    <w:lvl w:ilvl="7" w:tplc="8D94D2DC" w:tentative="1">
      <w:start w:val="1"/>
      <w:numFmt w:val="bullet"/>
      <w:lvlText w:val="•"/>
      <w:lvlJc w:val="left"/>
      <w:pPr>
        <w:tabs>
          <w:tab w:val="num" w:pos="5760"/>
        </w:tabs>
        <w:ind w:left="5760" w:hanging="360"/>
      </w:pPr>
      <w:rPr>
        <w:rFonts w:ascii="Arial" w:hAnsi="Arial" w:hint="default"/>
      </w:rPr>
    </w:lvl>
    <w:lvl w:ilvl="8" w:tplc="011C02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3D2897"/>
    <w:multiLevelType w:val="hybridMultilevel"/>
    <w:tmpl w:val="C7EAE148"/>
    <w:lvl w:ilvl="0" w:tplc="D7E89F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77684"/>
    <w:multiLevelType w:val="hybridMultilevel"/>
    <w:tmpl w:val="D436C90A"/>
    <w:lvl w:ilvl="0" w:tplc="2E48FA4E">
      <w:start w:val="1"/>
      <w:numFmt w:val="bullet"/>
      <w:lvlText w:val=""/>
      <w:lvlJc w:val="left"/>
      <w:pPr>
        <w:tabs>
          <w:tab w:val="num" w:pos="720"/>
        </w:tabs>
        <w:ind w:left="720" w:hanging="360"/>
      </w:pPr>
      <w:rPr>
        <w:rFonts w:ascii="Wingdings" w:hAnsi="Wingdings" w:hint="default"/>
      </w:rPr>
    </w:lvl>
    <w:lvl w:ilvl="1" w:tplc="17489966">
      <w:start w:val="1"/>
      <w:numFmt w:val="bullet"/>
      <w:lvlText w:val=""/>
      <w:lvlJc w:val="left"/>
      <w:pPr>
        <w:tabs>
          <w:tab w:val="num" w:pos="1440"/>
        </w:tabs>
        <w:ind w:left="1440" w:hanging="360"/>
      </w:pPr>
      <w:rPr>
        <w:rFonts w:ascii="Wingdings" w:hAnsi="Wingdings" w:hint="default"/>
      </w:rPr>
    </w:lvl>
    <w:lvl w:ilvl="2" w:tplc="6164AD76" w:tentative="1">
      <w:start w:val="1"/>
      <w:numFmt w:val="bullet"/>
      <w:lvlText w:val=""/>
      <w:lvlJc w:val="left"/>
      <w:pPr>
        <w:tabs>
          <w:tab w:val="num" w:pos="2160"/>
        </w:tabs>
        <w:ind w:left="2160" w:hanging="360"/>
      </w:pPr>
      <w:rPr>
        <w:rFonts w:ascii="Wingdings" w:hAnsi="Wingdings" w:hint="default"/>
      </w:rPr>
    </w:lvl>
    <w:lvl w:ilvl="3" w:tplc="1666A144" w:tentative="1">
      <w:start w:val="1"/>
      <w:numFmt w:val="bullet"/>
      <w:lvlText w:val=""/>
      <w:lvlJc w:val="left"/>
      <w:pPr>
        <w:tabs>
          <w:tab w:val="num" w:pos="2880"/>
        </w:tabs>
        <w:ind w:left="2880" w:hanging="360"/>
      </w:pPr>
      <w:rPr>
        <w:rFonts w:ascii="Wingdings" w:hAnsi="Wingdings" w:hint="default"/>
      </w:rPr>
    </w:lvl>
    <w:lvl w:ilvl="4" w:tplc="3AD6AE96" w:tentative="1">
      <w:start w:val="1"/>
      <w:numFmt w:val="bullet"/>
      <w:lvlText w:val=""/>
      <w:lvlJc w:val="left"/>
      <w:pPr>
        <w:tabs>
          <w:tab w:val="num" w:pos="3600"/>
        </w:tabs>
        <w:ind w:left="3600" w:hanging="360"/>
      </w:pPr>
      <w:rPr>
        <w:rFonts w:ascii="Wingdings" w:hAnsi="Wingdings" w:hint="default"/>
      </w:rPr>
    </w:lvl>
    <w:lvl w:ilvl="5" w:tplc="1FA66960" w:tentative="1">
      <w:start w:val="1"/>
      <w:numFmt w:val="bullet"/>
      <w:lvlText w:val=""/>
      <w:lvlJc w:val="left"/>
      <w:pPr>
        <w:tabs>
          <w:tab w:val="num" w:pos="4320"/>
        </w:tabs>
        <w:ind w:left="4320" w:hanging="360"/>
      </w:pPr>
      <w:rPr>
        <w:rFonts w:ascii="Wingdings" w:hAnsi="Wingdings" w:hint="default"/>
      </w:rPr>
    </w:lvl>
    <w:lvl w:ilvl="6" w:tplc="F282E7C8" w:tentative="1">
      <w:start w:val="1"/>
      <w:numFmt w:val="bullet"/>
      <w:lvlText w:val=""/>
      <w:lvlJc w:val="left"/>
      <w:pPr>
        <w:tabs>
          <w:tab w:val="num" w:pos="5040"/>
        </w:tabs>
        <w:ind w:left="5040" w:hanging="360"/>
      </w:pPr>
      <w:rPr>
        <w:rFonts w:ascii="Wingdings" w:hAnsi="Wingdings" w:hint="default"/>
      </w:rPr>
    </w:lvl>
    <w:lvl w:ilvl="7" w:tplc="871CB1A4" w:tentative="1">
      <w:start w:val="1"/>
      <w:numFmt w:val="bullet"/>
      <w:lvlText w:val=""/>
      <w:lvlJc w:val="left"/>
      <w:pPr>
        <w:tabs>
          <w:tab w:val="num" w:pos="5760"/>
        </w:tabs>
        <w:ind w:left="5760" w:hanging="360"/>
      </w:pPr>
      <w:rPr>
        <w:rFonts w:ascii="Wingdings" w:hAnsi="Wingdings" w:hint="default"/>
      </w:rPr>
    </w:lvl>
    <w:lvl w:ilvl="8" w:tplc="7304EFE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144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136D7"/>
    <w:multiLevelType w:val="hybridMultilevel"/>
    <w:tmpl w:val="53101DB4"/>
    <w:lvl w:ilvl="0" w:tplc="79702E4A">
      <w:start w:val="1"/>
      <w:numFmt w:val="decimal"/>
      <w:lvlText w:val="(%1)"/>
      <w:lvlJc w:val="left"/>
      <w:pPr>
        <w:ind w:left="1080" w:hanging="360"/>
      </w:pPr>
      <w:rPr>
        <w:rFonts w:hint="eastAsia"/>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 w15:restartNumberingAfterBreak="0">
    <w:nsid w:val="2A13606C"/>
    <w:multiLevelType w:val="hybridMultilevel"/>
    <w:tmpl w:val="C8C4B844"/>
    <w:lvl w:ilvl="0" w:tplc="816C92CE">
      <w:start w:val="1"/>
      <w:numFmt w:val="bullet"/>
      <w:lvlText w:val="•"/>
      <w:lvlJc w:val="left"/>
      <w:pPr>
        <w:tabs>
          <w:tab w:val="num" w:pos="720"/>
        </w:tabs>
        <w:ind w:left="720" w:hanging="360"/>
      </w:pPr>
      <w:rPr>
        <w:rFonts w:ascii="Arial" w:hAnsi="Arial" w:hint="default"/>
      </w:rPr>
    </w:lvl>
    <w:lvl w:ilvl="1" w:tplc="57C0CD2A">
      <w:numFmt w:val="bullet"/>
      <w:lvlText w:val="•"/>
      <w:lvlJc w:val="left"/>
      <w:pPr>
        <w:tabs>
          <w:tab w:val="num" w:pos="1440"/>
        </w:tabs>
        <w:ind w:left="1440" w:hanging="360"/>
      </w:pPr>
      <w:rPr>
        <w:rFonts w:ascii="Arial" w:hAnsi="Arial" w:hint="default"/>
      </w:rPr>
    </w:lvl>
    <w:lvl w:ilvl="2" w:tplc="56A6B78A">
      <w:numFmt w:val="bullet"/>
      <w:lvlText w:val="•"/>
      <w:lvlJc w:val="left"/>
      <w:pPr>
        <w:tabs>
          <w:tab w:val="num" w:pos="2160"/>
        </w:tabs>
        <w:ind w:left="2160" w:hanging="360"/>
      </w:pPr>
      <w:rPr>
        <w:rFonts w:ascii="Arial" w:hAnsi="Arial" w:hint="default"/>
      </w:rPr>
    </w:lvl>
    <w:lvl w:ilvl="3" w:tplc="BB4CD65C">
      <w:numFmt w:val="bullet"/>
      <w:lvlText w:val="•"/>
      <w:lvlJc w:val="left"/>
      <w:pPr>
        <w:tabs>
          <w:tab w:val="num" w:pos="2880"/>
        </w:tabs>
        <w:ind w:left="2880" w:hanging="360"/>
      </w:pPr>
      <w:rPr>
        <w:rFonts w:ascii="Arial" w:hAnsi="Arial" w:hint="default"/>
      </w:rPr>
    </w:lvl>
    <w:lvl w:ilvl="4" w:tplc="2F9E3054" w:tentative="1">
      <w:start w:val="1"/>
      <w:numFmt w:val="bullet"/>
      <w:lvlText w:val="•"/>
      <w:lvlJc w:val="left"/>
      <w:pPr>
        <w:tabs>
          <w:tab w:val="num" w:pos="3600"/>
        </w:tabs>
        <w:ind w:left="3600" w:hanging="360"/>
      </w:pPr>
      <w:rPr>
        <w:rFonts w:ascii="Arial" w:hAnsi="Arial" w:hint="default"/>
      </w:rPr>
    </w:lvl>
    <w:lvl w:ilvl="5" w:tplc="59825E36" w:tentative="1">
      <w:start w:val="1"/>
      <w:numFmt w:val="bullet"/>
      <w:lvlText w:val="•"/>
      <w:lvlJc w:val="left"/>
      <w:pPr>
        <w:tabs>
          <w:tab w:val="num" w:pos="4320"/>
        </w:tabs>
        <w:ind w:left="4320" w:hanging="360"/>
      </w:pPr>
      <w:rPr>
        <w:rFonts w:ascii="Arial" w:hAnsi="Arial" w:hint="default"/>
      </w:rPr>
    </w:lvl>
    <w:lvl w:ilvl="6" w:tplc="9C64162C" w:tentative="1">
      <w:start w:val="1"/>
      <w:numFmt w:val="bullet"/>
      <w:lvlText w:val="•"/>
      <w:lvlJc w:val="left"/>
      <w:pPr>
        <w:tabs>
          <w:tab w:val="num" w:pos="5040"/>
        </w:tabs>
        <w:ind w:left="5040" w:hanging="360"/>
      </w:pPr>
      <w:rPr>
        <w:rFonts w:ascii="Arial" w:hAnsi="Arial" w:hint="default"/>
      </w:rPr>
    </w:lvl>
    <w:lvl w:ilvl="7" w:tplc="DB981570" w:tentative="1">
      <w:start w:val="1"/>
      <w:numFmt w:val="bullet"/>
      <w:lvlText w:val="•"/>
      <w:lvlJc w:val="left"/>
      <w:pPr>
        <w:tabs>
          <w:tab w:val="num" w:pos="5760"/>
        </w:tabs>
        <w:ind w:left="5760" w:hanging="360"/>
      </w:pPr>
      <w:rPr>
        <w:rFonts w:ascii="Arial" w:hAnsi="Arial" w:hint="default"/>
      </w:rPr>
    </w:lvl>
    <w:lvl w:ilvl="8" w:tplc="CA2EC6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D4770F"/>
    <w:multiLevelType w:val="hybridMultilevel"/>
    <w:tmpl w:val="AFBC4B10"/>
    <w:lvl w:ilvl="0" w:tplc="033EA46E">
      <w:start w:val="1"/>
      <w:numFmt w:val="bullet"/>
      <w:lvlText w:val="•"/>
      <w:lvlJc w:val="left"/>
      <w:pPr>
        <w:tabs>
          <w:tab w:val="num" w:pos="720"/>
        </w:tabs>
        <w:ind w:left="720" w:hanging="360"/>
      </w:pPr>
      <w:rPr>
        <w:rFonts w:ascii="Arial" w:hAnsi="Arial" w:hint="default"/>
      </w:rPr>
    </w:lvl>
    <w:lvl w:ilvl="1" w:tplc="AE8A6F18" w:tentative="1">
      <w:start w:val="1"/>
      <w:numFmt w:val="bullet"/>
      <w:lvlText w:val="•"/>
      <w:lvlJc w:val="left"/>
      <w:pPr>
        <w:tabs>
          <w:tab w:val="num" w:pos="1440"/>
        </w:tabs>
        <w:ind w:left="1440" w:hanging="360"/>
      </w:pPr>
      <w:rPr>
        <w:rFonts w:ascii="Arial" w:hAnsi="Arial" w:hint="default"/>
      </w:rPr>
    </w:lvl>
    <w:lvl w:ilvl="2" w:tplc="8C529BA2" w:tentative="1">
      <w:start w:val="1"/>
      <w:numFmt w:val="bullet"/>
      <w:lvlText w:val="•"/>
      <w:lvlJc w:val="left"/>
      <w:pPr>
        <w:tabs>
          <w:tab w:val="num" w:pos="2160"/>
        </w:tabs>
        <w:ind w:left="2160" w:hanging="360"/>
      </w:pPr>
      <w:rPr>
        <w:rFonts w:ascii="Arial" w:hAnsi="Arial" w:hint="default"/>
      </w:rPr>
    </w:lvl>
    <w:lvl w:ilvl="3" w:tplc="11D2167C" w:tentative="1">
      <w:start w:val="1"/>
      <w:numFmt w:val="bullet"/>
      <w:lvlText w:val="•"/>
      <w:lvlJc w:val="left"/>
      <w:pPr>
        <w:tabs>
          <w:tab w:val="num" w:pos="2880"/>
        </w:tabs>
        <w:ind w:left="2880" w:hanging="360"/>
      </w:pPr>
      <w:rPr>
        <w:rFonts w:ascii="Arial" w:hAnsi="Arial" w:hint="default"/>
      </w:rPr>
    </w:lvl>
    <w:lvl w:ilvl="4" w:tplc="1298A68C" w:tentative="1">
      <w:start w:val="1"/>
      <w:numFmt w:val="bullet"/>
      <w:lvlText w:val="•"/>
      <w:lvlJc w:val="left"/>
      <w:pPr>
        <w:tabs>
          <w:tab w:val="num" w:pos="3600"/>
        </w:tabs>
        <w:ind w:left="3600" w:hanging="360"/>
      </w:pPr>
      <w:rPr>
        <w:rFonts w:ascii="Arial" w:hAnsi="Arial" w:hint="default"/>
      </w:rPr>
    </w:lvl>
    <w:lvl w:ilvl="5" w:tplc="BE82046E" w:tentative="1">
      <w:start w:val="1"/>
      <w:numFmt w:val="bullet"/>
      <w:lvlText w:val="•"/>
      <w:lvlJc w:val="left"/>
      <w:pPr>
        <w:tabs>
          <w:tab w:val="num" w:pos="4320"/>
        </w:tabs>
        <w:ind w:left="4320" w:hanging="360"/>
      </w:pPr>
      <w:rPr>
        <w:rFonts w:ascii="Arial" w:hAnsi="Arial" w:hint="default"/>
      </w:rPr>
    </w:lvl>
    <w:lvl w:ilvl="6" w:tplc="436847B4" w:tentative="1">
      <w:start w:val="1"/>
      <w:numFmt w:val="bullet"/>
      <w:lvlText w:val="•"/>
      <w:lvlJc w:val="left"/>
      <w:pPr>
        <w:tabs>
          <w:tab w:val="num" w:pos="5040"/>
        </w:tabs>
        <w:ind w:left="5040" w:hanging="360"/>
      </w:pPr>
      <w:rPr>
        <w:rFonts w:ascii="Arial" w:hAnsi="Arial" w:hint="default"/>
      </w:rPr>
    </w:lvl>
    <w:lvl w:ilvl="7" w:tplc="1CB816D8" w:tentative="1">
      <w:start w:val="1"/>
      <w:numFmt w:val="bullet"/>
      <w:lvlText w:val="•"/>
      <w:lvlJc w:val="left"/>
      <w:pPr>
        <w:tabs>
          <w:tab w:val="num" w:pos="5760"/>
        </w:tabs>
        <w:ind w:left="5760" w:hanging="360"/>
      </w:pPr>
      <w:rPr>
        <w:rFonts w:ascii="Arial" w:hAnsi="Arial" w:hint="default"/>
      </w:rPr>
    </w:lvl>
    <w:lvl w:ilvl="8" w:tplc="9D4AB8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94309E"/>
    <w:multiLevelType w:val="hybridMultilevel"/>
    <w:tmpl w:val="B03A3732"/>
    <w:lvl w:ilvl="0" w:tplc="FEA248BE">
      <w:start w:val="1"/>
      <w:numFmt w:val="bullet"/>
      <w:lvlText w:val="•"/>
      <w:lvlJc w:val="left"/>
      <w:pPr>
        <w:tabs>
          <w:tab w:val="num" w:pos="720"/>
        </w:tabs>
        <w:ind w:left="720" w:hanging="360"/>
      </w:pPr>
      <w:rPr>
        <w:rFonts w:ascii="Arial" w:hAnsi="Arial" w:hint="default"/>
      </w:rPr>
    </w:lvl>
    <w:lvl w:ilvl="1" w:tplc="FAEE003E">
      <w:start w:val="1"/>
      <w:numFmt w:val="bullet"/>
      <w:lvlText w:val="•"/>
      <w:lvlJc w:val="left"/>
      <w:pPr>
        <w:tabs>
          <w:tab w:val="num" w:pos="1440"/>
        </w:tabs>
        <w:ind w:left="1440" w:hanging="360"/>
      </w:pPr>
      <w:rPr>
        <w:rFonts w:ascii="Arial" w:hAnsi="Arial" w:hint="default"/>
      </w:rPr>
    </w:lvl>
    <w:lvl w:ilvl="2" w:tplc="B0DC9760" w:tentative="1">
      <w:start w:val="1"/>
      <w:numFmt w:val="bullet"/>
      <w:lvlText w:val="•"/>
      <w:lvlJc w:val="left"/>
      <w:pPr>
        <w:tabs>
          <w:tab w:val="num" w:pos="2160"/>
        </w:tabs>
        <w:ind w:left="2160" w:hanging="360"/>
      </w:pPr>
      <w:rPr>
        <w:rFonts w:ascii="Arial" w:hAnsi="Arial" w:hint="default"/>
      </w:rPr>
    </w:lvl>
    <w:lvl w:ilvl="3" w:tplc="C76E4C30" w:tentative="1">
      <w:start w:val="1"/>
      <w:numFmt w:val="bullet"/>
      <w:lvlText w:val="•"/>
      <w:lvlJc w:val="left"/>
      <w:pPr>
        <w:tabs>
          <w:tab w:val="num" w:pos="2880"/>
        </w:tabs>
        <w:ind w:left="2880" w:hanging="360"/>
      </w:pPr>
      <w:rPr>
        <w:rFonts w:ascii="Arial" w:hAnsi="Arial" w:hint="default"/>
      </w:rPr>
    </w:lvl>
    <w:lvl w:ilvl="4" w:tplc="5052D366" w:tentative="1">
      <w:start w:val="1"/>
      <w:numFmt w:val="bullet"/>
      <w:lvlText w:val="•"/>
      <w:lvlJc w:val="left"/>
      <w:pPr>
        <w:tabs>
          <w:tab w:val="num" w:pos="3600"/>
        </w:tabs>
        <w:ind w:left="3600" w:hanging="360"/>
      </w:pPr>
      <w:rPr>
        <w:rFonts w:ascii="Arial" w:hAnsi="Arial" w:hint="default"/>
      </w:rPr>
    </w:lvl>
    <w:lvl w:ilvl="5" w:tplc="73CE355A" w:tentative="1">
      <w:start w:val="1"/>
      <w:numFmt w:val="bullet"/>
      <w:lvlText w:val="•"/>
      <w:lvlJc w:val="left"/>
      <w:pPr>
        <w:tabs>
          <w:tab w:val="num" w:pos="4320"/>
        </w:tabs>
        <w:ind w:left="4320" w:hanging="360"/>
      </w:pPr>
      <w:rPr>
        <w:rFonts w:ascii="Arial" w:hAnsi="Arial" w:hint="default"/>
      </w:rPr>
    </w:lvl>
    <w:lvl w:ilvl="6" w:tplc="28442B7E" w:tentative="1">
      <w:start w:val="1"/>
      <w:numFmt w:val="bullet"/>
      <w:lvlText w:val="•"/>
      <w:lvlJc w:val="left"/>
      <w:pPr>
        <w:tabs>
          <w:tab w:val="num" w:pos="5040"/>
        </w:tabs>
        <w:ind w:left="5040" w:hanging="360"/>
      </w:pPr>
      <w:rPr>
        <w:rFonts w:ascii="Arial" w:hAnsi="Arial" w:hint="default"/>
      </w:rPr>
    </w:lvl>
    <w:lvl w:ilvl="7" w:tplc="00C27252" w:tentative="1">
      <w:start w:val="1"/>
      <w:numFmt w:val="bullet"/>
      <w:lvlText w:val="•"/>
      <w:lvlJc w:val="left"/>
      <w:pPr>
        <w:tabs>
          <w:tab w:val="num" w:pos="5760"/>
        </w:tabs>
        <w:ind w:left="5760" w:hanging="360"/>
      </w:pPr>
      <w:rPr>
        <w:rFonts w:ascii="Arial" w:hAnsi="Arial" w:hint="default"/>
      </w:rPr>
    </w:lvl>
    <w:lvl w:ilvl="8" w:tplc="44E2EA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F10AB"/>
    <w:multiLevelType w:val="hybridMultilevel"/>
    <w:tmpl w:val="67EEA7CE"/>
    <w:lvl w:ilvl="0" w:tplc="A5BED35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415488"/>
    <w:multiLevelType w:val="hybridMultilevel"/>
    <w:tmpl w:val="62C22EB8"/>
    <w:lvl w:ilvl="0" w:tplc="D7E6539E">
      <w:start w:val="1"/>
      <w:numFmt w:val="bullet"/>
      <w:lvlText w:val="•"/>
      <w:lvlJc w:val="left"/>
      <w:pPr>
        <w:tabs>
          <w:tab w:val="num" w:pos="720"/>
        </w:tabs>
        <w:ind w:left="720" w:hanging="360"/>
      </w:pPr>
      <w:rPr>
        <w:rFonts w:ascii="Arial" w:hAnsi="Arial" w:hint="default"/>
      </w:rPr>
    </w:lvl>
    <w:lvl w:ilvl="1" w:tplc="3E9A02DC">
      <w:numFmt w:val="bullet"/>
      <w:lvlText w:val="•"/>
      <w:lvlJc w:val="left"/>
      <w:pPr>
        <w:tabs>
          <w:tab w:val="num" w:pos="1440"/>
        </w:tabs>
        <w:ind w:left="1440" w:hanging="360"/>
      </w:pPr>
      <w:rPr>
        <w:rFonts w:ascii="Arial" w:hAnsi="Arial" w:hint="default"/>
      </w:rPr>
    </w:lvl>
    <w:lvl w:ilvl="2" w:tplc="25EE9C1A" w:tentative="1">
      <w:start w:val="1"/>
      <w:numFmt w:val="bullet"/>
      <w:lvlText w:val="•"/>
      <w:lvlJc w:val="left"/>
      <w:pPr>
        <w:tabs>
          <w:tab w:val="num" w:pos="2160"/>
        </w:tabs>
        <w:ind w:left="2160" w:hanging="360"/>
      </w:pPr>
      <w:rPr>
        <w:rFonts w:ascii="Arial" w:hAnsi="Arial" w:hint="default"/>
      </w:rPr>
    </w:lvl>
    <w:lvl w:ilvl="3" w:tplc="0C86E110" w:tentative="1">
      <w:start w:val="1"/>
      <w:numFmt w:val="bullet"/>
      <w:lvlText w:val="•"/>
      <w:lvlJc w:val="left"/>
      <w:pPr>
        <w:tabs>
          <w:tab w:val="num" w:pos="2880"/>
        </w:tabs>
        <w:ind w:left="2880" w:hanging="360"/>
      </w:pPr>
      <w:rPr>
        <w:rFonts w:ascii="Arial" w:hAnsi="Arial" w:hint="default"/>
      </w:rPr>
    </w:lvl>
    <w:lvl w:ilvl="4" w:tplc="BCC67FD6" w:tentative="1">
      <w:start w:val="1"/>
      <w:numFmt w:val="bullet"/>
      <w:lvlText w:val="•"/>
      <w:lvlJc w:val="left"/>
      <w:pPr>
        <w:tabs>
          <w:tab w:val="num" w:pos="3600"/>
        </w:tabs>
        <w:ind w:left="3600" w:hanging="360"/>
      </w:pPr>
      <w:rPr>
        <w:rFonts w:ascii="Arial" w:hAnsi="Arial" w:hint="default"/>
      </w:rPr>
    </w:lvl>
    <w:lvl w:ilvl="5" w:tplc="AC1A0A74" w:tentative="1">
      <w:start w:val="1"/>
      <w:numFmt w:val="bullet"/>
      <w:lvlText w:val="•"/>
      <w:lvlJc w:val="left"/>
      <w:pPr>
        <w:tabs>
          <w:tab w:val="num" w:pos="4320"/>
        </w:tabs>
        <w:ind w:left="4320" w:hanging="360"/>
      </w:pPr>
      <w:rPr>
        <w:rFonts w:ascii="Arial" w:hAnsi="Arial" w:hint="default"/>
      </w:rPr>
    </w:lvl>
    <w:lvl w:ilvl="6" w:tplc="6D302904" w:tentative="1">
      <w:start w:val="1"/>
      <w:numFmt w:val="bullet"/>
      <w:lvlText w:val="•"/>
      <w:lvlJc w:val="left"/>
      <w:pPr>
        <w:tabs>
          <w:tab w:val="num" w:pos="5040"/>
        </w:tabs>
        <w:ind w:left="5040" w:hanging="360"/>
      </w:pPr>
      <w:rPr>
        <w:rFonts w:ascii="Arial" w:hAnsi="Arial" w:hint="default"/>
      </w:rPr>
    </w:lvl>
    <w:lvl w:ilvl="7" w:tplc="09DA2B14" w:tentative="1">
      <w:start w:val="1"/>
      <w:numFmt w:val="bullet"/>
      <w:lvlText w:val="•"/>
      <w:lvlJc w:val="left"/>
      <w:pPr>
        <w:tabs>
          <w:tab w:val="num" w:pos="5760"/>
        </w:tabs>
        <w:ind w:left="5760" w:hanging="360"/>
      </w:pPr>
      <w:rPr>
        <w:rFonts w:ascii="Arial" w:hAnsi="Arial" w:hint="default"/>
      </w:rPr>
    </w:lvl>
    <w:lvl w:ilvl="8" w:tplc="F7EA4F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A32DF5"/>
    <w:multiLevelType w:val="hybridMultilevel"/>
    <w:tmpl w:val="7AAE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B94137"/>
    <w:multiLevelType w:val="hybridMultilevel"/>
    <w:tmpl w:val="1D5CD7A4"/>
    <w:lvl w:ilvl="0" w:tplc="3F04F998">
      <w:start w:val="1"/>
      <w:numFmt w:val="bullet"/>
      <w:lvlText w:val="•"/>
      <w:lvlJc w:val="left"/>
      <w:pPr>
        <w:tabs>
          <w:tab w:val="num" w:pos="720"/>
        </w:tabs>
        <w:ind w:left="720" w:hanging="360"/>
      </w:pPr>
      <w:rPr>
        <w:rFonts w:ascii="Arial" w:hAnsi="Arial" w:hint="default"/>
      </w:rPr>
    </w:lvl>
    <w:lvl w:ilvl="1" w:tplc="E20C990C">
      <w:numFmt w:val="bullet"/>
      <w:lvlText w:val="•"/>
      <w:lvlJc w:val="left"/>
      <w:pPr>
        <w:tabs>
          <w:tab w:val="num" w:pos="1440"/>
        </w:tabs>
        <w:ind w:left="1440" w:hanging="360"/>
      </w:pPr>
      <w:rPr>
        <w:rFonts w:ascii="Arial" w:hAnsi="Arial" w:hint="default"/>
      </w:rPr>
    </w:lvl>
    <w:lvl w:ilvl="2" w:tplc="E26497A0">
      <w:numFmt w:val="bullet"/>
      <w:lvlText w:val="•"/>
      <w:lvlJc w:val="left"/>
      <w:pPr>
        <w:tabs>
          <w:tab w:val="num" w:pos="2160"/>
        </w:tabs>
        <w:ind w:left="2160" w:hanging="360"/>
      </w:pPr>
      <w:rPr>
        <w:rFonts w:ascii="Arial" w:hAnsi="Arial" w:hint="default"/>
      </w:rPr>
    </w:lvl>
    <w:lvl w:ilvl="3" w:tplc="50485B70" w:tentative="1">
      <w:start w:val="1"/>
      <w:numFmt w:val="bullet"/>
      <w:lvlText w:val="•"/>
      <w:lvlJc w:val="left"/>
      <w:pPr>
        <w:tabs>
          <w:tab w:val="num" w:pos="2880"/>
        </w:tabs>
        <w:ind w:left="2880" w:hanging="360"/>
      </w:pPr>
      <w:rPr>
        <w:rFonts w:ascii="Arial" w:hAnsi="Arial" w:hint="default"/>
      </w:rPr>
    </w:lvl>
    <w:lvl w:ilvl="4" w:tplc="75468D48" w:tentative="1">
      <w:start w:val="1"/>
      <w:numFmt w:val="bullet"/>
      <w:lvlText w:val="•"/>
      <w:lvlJc w:val="left"/>
      <w:pPr>
        <w:tabs>
          <w:tab w:val="num" w:pos="3600"/>
        </w:tabs>
        <w:ind w:left="3600" w:hanging="360"/>
      </w:pPr>
      <w:rPr>
        <w:rFonts w:ascii="Arial" w:hAnsi="Arial" w:hint="default"/>
      </w:rPr>
    </w:lvl>
    <w:lvl w:ilvl="5" w:tplc="9F783856" w:tentative="1">
      <w:start w:val="1"/>
      <w:numFmt w:val="bullet"/>
      <w:lvlText w:val="•"/>
      <w:lvlJc w:val="left"/>
      <w:pPr>
        <w:tabs>
          <w:tab w:val="num" w:pos="4320"/>
        </w:tabs>
        <w:ind w:left="4320" w:hanging="360"/>
      </w:pPr>
      <w:rPr>
        <w:rFonts w:ascii="Arial" w:hAnsi="Arial" w:hint="default"/>
      </w:rPr>
    </w:lvl>
    <w:lvl w:ilvl="6" w:tplc="B5F6233E" w:tentative="1">
      <w:start w:val="1"/>
      <w:numFmt w:val="bullet"/>
      <w:lvlText w:val="•"/>
      <w:lvlJc w:val="left"/>
      <w:pPr>
        <w:tabs>
          <w:tab w:val="num" w:pos="5040"/>
        </w:tabs>
        <w:ind w:left="5040" w:hanging="360"/>
      </w:pPr>
      <w:rPr>
        <w:rFonts w:ascii="Arial" w:hAnsi="Arial" w:hint="default"/>
      </w:rPr>
    </w:lvl>
    <w:lvl w:ilvl="7" w:tplc="44F838C8" w:tentative="1">
      <w:start w:val="1"/>
      <w:numFmt w:val="bullet"/>
      <w:lvlText w:val="•"/>
      <w:lvlJc w:val="left"/>
      <w:pPr>
        <w:tabs>
          <w:tab w:val="num" w:pos="5760"/>
        </w:tabs>
        <w:ind w:left="5760" w:hanging="360"/>
      </w:pPr>
      <w:rPr>
        <w:rFonts w:ascii="Arial" w:hAnsi="Arial" w:hint="default"/>
      </w:rPr>
    </w:lvl>
    <w:lvl w:ilvl="8" w:tplc="9CFC11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5D1638"/>
    <w:multiLevelType w:val="hybridMultilevel"/>
    <w:tmpl w:val="FB72D4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DC4967"/>
    <w:multiLevelType w:val="hybridMultilevel"/>
    <w:tmpl w:val="8A6AAB0A"/>
    <w:lvl w:ilvl="0" w:tplc="09C083B6">
      <w:start w:val="1"/>
      <w:numFmt w:val="bullet"/>
      <w:lvlText w:val="•"/>
      <w:lvlJc w:val="left"/>
      <w:pPr>
        <w:tabs>
          <w:tab w:val="num" w:pos="720"/>
        </w:tabs>
        <w:ind w:left="720" w:hanging="360"/>
      </w:pPr>
      <w:rPr>
        <w:rFonts w:ascii="Arial" w:hAnsi="Arial" w:hint="default"/>
      </w:rPr>
    </w:lvl>
    <w:lvl w:ilvl="1" w:tplc="7D0CC4C6">
      <w:numFmt w:val="bullet"/>
      <w:lvlText w:val="•"/>
      <w:lvlJc w:val="left"/>
      <w:pPr>
        <w:tabs>
          <w:tab w:val="num" w:pos="1440"/>
        </w:tabs>
        <w:ind w:left="1440" w:hanging="360"/>
      </w:pPr>
      <w:rPr>
        <w:rFonts w:ascii="Arial" w:hAnsi="Arial" w:hint="default"/>
      </w:rPr>
    </w:lvl>
    <w:lvl w:ilvl="2" w:tplc="5AC6F2FE">
      <w:numFmt w:val="bullet"/>
      <w:lvlText w:val="•"/>
      <w:lvlJc w:val="left"/>
      <w:pPr>
        <w:tabs>
          <w:tab w:val="num" w:pos="2160"/>
        </w:tabs>
        <w:ind w:left="2160" w:hanging="360"/>
      </w:pPr>
      <w:rPr>
        <w:rFonts w:ascii="Arial" w:hAnsi="Arial" w:hint="default"/>
      </w:rPr>
    </w:lvl>
    <w:lvl w:ilvl="3" w:tplc="BBE60FD0" w:tentative="1">
      <w:start w:val="1"/>
      <w:numFmt w:val="bullet"/>
      <w:lvlText w:val="•"/>
      <w:lvlJc w:val="left"/>
      <w:pPr>
        <w:tabs>
          <w:tab w:val="num" w:pos="2880"/>
        </w:tabs>
        <w:ind w:left="2880" w:hanging="360"/>
      </w:pPr>
      <w:rPr>
        <w:rFonts w:ascii="Arial" w:hAnsi="Arial" w:hint="default"/>
      </w:rPr>
    </w:lvl>
    <w:lvl w:ilvl="4" w:tplc="02828AD2" w:tentative="1">
      <w:start w:val="1"/>
      <w:numFmt w:val="bullet"/>
      <w:lvlText w:val="•"/>
      <w:lvlJc w:val="left"/>
      <w:pPr>
        <w:tabs>
          <w:tab w:val="num" w:pos="3600"/>
        </w:tabs>
        <w:ind w:left="3600" w:hanging="360"/>
      </w:pPr>
      <w:rPr>
        <w:rFonts w:ascii="Arial" w:hAnsi="Arial" w:hint="default"/>
      </w:rPr>
    </w:lvl>
    <w:lvl w:ilvl="5" w:tplc="3AF06406" w:tentative="1">
      <w:start w:val="1"/>
      <w:numFmt w:val="bullet"/>
      <w:lvlText w:val="•"/>
      <w:lvlJc w:val="left"/>
      <w:pPr>
        <w:tabs>
          <w:tab w:val="num" w:pos="4320"/>
        </w:tabs>
        <w:ind w:left="4320" w:hanging="360"/>
      </w:pPr>
      <w:rPr>
        <w:rFonts w:ascii="Arial" w:hAnsi="Arial" w:hint="default"/>
      </w:rPr>
    </w:lvl>
    <w:lvl w:ilvl="6" w:tplc="C34A9654" w:tentative="1">
      <w:start w:val="1"/>
      <w:numFmt w:val="bullet"/>
      <w:lvlText w:val="•"/>
      <w:lvlJc w:val="left"/>
      <w:pPr>
        <w:tabs>
          <w:tab w:val="num" w:pos="5040"/>
        </w:tabs>
        <w:ind w:left="5040" w:hanging="360"/>
      </w:pPr>
      <w:rPr>
        <w:rFonts w:ascii="Arial" w:hAnsi="Arial" w:hint="default"/>
      </w:rPr>
    </w:lvl>
    <w:lvl w:ilvl="7" w:tplc="8B1630AA" w:tentative="1">
      <w:start w:val="1"/>
      <w:numFmt w:val="bullet"/>
      <w:lvlText w:val="•"/>
      <w:lvlJc w:val="left"/>
      <w:pPr>
        <w:tabs>
          <w:tab w:val="num" w:pos="5760"/>
        </w:tabs>
        <w:ind w:left="5760" w:hanging="360"/>
      </w:pPr>
      <w:rPr>
        <w:rFonts w:ascii="Arial" w:hAnsi="Arial" w:hint="default"/>
      </w:rPr>
    </w:lvl>
    <w:lvl w:ilvl="8" w:tplc="635094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647B6F"/>
    <w:multiLevelType w:val="hybridMultilevel"/>
    <w:tmpl w:val="6D0841E4"/>
    <w:lvl w:ilvl="0" w:tplc="56E4D0A0">
      <w:start w:val="1"/>
      <w:numFmt w:val="bullet"/>
      <w:lvlText w:val="•"/>
      <w:lvlJc w:val="left"/>
      <w:pPr>
        <w:tabs>
          <w:tab w:val="num" w:pos="720"/>
        </w:tabs>
        <w:ind w:left="720" w:hanging="360"/>
      </w:pPr>
      <w:rPr>
        <w:rFonts w:ascii="Arial" w:hAnsi="Arial" w:hint="default"/>
      </w:rPr>
    </w:lvl>
    <w:lvl w:ilvl="1" w:tplc="4380FD14">
      <w:numFmt w:val="bullet"/>
      <w:lvlText w:val="•"/>
      <w:lvlJc w:val="left"/>
      <w:pPr>
        <w:tabs>
          <w:tab w:val="num" w:pos="1440"/>
        </w:tabs>
        <w:ind w:left="1440" w:hanging="360"/>
      </w:pPr>
      <w:rPr>
        <w:rFonts w:ascii="Arial" w:hAnsi="Arial" w:hint="default"/>
      </w:rPr>
    </w:lvl>
    <w:lvl w:ilvl="2" w:tplc="73F29702">
      <w:numFmt w:val="bullet"/>
      <w:lvlText w:val="•"/>
      <w:lvlJc w:val="left"/>
      <w:pPr>
        <w:tabs>
          <w:tab w:val="num" w:pos="2160"/>
        </w:tabs>
        <w:ind w:left="2160" w:hanging="360"/>
      </w:pPr>
      <w:rPr>
        <w:rFonts w:ascii="Arial" w:hAnsi="Arial" w:hint="default"/>
      </w:rPr>
    </w:lvl>
    <w:lvl w:ilvl="3" w:tplc="9776FC40" w:tentative="1">
      <w:start w:val="1"/>
      <w:numFmt w:val="bullet"/>
      <w:lvlText w:val="•"/>
      <w:lvlJc w:val="left"/>
      <w:pPr>
        <w:tabs>
          <w:tab w:val="num" w:pos="2880"/>
        </w:tabs>
        <w:ind w:left="2880" w:hanging="360"/>
      </w:pPr>
      <w:rPr>
        <w:rFonts w:ascii="Arial" w:hAnsi="Arial" w:hint="default"/>
      </w:rPr>
    </w:lvl>
    <w:lvl w:ilvl="4" w:tplc="DCDC704C" w:tentative="1">
      <w:start w:val="1"/>
      <w:numFmt w:val="bullet"/>
      <w:lvlText w:val="•"/>
      <w:lvlJc w:val="left"/>
      <w:pPr>
        <w:tabs>
          <w:tab w:val="num" w:pos="3600"/>
        </w:tabs>
        <w:ind w:left="3600" w:hanging="360"/>
      </w:pPr>
      <w:rPr>
        <w:rFonts w:ascii="Arial" w:hAnsi="Arial" w:hint="default"/>
      </w:rPr>
    </w:lvl>
    <w:lvl w:ilvl="5" w:tplc="8C4A71CC" w:tentative="1">
      <w:start w:val="1"/>
      <w:numFmt w:val="bullet"/>
      <w:lvlText w:val="•"/>
      <w:lvlJc w:val="left"/>
      <w:pPr>
        <w:tabs>
          <w:tab w:val="num" w:pos="4320"/>
        </w:tabs>
        <w:ind w:left="4320" w:hanging="360"/>
      </w:pPr>
      <w:rPr>
        <w:rFonts w:ascii="Arial" w:hAnsi="Arial" w:hint="default"/>
      </w:rPr>
    </w:lvl>
    <w:lvl w:ilvl="6" w:tplc="FED84F8E" w:tentative="1">
      <w:start w:val="1"/>
      <w:numFmt w:val="bullet"/>
      <w:lvlText w:val="•"/>
      <w:lvlJc w:val="left"/>
      <w:pPr>
        <w:tabs>
          <w:tab w:val="num" w:pos="5040"/>
        </w:tabs>
        <w:ind w:left="5040" w:hanging="360"/>
      </w:pPr>
      <w:rPr>
        <w:rFonts w:ascii="Arial" w:hAnsi="Arial" w:hint="default"/>
      </w:rPr>
    </w:lvl>
    <w:lvl w:ilvl="7" w:tplc="4F8ACFFE" w:tentative="1">
      <w:start w:val="1"/>
      <w:numFmt w:val="bullet"/>
      <w:lvlText w:val="•"/>
      <w:lvlJc w:val="left"/>
      <w:pPr>
        <w:tabs>
          <w:tab w:val="num" w:pos="5760"/>
        </w:tabs>
        <w:ind w:left="5760" w:hanging="360"/>
      </w:pPr>
      <w:rPr>
        <w:rFonts w:ascii="Arial" w:hAnsi="Arial" w:hint="default"/>
      </w:rPr>
    </w:lvl>
    <w:lvl w:ilvl="8" w:tplc="E3469D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51491E"/>
    <w:multiLevelType w:val="hybridMultilevel"/>
    <w:tmpl w:val="83EEE50E"/>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61E400AE">
      <w:numFmt w:val="bullet"/>
      <w:lvlText w:val="•"/>
      <w:lvlJc w:val="left"/>
      <w:pPr>
        <w:tabs>
          <w:tab w:val="num" w:pos="2160"/>
        </w:tabs>
        <w:ind w:left="2160" w:hanging="360"/>
      </w:pPr>
      <w:rPr>
        <w:rFonts w:ascii="Arial" w:hAnsi="Arial"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AC0254"/>
    <w:multiLevelType w:val="hybridMultilevel"/>
    <w:tmpl w:val="56964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559E9"/>
    <w:multiLevelType w:val="hybridMultilevel"/>
    <w:tmpl w:val="074094C2"/>
    <w:lvl w:ilvl="0" w:tplc="5B369BDC">
      <w:start w:val="1"/>
      <w:numFmt w:val="bullet"/>
      <w:lvlText w:val="•"/>
      <w:lvlJc w:val="left"/>
      <w:pPr>
        <w:tabs>
          <w:tab w:val="num" w:pos="720"/>
        </w:tabs>
        <w:ind w:left="720" w:hanging="360"/>
      </w:pPr>
      <w:rPr>
        <w:rFonts w:ascii="Arial" w:hAnsi="Arial" w:hint="default"/>
      </w:rPr>
    </w:lvl>
    <w:lvl w:ilvl="1" w:tplc="F3E4205A">
      <w:numFmt w:val="bullet"/>
      <w:lvlText w:val="•"/>
      <w:lvlJc w:val="left"/>
      <w:pPr>
        <w:tabs>
          <w:tab w:val="num" w:pos="1440"/>
        </w:tabs>
        <w:ind w:left="1440" w:hanging="360"/>
      </w:pPr>
      <w:rPr>
        <w:rFonts w:ascii="Arial" w:hAnsi="Arial" w:hint="default"/>
      </w:rPr>
    </w:lvl>
    <w:lvl w:ilvl="2" w:tplc="5D2A84E0">
      <w:start w:val="1"/>
      <w:numFmt w:val="bullet"/>
      <w:lvlText w:val="•"/>
      <w:lvlJc w:val="left"/>
      <w:pPr>
        <w:tabs>
          <w:tab w:val="num" w:pos="2160"/>
        </w:tabs>
        <w:ind w:left="2160" w:hanging="360"/>
      </w:pPr>
      <w:rPr>
        <w:rFonts w:ascii="Arial" w:hAnsi="Arial" w:hint="default"/>
      </w:rPr>
    </w:lvl>
    <w:lvl w:ilvl="3" w:tplc="00926236" w:tentative="1">
      <w:start w:val="1"/>
      <w:numFmt w:val="bullet"/>
      <w:lvlText w:val="•"/>
      <w:lvlJc w:val="left"/>
      <w:pPr>
        <w:tabs>
          <w:tab w:val="num" w:pos="2880"/>
        </w:tabs>
        <w:ind w:left="2880" w:hanging="360"/>
      </w:pPr>
      <w:rPr>
        <w:rFonts w:ascii="Arial" w:hAnsi="Arial" w:hint="default"/>
      </w:rPr>
    </w:lvl>
    <w:lvl w:ilvl="4" w:tplc="32400866" w:tentative="1">
      <w:start w:val="1"/>
      <w:numFmt w:val="bullet"/>
      <w:lvlText w:val="•"/>
      <w:lvlJc w:val="left"/>
      <w:pPr>
        <w:tabs>
          <w:tab w:val="num" w:pos="3600"/>
        </w:tabs>
        <w:ind w:left="3600" w:hanging="360"/>
      </w:pPr>
      <w:rPr>
        <w:rFonts w:ascii="Arial" w:hAnsi="Arial" w:hint="default"/>
      </w:rPr>
    </w:lvl>
    <w:lvl w:ilvl="5" w:tplc="A3C6791C" w:tentative="1">
      <w:start w:val="1"/>
      <w:numFmt w:val="bullet"/>
      <w:lvlText w:val="•"/>
      <w:lvlJc w:val="left"/>
      <w:pPr>
        <w:tabs>
          <w:tab w:val="num" w:pos="4320"/>
        </w:tabs>
        <w:ind w:left="4320" w:hanging="360"/>
      </w:pPr>
      <w:rPr>
        <w:rFonts w:ascii="Arial" w:hAnsi="Arial" w:hint="default"/>
      </w:rPr>
    </w:lvl>
    <w:lvl w:ilvl="6" w:tplc="93441934" w:tentative="1">
      <w:start w:val="1"/>
      <w:numFmt w:val="bullet"/>
      <w:lvlText w:val="•"/>
      <w:lvlJc w:val="left"/>
      <w:pPr>
        <w:tabs>
          <w:tab w:val="num" w:pos="5040"/>
        </w:tabs>
        <w:ind w:left="5040" w:hanging="360"/>
      </w:pPr>
      <w:rPr>
        <w:rFonts w:ascii="Arial" w:hAnsi="Arial" w:hint="default"/>
      </w:rPr>
    </w:lvl>
    <w:lvl w:ilvl="7" w:tplc="4130391C" w:tentative="1">
      <w:start w:val="1"/>
      <w:numFmt w:val="bullet"/>
      <w:lvlText w:val="•"/>
      <w:lvlJc w:val="left"/>
      <w:pPr>
        <w:tabs>
          <w:tab w:val="num" w:pos="5760"/>
        </w:tabs>
        <w:ind w:left="5760" w:hanging="360"/>
      </w:pPr>
      <w:rPr>
        <w:rFonts w:ascii="Arial" w:hAnsi="Arial" w:hint="default"/>
      </w:rPr>
    </w:lvl>
    <w:lvl w:ilvl="8" w:tplc="75A81F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740076"/>
    <w:multiLevelType w:val="hybridMultilevel"/>
    <w:tmpl w:val="94FE5C44"/>
    <w:lvl w:ilvl="0" w:tplc="0862D306">
      <w:start w:val="1"/>
      <w:numFmt w:val="bullet"/>
      <w:lvlText w:val="•"/>
      <w:lvlJc w:val="left"/>
      <w:pPr>
        <w:tabs>
          <w:tab w:val="num" w:pos="720"/>
        </w:tabs>
        <w:ind w:left="720" w:hanging="360"/>
      </w:pPr>
      <w:rPr>
        <w:rFonts w:ascii="Arial" w:hAnsi="Arial" w:hint="default"/>
      </w:rPr>
    </w:lvl>
    <w:lvl w:ilvl="1" w:tplc="3F58992C">
      <w:start w:val="1"/>
      <w:numFmt w:val="bullet"/>
      <w:lvlText w:val="•"/>
      <w:lvlJc w:val="left"/>
      <w:pPr>
        <w:tabs>
          <w:tab w:val="num" w:pos="1440"/>
        </w:tabs>
        <w:ind w:left="1440" w:hanging="360"/>
      </w:pPr>
      <w:rPr>
        <w:rFonts w:ascii="Arial" w:hAnsi="Arial" w:hint="default"/>
      </w:rPr>
    </w:lvl>
    <w:lvl w:ilvl="2" w:tplc="9D06762C" w:tentative="1">
      <w:start w:val="1"/>
      <w:numFmt w:val="bullet"/>
      <w:lvlText w:val="•"/>
      <w:lvlJc w:val="left"/>
      <w:pPr>
        <w:tabs>
          <w:tab w:val="num" w:pos="2160"/>
        </w:tabs>
        <w:ind w:left="2160" w:hanging="360"/>
      </w:pPr>
      <w:rPr>
        <w:rFonts w:ascii="Arial" w:hAnsi="Arial" w:hint="default"/>
      </w:rPr>
    </w:lvl>
    <w:lvl w:ilvl="3" w:tplc="10BA0D70" w:tentative="1">
      <w:start w:val="1"/>
      <w:numFmt w:val="bullet"/>
      <w:lvlText w:val="•"/>
      <w:lvlJc w:val="left"/>
      <w:pPr>
        <w:tabs>
          <w:tab w:val="num" w:pos="2880"/>
        </w:tabs>
        <w:ind w:left="2880" w:hanging="360"/>
      </w:pPr>
      <w:rPr>
        <w:rFonts w:ascii="Arial" w:hAnsi="Arial" w:hint="default"/>
      </w:rPr>
    </w:lvl>
    <w:lvl w:ilvl="4" w:tplc="ED3A4A8C" w:tentative="1">
      <w:start w:val="1"/>
      <w:numFmt w:val="bullet"/>
      <w:lvlText w:val="•"/>
      <w:lvlJc w:val="left"/>
      <w:pPr>
        <w:tabs>
          <w:tab w:val="num" w:pos="3600"/>
        </w:tabs>
        <w:ind w:left="3600" w:hanging="360"/>
      </w:pPr>
      <w:rPr>
        <w:rFonts w:ascii="Arial" w:hAnsi="Arial" w:hint="default"/>
      </w:rPr>
    </w:lvl>
    <w:lvl w:ilvl="5" w:tplc="69C891E4" w:tentative="1">
      <w:start w:val="1"/>
      <w:numFmt w:val="bullet"/>
      <w:lvlText w:val="•"/>
      <w:lvlJc w:val="left"/>
      <w:pPr>
        <w:tabs>
          <w:tab w:val="num" w:pos="4320"/>
        </w:tabs>
        <w:ind w:left="4320" w:hanging="360"/>
      </w:pPr>
      <w:rPr>
        <w:rFonts w:ascii="Arial" w:hAnsi="Arial" w:hint="default"/>
      </w:rPr>
    </w:lvl>
    <w:lvl w:ilvl="6" w:tplc="45DEBCBE" w:tentative="1">
      <w:start w:val="1"/>
      <w:numFmt w:val="bullet"/>
      <w:lvlText w:val="•"/>
      <w:lvlJc w:val="left"/>
      <w:pPr>
        <w:tabs>
          <w:tab w:val="num" w:pos="5040"/>
        </w:tabs>
        <w:ind w:left="5040" w:hanging="360"/>
      </w:pPr>
      <w:rPr>
        <w:rFonts w:ascii="Arial" w:hAnsi="Arial" w:hint="default"/>
      </w:rPr>
    </w:lvl>
    <w:lvl w:ilvl="7" w:tplc="787EF8D2" w:tentative="1">
      <w:start w:val="1"/>
      <w:numFmt w:val="bullet"/>
      <w:lvlText w:val="•"/>
      <w:lvlJc w:val="left"/>
      <w:pPr>
        <w:tabs>
          <w:tab w:val="num" w:pos="5760"/>
        </w:tabs>
        <w:ind w:left="5760" w:hanging="360"/>
      </w:pPr>
      <w:rPr>
        <w:rFonts w:ascii="Arial" w:hAnsi="Arial" w:hint="default"/>
      </w:rPr>
    </w:lvl>
    <w:lvl w:ilvl="8" w:tplc="5A10B1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6C000D"/>
    <w:multiLevelType w:val="hybridMultilevel"/>
    <w:tmpl w:val="60E243D8"/>
    <w:lvl w:ilvl="0" w:tplc="1A964422">
      <w:start w:val="1"/>
      <w:numFmt w:val="bullet"/>
      <w:lvlText w:val="•"/>
      <w:lvlJc w:val="left"/>
      <w:pPr>
        <w:tabs>
          <w:tab w:val="num" w:pos="720"/>
        </w:tabs>
        <w:ind w:left="720" w:hanging="360"/>
      </w:pPr>
      <w:rPr>
        <w:rFonts w:ascii="Arial" w:hAnsi="Arial" w:hint="default"/>
      </w:rPr>
    </w:lvl>
    <w:lvl w:ilvl="1" w:tplc="413E741E">
      <w:numFmt w:val="bullet"/>
      <w:lvlText w:val="•"/>
      <w:lvlJc w:val="left"/>
      <w:pPr>
        <w:tabs>
          <w:tab w:val="num" w:pos="1440"/>
        </w:tabs>
        <w:ind w:left="1440" w:hanging="360"/>
      </w:pPr>
      <w:rPr>
        <w:rFonts w:ascii="Arial" w:hAnsi="Arial" w:hint="default"/>
      </w:rPr>
    </w:lvl>
    <w:lvl w:ilvl="2" w:tplc="067AD086">
      <w:numFmt w:val="bullet"/>
      <w:lvlText w:val="•"/>
      <w:lvlJc w:val="left"/>
      <w:pPr>
        <w:tabs>
          <w:tab w:val="num" w:pos="2160"/>
        </w:tabs>
        <w:ind w:left="2160" w:hanging="360"/>
      </w:pPr>
      <w:rPr>
        <w:rFonts w:ascii="Arial" w:hAnsi="Arial" w:hint="default"/>
      </w:rPr>
    </w:lvl>
    <w:lvl w:ilvl="3" w:tplc="3D206084">
      <w:numFmt w:val="bullet"/>
      <w:lvlText w:val="•"/>
      <w:lvlJc w:val="left"/>
      <w:pPr>
        <w:tabs>
          <w:tab w:val="num" w:pos="2880"/>
        </w:tabs>
        <w:ind w:left="2880" w:hanging="360"/>
      </w:pPr>
      <w:rPr>
        <w:rFonts w:ascii="Arial" w:hAnsi="Arial" w:hint="default"/>
      </w:rPr>
    </w:lvl>
    <w:lvl w:ilvl="4" w:tplc="24240062" w:tentative="1">
      <w:start w:val="1"/>
      <w:numFmt w:val="bullet"/>
      <w:lvlText w:val="•"/>
      <w:lvlJc w:val="left"/>
      <w:pPr>
        <w:tabs>
          <w:tab w:val="num" w:pos="3600"/>
        </w:tabs>
        <w:ind w:left="3600" w:hanging="360"/>
      </w:pPr>
      <w:rPr>
        <w:rFonts w:ascii="Arial" w:hAnsi="Arial" w:hint="default"/>
      </w:rPr>
    </w:lvl>
    <w:lvl w:ilvl="5" w:tplc="E63E9CF4" w:tentative="1">
      <w:start w:val="1"/>
      <w:numFmt w:val="bullet"/>
      <w:lvlText w:val="•"/>
      <w:lvlJc w:val="left"/>
      <w:pPr>
        <w:tabs>
          <w:tab w:val="num" w:pos="4320"/>
        </w:tabs>
        <w:ind w:left="4320" w:hanging="360"/>
      </w:pPr>
      <w:rPr>
        <w:rFonts w:ascii="Arial" w:hAnsi="Arial" w:hint="default"/>
      </w:rPr>
    </w:lvl>
    <w:lvl w:ilvl="6" w:tplc="CE369158" w:tentative="1">
      <w:start w:val="1"/>
      <w:numFmt w:val="bullet"/>
      <w:lvlText w:val="•"/>
      <w:lvlJc w:val="left"/>
      <w:pPr>
        <w:tabs>
          <w:tab w:val="num" w:pos="5040"/>
        </w:tabs>
        <w:ind w:left="5040" w:hanging="360"/>
      </w:pPr>
      <w:rPr>
        <w:rFonts w:ascii="Arial" w:hAnsi="Arial" w:hint="default"/>
      </w:rPr>
    </w:lvl>
    <w:lvl w:ilvl="7" w:tplc="484844FE" w:tentative="1">
      <w:start w:val="1"/>
      <w:numFmt w:val="bullet"/>
      <w:lvlText w:val="•"/>
      <w:lvlJc w:val="left"/>
      <w:pPr>
        <w:tabs>
          <w:tab w:val="num" w:pos="5760"/>
        </w:tabs>
        <w:ind w:left="5760" w:hanging="360"/>
      </w:pPr>
      <w:rPr>
        <w:rFonts w:ascii="Arial" w:hAnsi="Arial" w:hint="default"/>
      </w:rPr>
    </w:lvl>
    <w:lvl w:ilvl="8" w:tplc="1DD842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446111"/>
    <w:multiLevelType w:val="hybridMultilevel"/>
    <w:tmpl w:val="09DEE0CC"/>
    <w:lvl w:ilvl="0" w:tplc="7D689D4C">
      <w:start w:val="1"/>
      <w:numFmt w:val="bullet"/>
      <w:lvlText w:val=""/>
      <w:lvlJc w:val="left"/>
      <w:pPr>
        <w:tabs>
          <w:tab w:val="num" w:pos="720"/>
        </w:tabs>
        <w:ind w:left="720" w:hanging="360"/>
      </w:pPr>
      <w:rPr>
        <w:rFonts w:ascii="Wingdings" w:hAnsi="Wingdings" w:hint="default"/>
      </w:rPr>
    </w:lvl>
    <w:lvl w:ilvl="1" w:tplc="F2229094">
      <w:start w:val="1"/>
      <w:numFmt w:val="bullet"/>
      <w:lvlText w:val=""/>
      <w:lvlJc w:val="left"/>
      <w:pPr>
        <w:tabs>
          <w:tab w:val="num" w:pos="1440"/>
        </w:tabs>
        <w:ind w:left="1440" w:hanging="360"/>
      </w:pPr>
      <w:rPr>
        <w:rFonts w:ascii="Wingdings" w:hAnsi="Wingdings" w:hint="default"/>
      </w:rPr>
    </w:lvl>
    <w:lvl w:ilvl="2" w:tplc="036CAA14" w:tentative="1">
      <w:start w:val="1"/>
      <w:numFmt w:val="bullet"/>
      <w:lvlText w:val=""/>
      <w:lvlJc w:val="left"/>
      <w:pPr>
        <w:tabs>
          <w:tab w:val="num" w:pos="2160"/>
        </w:tabs>
        <w:ind w:left="2160" w:hanging="360"/>
      </w:pPr>
      <w:rPr>
        <w:rFonts w:ascii="Wingdings" w:hAnsi="Wingdings" w:hint="default"/>
      </w:rPr>
    </w:lvl>
    <w:lvl w:ilvl="3" w:tplc="5910312A" w:tentative="1">
      <w:start w:val="1"/>
      <w:numFmt w:val="bullet"/>
      <w:lvlText w:val=""/>
      <w:lvlJc w:val="left"/>
      <w:pPr>
        <w:tabs>
          <w:tab w:val="num" w:pos="2880"/>
        </w:tabs>
        <w:ind w:left="2880" w:hanging="360"/>
      </w:pPr>
      <w:rPr>
        <w:rFonts w:ascii="Wingdings" w:hAnsi="Wingdings" w:hint="default"/>
      </w:rPr>
    </w:lvl>
    <w:lvl w:ilvl="4" w:tplc="9628F89C" w:tentative="1">
      <w:start w:val="1"/>
      <w:numFmt w:val="bullet"/>
      <w:lvlText w:val=""/>
      <w:lvlJc w:val="left"/>
      <w:pPr>
        <w:tabs>
          <w:tab w:val="num" w:pos="3600"/>
        </w:tabs>
        <w:ind w:left="3600" w:hanging="360"/>
      </w:pPr>
      <w:rPr>
        <w:rFonts w:ascii="Wingdings" w:hAnsi="Wingdings" w:hint="default"/>
      </w:rPr>
    </w:lvl>
    <w:lvl w:ilvl="5" w:tplc="0FF234E2" w:tentative="1">
      <w:start w:val="1"/>
      <w:numFmt w:val="bullet"/>
      <w:lvlText w:val=""/>
      <w:lvlJc w:val="left"/>
      <w:pPr>
        <w:tabs>
          <w:tab w:val="num" w:pos="4320"/>
        </w:tabs>
        <w:ind w:left="4320" w:hanging="360"/>
      </w:pPr>
      <w:rPr>
        <w:rFonts w:ascii="Wingdings" w:hAnsi="Wingdings" w:hint="default"/>
      </w:rPr>
    </w:lvl>
    <w:lvl w:ilvl="6" w:tplc="406CD016" w:tentative="1">
      <w:start w:val="1"/>
      <w:numFmt w:val="bullet"/>
      <w:lvlText w:val=""/>
      <w:lvlJc w:val="left"/>
      <w:pPr>
        <w:tabs>
          <w:tab w:val="num" w:pos="5040"/>
        </w:tabs>
        <w:ind w:left="5040" w:hanging="360"/>
      </w:pPr>
      <w:rPr>
        <w:rFonts w:ascii="Wingdings" w:hAnsi="Wingdings" w:hint="default"/>
      </w:rPr>
    </w:lvl>
    <w:lvl w:ilvl="7" w:tplc="6C44D794" w:tentative="1">
      <w:start w:val="1"/>
      <w:numFmt w:val="bullet"/>
      <w:lvlText w:val=""/>
      <w:lvlJc w:val="left"/>
      <w:pPr>
        <w:tabs>
          <w:tab w:val="num" w:pos="5760"/>
        </w:tabs>
        <w:ind w:left="5760" w:hanging="360"/>
      </w:pPr>
      <w:rPr>
        <w:rFonts w:ascii="Wingdings" w:hAnsi="Wingdings" w:hint="default"/>
      </w:rPr>
    </w:lvl>
    <w:lvl w:ilvl="8" w:tplc="E766E9B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8974D3"/>
    <w:multiLevelType w:val="hybridMultilevel"/>
    <w:tmpl w:val="6FA0C408"/>
    <w:lvl w:ilvl="0" w:tplc="E6169D12">
      <w:start w:val="1"/>
      <w:numFmt w:val="decimal"/>
      <w:lvlText w:val="%1."/>
      <w:lvlJc w:val="left"/>
      <w:pPr>
        <w:tabs>
          <w:tab w:val="num" w:pos="720"/>
        </w:tabs>
        <w:ind w:left="720" w:hanging="360"/>
      </w:pPr>
      <w:rPr>
        <w:rFonts w:ascii="Intel Clear" w:eastAsia="Times New Roman" w:hAnsi="Intel Clear" w:cs="Intel Clea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1D7FBB"/>
    <w:multiLevelType w:val="hybridMultilevel"/>
    <w:tmpl w:val="06AE90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F23DD6"/>
    <w:multiLevelType w:val="hybridMultilevel"/>
    <w:tmpl w:val="0DBA04F2"/>
    <w:lvl w:ilvl="0" w:tplc="17C41B9C">
      <w:start w:val="1"/>
      <w:numFmt w:val="bullet"/>
      <w:lvlText w:val="•"/>
      <w:lvlJc w:val="left"/>
      <w:pPr>
        <w:ind w:left="135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D01E4F"/>
    <w:multiLevelType w:val="hybridMultilevel"/>
    <w:tmpl w:val="FE349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
  </w:num>
  <w:num w:numId="4">
    <w:abstractNumId w:val="36"/>
  </w:num>
  <w:num w:numId="5">
    <w:abstractNumId w:val="14"/>
  </w:num>
  <w:num w:numId="6">
    <w:abstractNumId w:val="27"/>
  </w:num>
  <w:num w:numId="7">
    <w:abstractNumId w:val="24"/>
  </w:num>
  <w:num w:numId="8">
    <w:abstractNumId w:val="29"/>
  </w:num>
  <w:num w:numId="9">
    <w:abstractNumId w:val="31"/>
  </w:num>
  <w:num w:numId="10">
    <w:abstractNumId w:val="17"/>
  </w:num>
  <w:num w:numId="11">
    <w:abstractNumId w:val="18"/>
  </w:num>
  <w:num w:numId="12">
    <w:abstractNumId w:val="9"/>
  </w:num>
  <w:num w:numId="13">
    <w:abstractNumId w:val="15"/>
  </w:num>
  <w:num w:numId="14">
    <w:abstractNumId w:val="32"/>
  </w:num>
  <w:num w:numId="15">
    <w:abstractNumId w:val="26"/>
  </w:num>
  <w:num w:numId="16">
    <w:abstractNumId w:val="3"/>
  </w:num>
  <w:num w:numId="17">
    <w:abstractNumId w:val="21"/>
  </w:num>
  <w:num w:numId="18">
    <w:abstractNumId w:val="30"/>
  </w:num>
  <w:num w:numId="19">
    <w:abstractNumId w:val="19"/>
  </w:num>
  <w:num w:numId="20">
    <w:abstractNumId w:val="5"/>
  </w:num>
  <w:num w:numId="21">
    <w:abstractNumId w:val="10"/>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
  </w:num>
  <w:num w:numId="26">
    <w:abstractNumId w:val="0"/>
  </w:num>
  <w:num w:numId="27">
    <w:abstractNumId w:val="11"/>
  </w:num>
  <w:num w:numId="28">
    <w:abstractNumId w:val="25"/>
  </w:num>
  <w:num w:numId="29">
    <w:abstractNumId w:val="33"/>
  </w:num>
  <w:num w:numId="30">
    <w:abstractNumId w:val="35"/>
  </w:num>
  <w:num w:numId="31">
    <w:abstractNumId w:val="13"/>
  </w:num>
  <w:num w:numId="32">
    <w:abstractNumId w:val="4"/>
  </w:num>
  <w:num w:numId="33">
    <w:abstractNumId w:val="8"/>
  </w:num>
  <w:num w:numId="34">
    <w:abstractNumId w:val="37"/>
  </w:num>
  <w:num w:numId="35">
    <w:abstractNumId w:val="20"/>
  </w:num>
  <w:num w:numId="36">
    <w:abstractNumId w:val="16"/>
  </w:num>
  <w:num w:numId="37">
    <w:abstractNumId w:val="34"/>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isplayBackgroundShape/>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1E0"/>
    <w:rsid w:val="00000C29"/>
    <w:rsid w:val="00004CF9"/>
    <w:rsid w:val="00005168"/>
    <w:rsid w:val="0000711D"/>
    <w:rsid w:val="00007A49"/>
    <w:rsid w:val="00007FAD"/>
    <w:rsid w:val="00010A9B"/>
    <w:rsid w:val="00010FAA"/>
    <w:rsid w:val="000119B4"/>
    <w:rsid w:val="00012BB2"/>
    <w:rsid w:val="000156E6"/>
    <w:rsid w:val="000222FE"/>
    <w:rsid w:val="00023371"/>
    <w:rsid w:val="00026239"/>
    <w:rsid w:val="00032681"/>
    <w:rsid w:val="00032D54"/>
    <w:rsid w:val="0003313D"/>
    <w:rsid w:val="00033319"/>
    <w:rsid w:val="00034AA6"/>
    <w:rsid w:val="0003564D"/>
    <w:rsid w:val="0003657D"/>
    <w:rsid w:val="0003679E"/>
    <w:rsid w:val="0003798D"/>
    <w:rsid w:val="00045EB0"/>
    <w:rsid w:val="00052454"/>
    <w:rsid w:val="00055972"/>
    <w:rsid w:val="00056371"/>
    <w:rsid w:val="00057FCB"/>
    <w:rsid w:val="00061131"/>
    <w:rsid w:val="00061B29"/>
    <w:rsid w:val="00061D96"/>
    <w:rsid w:val="00062A8A"/>
    <w:rsid w:val="0006317E"/>
    <w:rsid w:val="0006652F"/>
    <w:rsid w:val="00066A69"/>
    <w:rsid w:val="00071219"/>
    <w:rsid w:val="000712F8"/>
    <w:rsid w:val="0007170D"/>
    <w:rsid w:val="000730A5"/>
    <w:rsid w:val="00073AF5"/>
    <w:rsid w:val="00073C3E"/>
    <w:rsid w:val="00073EEE"/>
    <w:rsid w:val="00075656"/>
    <w:rsid w:val="00075F5E"/>
    <w:rsid w:val="00077E08"/>
    <w:rsid w:val="000834F5"/>
    <w:rsid w:val="00085043"/>
    <w:rsid w:val="000854FA"/>
    <w:rsid w:val="00085E7E"/>
    <w:rsid w:val="00086CA4"/>
    <w:rsid w:val="00086CEC"/>
    <w:rsid w:val="000879A1"/>
    <w:rsid w:val="000904D5"/>
    <w:rsid w:val="0009172A"/>
    <w:rsid w:val="00094C07"/>
    <w:rsid w:val="000960F5"/>
    <w:rsid w:val="00096227"/>
    <w:rsid w:val="0009651A"/>
    <w:rsid w:val="000A1189"/>
    <w:rsid w:val="000A1F06"/>
    <w:rsid w:val="000A6DBF"/>
    <w:rsid w:val="000A7968"/>
    <w:rsid w:val="000B3376"/>
    <w:rsid w:val="000B3EE9"/>
    <w:rsid w:val="000B5071"/>
    <w:rsid w:val="000B779C"/>
    <w:rsid w:val="000C0FDB"/>
    <w:rsid w:val="000C255B"/>
    <w:rsid w:val="000C40BA"/>
    <w:rsid w:val="000C41FC"/>
    <w:rsid w:val="000C4D18"/>
    <w:rsid w:val="000C5466"/>
    <w:rsid w:val="000C5C66"/>
    <w:rsid w:val="000D4A0D"/>
    <w:rsid w:val="000E17A2"/>
    <w:rsid w:val="000E4185"/>
    <w:rsid w:val="000E73E4"/>
    <w:rsid w:val="000F0F98"/>
    <w:rsid w:val="000F2140"/>
    <w:rsid w:val="000F30B3"/>
    <w:rsid w:val="001005A5"/>
    <w:rsid w:val="00100C8E"/>
    <w:rsid w:val="00101290"/>
    <w:rsid w:val="00104269"/>
    <w:rsid w:val="00107478"/>
    <w:rsid w:val="001138A6"/>
    <w:rsid w:val="0011617F"/>
    <w:rsid w:val="00116262"/>
    <w:rsid w:val="00123D27"/>
    <w:rsid w:val="0012596F"/>
    <w:rsid w:val="00127204"/>
    <w:rsid w:val="001277D9"/>
    <w:rsid w:val="00131019"/>
    <w:rsid w:val="00133051"/>
    <w:rsid w:val="001333A0"/>
    <w:rsid w:val="001353E8"/>
    <w:rsid w:val="00136996"/>
    <w:rsid w:val="00142E14"/>
    <w:rsid w:val="00143640"/>
    <w:rsid w:val="001437D1"/>
    <w:rsid w:val="001453BA"/>
    <w:rsid w:val="001538AB"/>
    <w:rsid w:val="00154517"/>
    <w:rsid w:val="00155428"/>
    <w:rsid w:val="001557A2"/>
    <w:rsid w:val="00160538"/>
    <w:rsid w:val="00163AF0"/>
    <w:rsid w:val="00165417"/>
    <w:rsid w:val="00165460"/>
    <w:rsid w:val="001656DE"/>
    <w:rsid w:val="001673AB"/>
    <w:rsid w:val="00170BBF"/>
    <w:rsid w:val="001711FB"/>
    <w:rsid w:val="0017122C"/>
    <w:rsid w:val="00171E57"/>
    <w:rsid w:val="00174323"/>
    <w:rsid w:val="00176157"/>
    <w:rsid w:val="00180CFF"/>
    <w:rsid w:val="0018101C"/>
    <w:rsid w:val="00181A3C"/>
    <w:rsid w:val="00182B99"/>
    <w:rsid w:val="00182DAE"/>
    <w:rsid w:val="00184F16"/>
    <w:rsid w:val="00190D44"/>
    <w:rsid w:val="00191E6F"/>
    <w:rsid w:val="00192928"/>
    <w:rsid w:val="00197756"/>
    <w:rsid w:val="00197AD7"/>
    <w:rsid w:val="001A1C55"/>
    <w:rsid w:val="001A2A3B"/>
    <w:rsid w:val="001A3A7E"/>
    <w:rsid w:val="001A4F9D"/>
    <w:rsid w:val="001B076F"/>
    <w:rsid w:val="001B1024"/>
    <w:rsid w:val="001B168A"/>
    <w:rsid w:val="001B2F59"/>
    <w:rsid w:val="001B58AC"/>
    <w:rsid w:val="001B7651"/>
    <w:rsid w:val="001C1E33"/>
    <w:rsid w:val="001C47E5"/>
    <w:rsid w:val="001C4DD7"/>
    <w:rsid w:val="001C7028"/>
    <w:rsid w:val="001C7542"/>
    <w:rsid w:val="001D151D"/>
    <w:rsid w:val="001D1B05"/>
    <w:rsid w:val="001D4BBF"/>
    <w:rsid w:val="001D53F5"/>
    <w:rsid w:val="001D6F87"/>
    <w:rsid w:val="001E0116"/>
    <w:rsid w:val="001E02F0"/>
    <w:rsid w:val="001E0426"/>
    <w:rsid w:val="001E062E"/>
    <w:rsid w:val="001E2798"/>
    <w:rsid w:val="001E3060"/>
    <w:rsid w:val="001E47C2"/>
    <w:rsid w:val="001E5270"/>
    <w:rsid w:val="001E6D0D"/>
    <w:rsid w:val="001E6DB1"/>
    <w:rsid w:val="001F136A"/>
    <w:rsid w:val="001F22BF"/>
    <w:rsid w:val="001F3FC3"/>
    <w:rsid w:val="001F4F98"/>
    <w:rsid w:val="001F6BC3"/>
    <w:rsid w:val="001F7ADF"/>
    <w:rsid w:val="002006AC"/>
    <w:rsid w:val="002027AD"/>
    <w:rsid w:val="0020593A"/>
    <w:rsid w:val="00205B6F"/>
    <w:rsid w:val="00205B7A"/>
    <w:rsid w:val="00206C5C"/>
    <w:rsid w:val="002071D5"/>
    <w:rsid w:val="002075F9"/>
    <w:rsid w:val="002077D3"/>
    <w:rsid w:val="0021118B"/>
    <w:rsid w:val="00211272"/>
    <w:rsid w:val="0021450D"/>
    <w:rsid w:val="002145B4"/>
    <w:rsid w:val="0021728B"/>
    <w:rsid w:val="0021739C"/>
    <w:rsid w:val="00221310"/>
    <w:rsid w:val="00222621"/>
    <w:rsid w:val="00224DB6"/>
    <w:rsid w:val="00225ECC"/>
    <w:rsid w:val="00226A23"/>
    <w:rsid w:val="00226E2B"/>
    <w:rsid w:val="00231A38"/>
    <w:rsid w:val="00231F3F"/>
    <w:rsid w:val="00232393"/>
    <w:rsid w:val="0023675F"/>
    <w:rsid w:val="00237D4F"/>
    <w:rsid w:val="00240309"/>
    <w:rsid w:val="00241857"/>
    <w:rsid w:val="002440C8"/>
    <w:rsid w:val="00247EA3"/>
    <w:rsid w:val="0025134D"/>
    <w:rsid w:val="00252B7B"/>
    <w:rsid w:val="00254011"/>
    <w:rsid w:val="0025477F"/>
    <w:rsid w:val="00256B3C"/>
    <w:rsid w:val="00261283"/>
    <w:rsid w:val="00261A38"/>
    <w:rsid w:val="00261CF5"/>
    <w:rsid w:val="002636BA"/>
    <w:rsid w:val="00264951"/>
    <w:rsid w:val="00266F94"/>
    <w:rsid w:val="002810EB"/>
    <w:rsid w:val="00281423"/>
    <w:rsid w:val="002820B3"/>
    <w:rsid w:val="00286C04"/>
    <w:rsid w:val="00286E6A"/>
    <w:rsid w:val="00287E01"/>
    <w:rsid w:val="002945AC"/>
    <w:rsid w:val="0029506A"/>
    <w:rsid w:val="002963B7"/>
    <w:rsid w:val="00297E2B"/>
    <w:rsid w:val="002A27CB"/>
    <w:rsid w:val="002A4AE0"/>
    <w:rsid w:val="002A52D1"/>
    <w:rsid w:val="002A531F"/>
    <w:rsid w:val="002B079C"/>
    <w:rsid w:val="002B08D9"/>
    <w:rsid w:val="002B0E6C"/>
    <w:rsid w:val="002B1BEE"/>
    <w:rsid w:val="002B2788"/>
    <w:rsid w:val="002B371B"/>
    <w:rsid w:val="002C3EA2"/>
    <w:rsid w:val="002C4829"/>
    <w:rsid w:val="002C6DC9"/>
    <w:rsid w:val="002D0841"/>
    <w:rsid w:val="002D195B"/>
    <w:rsid w:val="002D1AD6"/>
    <w:rsid w:val="002D2491"/>
    <w:rsid w:val="002D5D9A"/>
    <w:rsid w:val="002D6C6F"/>
    <w:rsid w:val="002E0604"/>
    <w:rsid w:val="002E0DA2"/>
    <w:rsid w:val="002E79B3"/>
    <w:rsid w:val="002F04A7"/>
    <w:rsid w:val="002F1190"/>
    <w:rsid w:val="002F12EA"/>
    <w:rsid w:val="002F1F83"/>
    <w:rsid w:val="002F26FD"/>
    <w:rsid w:val="002F2A1B"/>
    <w:rsid w:val="002F572F"/>
    <w:rsid w:val="002F5A20"/>
    <w:rsid w:val="002F6AF3"/>
    <w:rsid w:val="002F7DDB"/>
    <w:rsid w:val="003017F7"/>
    <w:rsid w:val="003064DF"/>
    <w:rsid w:val="003102A2"/>
    <w:rsid w:val="0031186E"/>
    <w:rsid w:val="00311C1B"/>
    <w:rsid w:val="00312DE7"/>
    <w:rsid w:val="00313629"/>
    <w:rsid w:val="003141E5"/>
    <w:rsid w:val="003153D7"/>
    <w:rsid w:val="00316B1D"/>
    <w:rsid w:val="00317631"/>
    <w:rsid w:val="003217D1"/>
    <w:rsid w:val="00321F9E"/>
    <w:rsid w:val="00322E94"/>
    <w:rsid w:val="00324493"/>
    <w:rsid w:val="003304ED"/>
    <w:rsid w:val="003308D0"/>
    <w:rsid w:val="00332156"/>
    <w:rsid w:val="00332439"/>
    <w:rsid w:val="00333D47"/>
    <w:rsid w:val="00334B2C"/>
    <w:rsid w:val="00336805"/>
    <w:rsid w:val="0033728A"/>
    <w:rsid w:val="00341787"/>
    <w:rsid w:val="00342C4F"/>
    <w:rsid w:val="003432DF"/>
    <w:rsid w:val="00344B87"/>
    <w:rsid w:val="00344CD5"/>
    <w:rsid w:val="00344F77"/>
    <w:rsid w:val="00346530"/>
    <w:rsid w:val="0035085A"/>
    <w:rsid w:val="0035088E"/>
    <w:rsid w:val="00351BA9"/>
    <w:rsid w:val="00353012"/>
    <w:rsid w:val="00353192"/>
    <w:rsid w:val="00356994"/>
    <w:rsid w:val="003572BB"/>
    <w:rsid w:val="00357391"/>
    <w:rsid w:val="00357AFA"/>
    <w:rsid w:val="003609F9"/>
    <w:rsid w:val="00361979"/>
    <w:rsid w:val="00363004"/>
    <w:rsid w:val="00367E3B"/>
    <w:rsid w:val="003702D6"/>
    <w:rsid w:val="003743E3"/>
    <w:rsid w:val="00375032"/>
    <w:rsid w:val="0037520C"/>
    <w:rsid w:val="00375D58"/>
    <w:rsid w:val="00380340"/>
    <w:rsid w:val="00381CB5"/>
    <w:rsid w:val="00382F24"/>
    <w:rsid w:val="0038390F"/>
    <w:rsid w:val="00384264"/>
    <w:rsid w:val="003916C0"/>
    <w:rsid w:val="00392DBC"/>
    <w:rsid w:val="00394489"/>
    <w:rsid w:val="00395CD8"/>
    <w:rsid w:val="00397E71"/>
    <w:rsid w:val="003A02AA"/>
    <w:rsid w:val="003A09D1"/>
    <w:rsid w:val="003A11D3"/>
    <w:rsid w:val="003A54AE"/>
    <w:rsid w:val="003A72A7"/>
    <w:rsid w:val="003A7B71"/>
    <w:rsid w:val="003B3036"/>
    <w:rsid w:val="003B61BC"/>
    <w:rsid w:val="003B6999"/>
    <w:rsid w:val="003B6C4C"/>
    <w:rsid w:val="003C202F"/>
    <w:rsid w:val="003C6D6F"/>
    <w:rsid w:val="003D00E9"/>
    <w:rsid w:val="003D02E2"/>
    <w:rsid w:val="003D10CA"/>
    <w:rsid w:val="003D2AF4"/>
    <w:rsid w:val="003D3EAA"/>
    <w:rsid w:val="003D4273"/>
    <w:rsid w:val="003D5592"/>
    <w:rsid w:val="003E1016"/>
    <w:rsid w:val="003E137C"/>
    <w:rsid w:val="003E278D"/>
    <w:rsid w:val="003E32AD"/>
    <w:rsid w:val="003E4D18"/>
    <w:rsid w:val="003E56DB"/>
    <w:rsid w:val="003E632C"/>
    <w:rsid w:val="003E7374"/>
    <w:rsid w:val="003F7703"/>
    <w:rsid w:val="003F7D38"/>
    <w:rsid w:val="004007B4"/>
    <w:rsid w:val="00400D19"/>
    <w:rsid w:val="00401A71"/>
    <w:rsid w:val="00404069"/>
    <w:rsid w:val="00405F80"/>
    <w:rsid w:val="00406564"/>
    <w:rsid w:val="00406C20"/>
    <w:rsid w:val="00413DDB"/>
    <w:rsid w:val="00414039"/>
    <w:rsid w:val="00415D99"/>
    <w:rsid w:val="00420F12"/>
    <w:rsid w:val="00421777"/>
    <w:rsid w:val="00423ACC"/>
    <w:rsid w:val="00423D20"/>
    <w:rsid w:val="00427206"/>
    <w:rsid w:val="00430829"/>
    <w:rsid w:val="00431D20"/>
    <w:rsid w:val="004338F5"/>
    <w:rsid w:val="00434973"/>
    <w:rsid w:val="00437570"/>
    <w:rsid w:val="00440B7E"/>
    <w:rsid w:val="00440DC4"/>
    <w:rsid w:val="00440FE2"/>
    <w:rsid w:val="00441AC3"/>
    <w:rsid w:val="00441DAB"/>
    <w:rsid w:val="0044286C"/>
    <w:rsid w:val="004458B7"/>
    <w:rsid w:val="0044797F"/>
    <w:rsid w:val="00447A91"/>
    <w:rsid w:val="004501A3"/>
    <w:rsid w:val="00452A52"/>
    <w:rsid w:val="0045344D"/>
    <w:rsid w:val="00454AAE"/>
    <w:rsid w:val="00455AAA"/>
    <w:rsid w:val="004561F3"/>
    <w:rsid w:val="00460F32"/>
    <w:rsid w:val="00462530"/>
    <w:rsid w:val="00464AD1"/>
    <w:rsid w:val="00465FB9"/>
    <w:rsid w:val="00470EEC"/>
    <w:rsid w:val="00472EB7"/>
    <w:rsid w:val="0047419C"/>
    <w:rsid w:val="00483F22"/>
    <w:rsid w:val="00485783"/>
    <w:rsid w:val="00490235"/>
    <w:rsid w:val="0049178F"/>
    <w:rsid w:val="00491992"/>
    <w:rsid w:val="00492BD4"/>
    <w:rsid w:val="004939B4"/>
    <w:rsid w:val="004939F8"/>
    <w:rsid w:val="00493CE4"/>
    <w:rsid w:val="00494A29"/>
    <w:rsid w:val="00496F22"/>
    <w:rsid w:val="0049740C"/>
    <w:rsid w:val="00497606"/>
    <w:rsid w:val="004A1ADE"/>
    <w:rsid w:val="004A56BA"/>
    <w:rsid w:val="004A7F6F"/>
    <w:rsid w:val="004B4708"/>
    <w:rsid w:val="004B7B9D"/>
    <w:rsid w:val="004C2502"/>
    <w:rsid w:val="004C2775"/>
    <w:rsid w:val="004C27B9"/>
    <w:rsid w:val="004C28D6"/>
    <w:rsid w:val="004C3825"/>
    <w:rsid w:val="004C5A97"/>
    <w:rsid w:val="004D0AF1"/>
    <w:rsid w:val="004D2FA6"/>
    <w:rsid w:val="004E1CFE"/>
    <w:rsid w:val="004E4709"/>
    <w:rsid w:val="004E47DD"/>
    <w:rsid w:val="004E4F93"/>
    <w:rsid w:val="004E5C7F"/>
    <w:rsid w:val="004F1674"/>
    <w:rsid w:val="004F1825"/>
    <w:rsid w:val="004F5419"/>
    <w:rsid w:val="00501426"/>
    <w:rsid w:val="005032B7"/>
    <w:rsid w:val="00503779"/>
    <w:rsid w:val="00503FBE"/>
    <w:rsid w:val="00504029"/>
    <w:rsid w:val="00505C96"/>
    <w:rsid w:val="0050688F"/>
    <w:rsid w:val="005075EC"/>
    <w:rsid w:val="00507ECD"/>
    <w:rsid w:val="00510CD5"/>
    <w:rsid w:val="0051202C"/>
    <w:rsid w:val="0051492E"/>
    <w:rsid w:val="00515616"/>
    <w:rsid w:val="00516B0F"/>
    <w:rsid w:val="00517257"/>
    <w:rsid w:val="00517856"/>
    <w:rsid w:val="00523BFB"/>
    <w:rsid w:val="00524ABC"/>
    <w:rsid w:val="00524E01"/>
    <w:rsid w:val="00530EC3"/>
    <w:rsid w:val="00531949"/>
    <w:rsid w:val="00532CDB"/>
    <w:rsid w:val="00534B85"/>
    <w:rsid w:val="005355EA"/>
    <w:rsid w:val="00537AD6"/>
    <w:rsid w:val="0054024B"/>
    <w:rsid w:val="0054478C"/>
    <w:rsid w:val="00547B7A"/>
    <w:rsid w:val="00550354"/>
    <w:rsid w:val="00550796"/>
    <w:rsid w:val="0055244C"/>
    <w:rsid w:val="005539AC"/>
    <w:rsid w:val="00554A1C"/>
    <w:rsid w:val="00557A55"/>
    <w:rsid w:val="00560055"/>
    <w:rsid w:val="005609CB"/>
    <w:rsid w:val="005620AE"/>
    <w:rsid w:val="00562C4E"/>
    <w:rsid w:val="005630EC"/>
    <w:rsid w:val="005640FC"/>
    <w:rsid w:val="0056599C"/>
    <w:rsid w:val="005725CF"/>
    <w:rsid w:val="00574290"/>
    <w:rsid w:val="00574D5F"/>
    <w:rsid w:val="0058051D"/>
    <w:rsid w:val="00580FAF"/>
    <w:rsid w:val="00581619"/>
    <w:rsid w:val="00582933"/>
    <w:rsid w:val="0058660E"/>
    <w:rsid w:val="00590185"/>
    <w:rsid w:val="00590C22"/>
    <w:rsid w:val="00591087"/>
    <w:rsid w:val="005914CF"/>
    <w:rsid w:val="005949E7"/>
    <w:rsid w:val="00595252"/>
    <w:rsid w:val="00595303"/>
    <w:rsid w:val="005957E9"/>
    <w:rsid w:val="005967B0"/>
    <w:rsid w:val="00597268"/>
    <w:rsid w:val="005A4F00"/>
    <w:rsid w:val="005A53E3"/>
    <w:rsid w:val="005A6DE9"/>
    <w:rsid w:val="005B01AA"/>
    <w:rsid w:val="005B0EF9"/>
    <w:rsid w:val="005B2EEE"/>
    <w:rsid w:val="005B4615"/>
    <w:rsid w:val="005B4A5F"/>
    <w:rsid w:val="005B59A2"/>
    <w:rsid w:val="005C0EC4"/>
    <w:rsid w:val="005C2B8A"/>
    <w:rsid w:val="005C3857"/>
    <w:rsid w:val="005C6E3A"/>
    <w:rsid w:val="005C760A"/>
    <w:rsid w:val="005D0AD2"/>
    <w:rsid w:val="005D0E37"/>
    <w:rsid w:val="005D1CBB"/>
    <w:rsid w:val="005D3705"/>
    <w:rsid w:val="005D4615"/>
    <w:rsid w:val="005D5D1B"/>
    <w:rsid w:val="005D5E0F"/>
    <w:rsid w:val="005D5E9C"/>
    <w:rsid w:val="005E20AE"/>
    <w:rsid w:val="005E50AD"/>
    <w:rsid w:val="005E5D93"/>
    <w:rsid w:val="005F1FAF"/>
    <w:rsid w:val="005F20C3"/>
    <w:rsid w:val="005F219E"/>
    <w:rsid w:val="005F3198"/>
    <w:rsid w:val="005F500D"/>
    <w:rsid w:val="005F5110"/>
    <w:rsid w:val="005F66E6"/>
    <w:rsid w:val="005F6C3A"/>
    <w:rsid w:val="00605113"/>
    <w:rsid w:val="00605129"/>
    <w:rsid w:val="00606926"/>
    <w:rsid w:val="00613152"/>
    <w:rsid w:val="00614C58"/>
    <w:rsid w:val="00615286"/>
    <w:rsid w:val="006200BF"/>
    <w:rsid w:val="00621208"/>
    <w:rsid w:val="006224CC"/>
    <w:rsid w:val="0062323E"/>
    <w:rsid w:val="006233DE"/>
    <w:rsid w:val="006252DE"/>
    <w:rsid w:val="0062633B"/>
    <w:rsid w:val="00630828"/>
    <w:rsid w:val="00630B48"/>
    <w:rsid w:val="006405AA"/>
    <w:rsid w:val="006412D0"/>
    <w:rsid w:val="00645467"/>
    <w:rsid w:val="00646043"/>
    <w:rsid w:val="006471BF"/>
    <w:rsid w:val="00647592"/>
    <w:rsid w:val="00647FC4"/>
    <w:rsid w:val="006505EB"/>
    <w:rsid w:val="00650642"/>
    <w:rsid w:val="00651F17"/>
    <w:rsid w:val="006547F6"/>
    <w:rsid w:val="0065547D"/>
    <w:rsid w:val="006557EA"/>
    <w:rsid w:val="006578F0"/>
    <w:rsid w:val="00660D10"/>
    <w:rsid w:val="00660D6A"/>
    <w:rsid w:val="00661912"/>
    <w:rsid w:val="00665B39"/>
    <w:rsid w:val="00665B4D"/>
    <w:rsid w:val="006665A4"/>
    <w:rsid w:val="00666B9B"/>
    <w:rsid w:val="006677BA"/>
    <w:rsid w:val="00673155"/>
    <w:rsid w:val="00674A18"/>
    <w:rsid w:val="00675DBD"/>
    <w:rsid w:val="0067677C"/>
    <w:rsid w:val="00676889"/>
    <w:rsid w:val="00676CED"/>
    <w:rsid w:val="00680B2F"/>
    <w:rsid w:val="00682F54"/>
    <w:rsid w:val="0068346D"/>
    <w:rsid w:val="00686862"/>
    <w:rsid w:val="00687C0C"/>
    <w:rsid w:val="006900CC"/>
    <w:rsid w:val="006907E4"/>
    <w:rsid w:val="00691979"/>
    <w:rsid w:val="00691DD2"/>
    <w:rsid w:val="0069280D"/>
    <w:rsid w:val="00692C7C"/>
    <w:rsid w:val="006948CF"/>
    <w:rsid w:val="0069651D"/>
    <w:rsid w:val="006968C0"/>
    <w:rsid w:val="00696D77"/>
    <w:rsid w:val="006970B9"/>
    <w:rsid w:val="006A0749"/>
    <w:rsid w:val="006A093E"/>
    <w:rsid w:val="006A2386"/>
    <w:rsid w:val="006A26EC"/>
    <w:rsid w:val="006A4A83"/>
    <w:rsid w:val="006A5BAB"/>
    <w:rsid w:val="006A5F5D"/>
    <w:rsid w:val="006A6401"/>
    <w:rsid w:val="006A6500"/>
    <w:rsid w:val="006A7B5F"/>
    <w:rsid w:val="006B19D4"/>
    <w:rsid w:val="006B1B10"/>
    <w:rsid w:val="006B31AE"/>
    <w:rsid w:val="006B655D"/>
    <w:rsid w:val="006B6B83"/>
    <w:rsid w:val="006B6F50"/>
    <w:rsid w:val="006B72DC"/>
    <w:rsid w:val="006B7935"/>
    <w:rsid w:val="006C40CE"/>
    <w:rsid w:val="006C5E00"/>
    <w:rsid w:val="006C5F27"/>
    <w:rsid w:val="006D0E28"/>
    <w:rsid w:val="006D3AD6"/>
    <w:rsid w:val="006D69E1"/>
    <w:rsid w:val="006E3CF8"/>
    <w:rsid w:val="006F079D"/>
    <w:rsid w:val="006F0DD3"/>
    <w:rsid w:val="006F272F"/>
    <w:rsid w:val="006F2917"/>
    <w:rsid w:val="006F6F8A"/>
    <w:rsid w:val="0070020C"/>
    <w:rsid w:val="00701A16"/>
    <w:rsid w:val="00704E0B"/>
    <w:rsid w:val="0070667A"/>
    <w:rsid w:val="00707974"/>
    <w:rsid w:val="00710C89"/>
    <w:rsid w:val="00713114"/>
    <w:rsid w:val="00715815"/>
    <w:rsid w:val="007201AA"/>
    <w:rsid w:val="00720E98"/>
    <w:rsid w:val="00721EA2"/>
    <w:rsid w:val="00721F58"/>
    <w:rsid w:val="00722050"/>
    <w:rsid w:val="00722F72"/>
    <w:rsid w:val="0072336B"/>
    <w:rsid w:val="0072477A"/>
    <w:rsid w:val="0073072A"/>
    <w:rsid w:val="00730F41"/>
    <w:rsid w:val="00732D03"/>
    <w:rsid w:val="00732EB5"/>
    <w:rsid w:val="00733B25"/>
    <w:rsid w:val="007343B3"/>
    <w:rsid w:val="0074046B"/>
    <w:rsid w:val="00743AAC"/>
    <w:rsid w:val="00746A91"/>
    <w:rsid w:val="007474BA"/>
    <w:rsid w:val="0075384A"/>
    <w:rsid w:val="007601CF"/>
    <w:rsid w:val="00765572"/>
    <w:rsid w:val="00765DF0"/>
    <w:rsid w:val="00766C94"/>
    <w:rsid w:val="00772AA6"/>
    <w:rsid w:val="00773DAC"/>
    <w:rsid w:val="0077468A"/>
    <w:rsid w:val="007851E0"/>
    <w:rsid w:val="00785DDA"/>
    <w:rsid w:val="00792D9A"/>
    <w:rsid w:val="00793B8F"/>
    <w:rsid w:val="00796F12"/>
    <w:rsid w:val="007A1525"/>
    <w:rsid w:val="007A191B"/>
    <w:rsid w:val="007A1BA2"/>
    <w:rsid w:val="007A25B1"/>
    <w:rsid w:val="007A38B1"/>
    <w:rsid w:val="007A6CDE"/>
    <w:rsid w:val="007A6F29"/>
    <w:rsid w:val="007B0D03"/>
    <w:rsid w:val="007B1D32"/>
    <w:rsid w:val="007B28CC"/>
    <w:rsid w:val="007B4AD0"/>
    <w:rsid w:val="007B5575"/>
    <w:rsid w:val="007B5860"/>
    <w:rsid w:val="007D617D"/>
    <w:rsid w:val="007D6B87"/>
    <w:rsid w:val="007E2F6E"/>
    <w:rsid w:val="007E379F"/>
    <w:rsid w:val="007E4627"/>
    <w:rsid w:val="007E61A5"/>
    <w:rsid w:val="007E6656"/>
    <w:rsid w:val="007E6890"/>
    <w:rsid w:val="007E7D2E"/>
    <w:rsid w:val="007F63FF"/>
    <w:rsid w:val="007F658A"/>
    <w:rsid w:val="007F774C"/>
    <w:rsid w:val="007F7DE4"/>
    <w:rsid w:val="00801C7B"/>
    <w:rsid w:val="0080239A"/>
    <w:rsid w:val="0080678F"/>
    <w:rsid w:val="00807704"/>
    <w:rsid w:val="00811E0A"/>
    <w:rsid w:val="00812E56"/>
    <w:rsid w:val="00815711"/>
    <w:rsid w:val="00815C13"/>
    <w:rsid w:val="00816481"/>
    <w:rsid w:val="008200E1"/>
    <w:rsid w:val="00822085"/>
    <w:rsid w:val="00822DD5"/>
    <w:rsid w:val="0082619F"/>
    <w:rsid w:val="0082723B"/>
    <w:rsid w:val="00827C10"/>
    <w:rsid w:val="0083007A"/>
    <w:rsid w:val="008339AD"/>
    <w:rsid w:val="00833A6A"/>
    <w:rsid w:val="008343C7"/>
    <w:rsid w:val="008354FF"/>
    <w:rsid w:val="00836853"/>
    <w:rsid w:val="008372EF"/>
    <w:rsid w:val="00840E45"/>
    <w:rsid w:val="00841BEA"/>
    <w:rsid w:val="00842FEF"/>
    <w:rsid w:val="00843214"/>
    <w:rsid w:val="008434DC"/>
    <w:rsid w:val="00843623"/>
    <w:rsid w:val="00844672"/>
    <w:rsid w:val="0084504E"/>
    <w:rsid w:val="008513EB"/>
    <w:rsid w:val="008516A3"/>
    <w:rsid w:val="00851BB9"/>
    <w:rsid w:val="00851CE5"/>
    <w:rsid w:val="0085248C"/>
    <w:rsid w:val="008576E2"/>
    <w:rsid w:val="008618D1"/>
    <w:rsid w:val="00866E29"/>
    <w:rsid w:val="008677E5"/>
    <w:rsid w:val="0087205F"/>
    <w:rsid w:val="00874D60"/>
    <w:rsid w:val="008773D8"/>
    <w:rsid w:val="00880D34"/>
    <w:rsid w:val="0088274C"/>
    <w:rsid w:val="00882CAE"/>
    <w:rsid w:val="00882CFC"/>
    <w:rsid w:val="008831A5"/>
    <w:rsid w:val="00885EBB"/>
    <w:rsid w:val="00886793"/>
    <w:rsid w:val="00892C19"/>
    <w:rsid w:val="008A21D1"/>
    <w:rsid w:val="008A3718"/>
    <w:rsid w:val="008A502F"/>
    <w:rsid w:val="008A5047"/>
    <w:rsid w:val="008A529B"/>
    <w:rsid w:val="008A60B5"/>
    <w:rsid w:val="008A620B"/>
    <w:rsid w:val="008A63CA"/>
    <w:rsid w:val="008A793C"/>
    <w:rsid w:val="008B1839"/>
    <w:rsid w:val="008B1A94"/>
    <w:rsid w:val="008B1C93"/>
    <w:rsid w:val="008B23D0"/>
    <w:rsid w:val="008B35C2"/>
    <w:rsid w:val="008B3FF9"/>
    <w:rsid w:val="008B61CF"/>
    <w:rsid w:val="008B65E4"/>
    <w:rsid w:val="008B7C4A"/>
    <w:rsid w:val="008B7C8B"/>
    <w:rsid w:val="008C5E61"/>
    <w:rsid w:val="008C6E60"/>
    <w:rsid w:val="008C7161"/>
    <w:rsid w:val="008C7E4B"/>
    <w:rsid w:val="008D00A9"/>
    <w:rsid w:val="008D2B28"/>
    <w:rsid w:val="008D3DA3"/>
    <w:rsid w:val="008D4D4A"/>
    <w:rsid w:val="008D55F5"/>
    <w:rsid w:val="008D6B51"/>
    <w:rsid w:val="008E260B"/>
    <w:rsid w:val="008E5166"/>
    <w:rsid w:val="008E51CA"/>
    <w:rsid w:val="008E588D"/>
    <w:rsid w:val="008E73BB"/>
    <w:rsid w:val="008E7E8C"/>
    <w:rsid w:val="008F0714"/>
    <w:rsid w:val="008F26C0"/>
    <w:rsid w:val="008F32D2"/>
    <w:rsid w:val="008F3AC3"/>
    <w:rsid w:val="008F529D"/>
    <w:rsid w:val="008F6217"/>
    <w:rsid w:val="008F7077"/>
    <w:rsid w:val="008F7965"/>
    <w:rsid w:val="009006A6"/>
    <w:rsid w:val="00901B4D"/>
    <w:rsid w:val="00902C39"/>
    <w:rsid w:val="00903AA1"/>
    <w:rsid w:val="00904145"/>
    <w:rsid w:val="00904F28"/>
    <w:rsid w:val="00905F04"/>
    <w:rsid w:val="00907163"/>
    <w:rsid w:val="0091262C"/>
    <w:rsid w:val="00913392"/>
    <w:rsid w:val="009175C4"/>
    <w:rsid w:val="00917605"/>
    <w:rsid w:val="009204FA"/>
    <w:rsid w:val="0092111F"/>
    <w:rsid w:val="00922A3F"/>
    <w:rsid w:val="00922E71"/>
    <w:rsid w:val="009266F4"/>
    <w:rsid w:val="0092722B"/>
    <w:rsid w:val="00927824"/>
    <w:rsid w:val="00934560"/>
    <w:rsid w:val="009401F0"/>
    <w:rsid w:val="0094091C"/>
    <w:rsid w:val="00942246"/>
    <w:rsid w:val="00950A7E"/>
    <w:rsid w:val="009518CC"/>
    <w:rsid w:val="009524F0"/>
    <w:rsid w:val="0095333E"/>
    <w:rsid w:val="00953963"/>
    <w:rsid w:val="00954ECD"/>
    <w:rsid w:val="00960106"/>
    <w:rsid w:val="00962FF5"/>
    <w:rsid w:val="00965AAB"/>
    <w:rsid w:val="009733D5"/>
    <w:rsid w:val="0097393C"/>
    <w:rsid w:val="0097401E"/>
    <w:rsid w:val="009747D0"/>
    <w:rsid w:val="009774C8"/>
    <w:rsid w:val="00981500"/>
    <w:rsid w:val="00983D2C"/>
    <w:rsid w:val="00984BE2"/>
    <w:rsid w:val="009860F6"/>
    <w:rsid w:val="00987702"/>
    <w:rsid w:val="0099130D"/>
    <w:rsid w:val="009930DF"/>
    <w:rsid w:val="0099325E"/>
    <w:rsid w:val="009A02EC"/>
    <w:rsid w:val="009A2651"/>
    <w:rsid w:val="009A40D9"/>
    <w:rsid w:val="009A483E"/>
    <w:rsid w:val="009A4CC5"/>
    <w:rsid w:val="009B191A"/>
    <w:rsid w:val="009B42FF"/>
    <w:rsid w:val="009B7422"/>
    <w:rsid w:val="009C2673"/>
    <w:rsid w:val="009C2F3F"/>
    <w:rsid w:val="009C472F"/>
    <w:rsid w:val="009C5FFF"/>
    <w:rsid w:val="009D0C9A"/>
    <w:rsid w:val="009D7363"/>
    <w:rsid w:val="009D7857"/>
    <w:rsid w:val="009E13DD"/>
    <w:rsid w:val="009E2141"/>
    <w:rsid w:val="009E36A0"/>
    <w:rsid w:val="009E6B78"/>
    <w:rsid w:val="009F01E0"/>
    <w:rsid w:val="009F0A1D"/>
    <w:rsid w:val="009F175C"/>
    <w:rsid w:val="009F2F45"/>
    <w:rsid w:val="009F5DBF"/>
    <w:rsid w:val="00A0039E"/>
    <w:rsid w:val="00A01384"/>
    <w:rsid w:val="00A02B8B"/>
    <w:rsid w:val="00A03354"/>
    <w:rsid w:val="00A109AF"/>
    <w:rsid w:val="00A10F02"/>
    <w:rsid w:val="00A10F8A"/>
    <w:rsid w:val="00A12D95"/>
    <w:rsid w:val="00A156EF"/>
    <w:rsid w:val="00A2105E"/>
    <w:rsid w:val="00A21372"/>
    <w:rsid w:val="00A223EF"/>
    <w:rsid w:val="00A22B97"/>
    <w:rsid w:val="00A2447D"/>
    <w:rsid w:val="00A24BF9"/>
    <w:rsid w:val="00A25C5D"/>
    <w:rsid w:val="00A33198"/>
    <w:rsid w:val="00A3347E"/>
    <w:rsid w:val="00A3356B"/>
    <w:rsid w:val="00A34564"/>
    <w:rsid w:val="00A3494B"/>
    <w:rsid w:val="00A34D1D"/>
    <w:rsid w:val="00A35F67"/>
    <w:rsid w:val="00A42793"/>
    <w:rsid w:val="00A439CD"/>
    <w:rsid w:val="00A43EE2"/>
    <w:rsid w:val="00A44517"/>
    <w:rsid w:val="00A50805"/>
    <w:rsid w:val="00A56B19"/>
    <w:rsid w:val="00A62CAC"/>
    <w:rsid w:val="00A7075A"/>
    <w:rsid w:val="00A71AE7"/>
    <w:rsid w:val="00A75202"/>
    <w:rsid w:val="00A76226"/>
    <w:rsid w:val="00A76A57"/>
    <w:rsid w:val="00A77AA9"/>
    <w:rsid w:val="00A8414E"/>
    <w:rsid w:val="00A85D2F"/>
    <w:rsid w:val="00A91E23"/>
    <w:rsid w:val="00A92623"/>
    <w:rsid w:val="00A93B5F"/>
    <w:rsid w:val="00A94176"/>
    <w:rsid w:val="00A95EF3"/>
    <w:rsid w:val="00A9635A"/>
    <w:rsid w:val="00AA30F6"/>
    <w:rsid w:val="00AA41F7"/>
    <w:rsid w:val="00AA5EE5"/>
    <w:rsid w:val="00AA6318"/>
    <w:rsid w:val="00AA728B"/>
    <w:rsid w:val="00AA7369"/>
    <w:rsid w:val="00AA7AD0"/>
    <w:rsid w:val="00AB4A06"/>
    <w:rsid w:val="00AC676B"/>
    <w:rsid w:val="00AC6E5B"/>
    <w:rsid w:val="00AD19CB"/>
    <w:rsid w:val="00AD1F22"/>
    <w:rsid w:val="00AD22BA"/>
    <w:rsid w:val="00AD2DFC"/>
    <w:rsid w:val="00AD6384"/>
    <w:rsid w:val="00AD69AE"/>
    <w:rsid w:val="00AD7255"/>
    <w:rsid w:val="00AE2448"/>
    <w:rsid w:val="00AE26C0"/>
    <w:rsid w:val="00AE2F28"/>
    <w:rsid w:val="00AF050E"/>
    <w:rsid w:val="00AF1DF1"/>
    <w:rsid w:val="00AF24D5"/>
    <w:rsid w:val="00AF2D6E"/>
    <w:rsid w:val="00AF4E72"/>
    <w:rsid w:val="00AF6702"/>
    <w:rsid w:val="00AF68AB"/>
    <w:rsid w:val="00AF6B66"/>
    <w:rsid w:val="00B03A4B"/>
    <w:rsid w:val="00B05F86"/>
    <w:rsid w:val="00B07B70"/>
    <w:rsid w:val="00B131E5"/>
    <w:rsid w:val="00B16BEE"/>
    <w:rsid w:val="00B22C27"/>
    <w:rsid w:val="00B22CC5"/>
    <w:rsid w:val="00B230BE"/>
    <w:rsid w:val="00B239F7"/>
    <w:rsid w:val="00B26BC2"/>
    <w:rsid w:val="00B27242"/>
    <w:rsid w:val="00B273E1"/>
    <w:rsid w:val="00B274E3"/>
    <w:rsid w:val="00B30279"/>
    <w:rsid w:val="00B30574"/>
    <w:rsid w:val="00B32526"/>
    <w:rsid w:val="00B33873"/>
    <w:rsid w:val="00B33F81"/>
    <w:rsid w:val="00B40750"/>
    <w:rsid w:val="00B43D06"/>
    <w:rsid w:val="00B44783"/>
    <w:rsid w:val="00B45DFF"/>
    <w:rsid w:val="00B4682B"/>
    <w:rsid w:val="00B46A15"/>
    <w:rsid w:val="00B470A7"/>
    <w:rsid w:val="00B501B1"/>
    <w:rsid w:val="00B503CB"/>
    <w:rsid w:val="00B53A4A"/>
    <w:rsid w:val="00B5461B"/>
    <w:rsid w:val="00B55439"/>
    <w:rsid w:val="00B55DEB"/>
    <w:rsid w:val="00B56C08"/>
    <w:rsid w:val="00B6037F"/>
    <w:rsid w:val="00B6436E"/>
    <w:rsid w:val="00B64FE1"/>
    <w:rsid w:val="00B6588D"/>
    <w:rsid w:val="00B713C2"/>
    <w:rsid w:val="00B71534"/>
    <w:rsid w:val="00B74E66"/>
    <w:rsid w:val="00B76596"/>
    <w:rsid w:val="00B76A0A"/>
    <w:rsid w:val="00B81039"/>
    <w:rsid w:val="00B846FC"/>
    <w:rsid w:val="00B90011"/>
    <w:rsid w:val="00B91056"/>
    <w:rsid w:val="00B9335A"/>
    <w:rsid w:val="00B94D83"/>
    <w:rsid w:val="00B95BDB"/>
    <w:rsid w:val="00B95D70"/>
    <w:rsid w:val="00BA00C6"/>
    <w:rsid w:val="00BA0AB7"/>
    <w:rsid w:val="00BA0BAE"/>
    <w:rsid w:val="00BA3AFD"/>
    <w:rsid w:val="00BA514F"/>
    <w:rsid w:val="00BB188A"/>
    <w:rsid w:val="00BB3E88"/>
    <w:rsid w:val="00BB4A54"/>
    <w:rsid w:val="00BC05EB"/>
    <w:rsid w:val="00BC124E"/>
    <w:rsid w:val="00BC1FA0"/>
    <w:rsid w:val="00BC2064"/>
    <w:rsid w:val="00BD0A66"/>
    <w:rsid w:val="00BD1E49"/>
    <w:rsid w:val="00BD2E8E"/>
    <w:rsid w:val="00BD3393"/>
    <w:rsid w:val="00BD3725"/>
    <w:rsid w:val="00BD7603"/>
    <w:rsid w:val="00BD772A"/>
    <w:rsid w:val="00BE0302"/>
    <w:rsid w:val="00BE1247"/>
    <w:rsid w:val="00BE167B"/>
    <w:rsid w:val="00BE298B"/>
    <w:rsid w:val="00BE734D"/>
    <w:rsid w:val="00BE742A"/>
    <w:rsid w:val="00BF4444"/>
    <w:rsid w:val="00BF5259"/>
    <w:rsid w:val="00BF5970"/>
    <w:rsid w:val="00BF636D"/>
    <w:rsid w:val="00BF660D"/>
    <w:rsid w:val="00C02C41"/>
    <w:rsid w:val="00C03735"/>
    <w:rsid w:val="00C0487A"/>
    <w:rsid w:val="00C05E6F"/>
    <w:rsid w:val="00C06D2E"/>
    <w:rsid w:val="00C131B1"/>
    <w:rsid w:val="00C146C7"/>
    <w:rsid w:val="00C15716"/>
    <w:rsid w:val="00C15F9B"/>
    <w:rsid w:val="00C164F4"/>
    <w:rsid w:val="00C205AF"/>
    <w:rsid w:val="00C2109A"/>
    <w:rsid w:val="00C2233D"/>
    <w:rsid w:val="00C23687"/>
    <w:rsid w:val="00C24037"/>
    <w:rsid w:val="00C254F1"/>
    <w:rsid w:val="00C2690F"/>
    <w:rsid w:val="00C305D9"/>
    <w:rsid w:val="00C308A6"/>
    <w:rsid w:val="00C30E9B"/>
    <w:rsid w:val="00C3140B"/>
    <w:rsid w:val="00C33DC0"/>
    <w:rsid w:val="00C34B13"/>
    <w:rsid w:val="00C41B22"/>
    <w:rsid w:val="00C4281A"/>
    <w:rsid w:val="00C453DA"/>
    <w:rsid w:val="00C4553B"/>
    <w:rsid w:val="00C5030B"/>
    <w:rsid w:val="00C53E0C"/>
    <w:rsid w:val="00C55B45"/>
    <w:rsid w:val="00C56A25"/>
    <w:rsid w:val="00C5738B"/>
    <w:rsid w:val="00C6090C"/>
    <w:rsid w:val="00C61CBE"/>
    <w:rsid w:val="00C62067"/>
    <w:rsid w:val="00C630C6"/>
    <w:rsid w:val="00C639D2"/>
    <w:rsid w:val="00C6670D"/>
    <w:rsid w:val="00C6754C"/>
    <w:rsid w:val="00C71578"/>
    <w:rsid w:val="00C7296A"/>
    <w:rsid w:val="00C73C5C"/>
    <w:rsid w:val="00C77F64"/>
    <w:rsid w:val="00C80CA0"/>
    <w:rsid w:val="00C8227E"/>
    <w:rsid w:val="00C85295"/>
    <w:rsid w:val="00C8558C"/>
    <w:rsid w:val="00C86E41"/>
    <w:rsid w:val="00C9032B"/>
    <w:rsid w:val="00C9048F"/>
    <w:rsid w:val="00C92799"/>
    <w:rsid w:val="00C9399E"/>
    <w:rsid w:val="00C949F5"/>
    <w:rsid w:val="00C95067"/>
    <w:rsid w:val="00CA00AC"/>
    <w:rsid w:val="00CA0B86"/>
    <w:rsid w:val="00CA1D68"/>
    <w:rsid w:val="00CA2FD6"/>
    <w:rsid w:val="00CA2FD7"/>
    <w:rsid w:val="00CA502C"/>
    <w:rsid w:val="00CA609A"/>
    <w:rsid w:val="00CB090A"/>
    <w:rsid w:val="00CB7FAD"/>
    <w:rsid w:val="00CC2318"/>
    <w:rsid w:val="00CC3BE9"/>
    <w:rsid w:val="00CC4D3E"/>
    <w:rsid w:val="00CC538C"/>
    <w:rsid w:val="00CC56B1"/>
    <w:rsid w:val="00CC690E"/>
    <w:rsid w:val="00CC7E34"/>
    <w:rsid w:val="00CD4531"/>
    <w:rsid w:val="00CD7B23"/>
    <w:rsid w:val="00CE41B0"/>
    <w:rsid w:val="00CE4831"/>
    <w:rsid w:val="00CE4AA5"/>
    <w:rsid w:val="00CE584F"/>
    <w:rsid w:val="00CE62E1"/>
    <w:rsid w:val="00CE6E44"/>
    <w:rsid w:val="00CF1776"/>
    <w:rsid w:val="00CF67E8"/>
    <w:rsid w:val="00D02663"/>
    <w:rsid w:val="00D02A90"/>
    <w:rsid w:val="00D07073"/>
    <w:rsid w:val="00D12207"/>
    <w:rsid w:val="00D13147"/>
    <w:rsid w:val="00D15092"/>
    <w:rsid w:val="00D16D2F"/>
    <w:rsid w:val="00D177F6"/>
    <w:rsid w:val="00D21E6F"/>
    <w:rsid w:val="00D23850"/>
    <w:rsid w:val="00D23852"/>
    <w:rsid w:val="00D3089E"/>
    <w:rsid w:val="00D33340"/>
    <w:rsid w:val="00D3343E"/>
    <w:rsid w:val="00D40D91"/>
    <w:rsid w:val="00D41F1A"/>
    <w:rsid w:val="00D42F21"/>
    <w:rsid w:val="00D43568"/>
    <w:rsid w:val="00D45E2C"/>
    <w:rsid w:val="00D46F26"/>
    <w:rsid w:val="00D50DD8"/>
    <w:rsid w:val="00D50E44"/>
    <w:rsid w:val="00D518BC"/>
    <w:rsid w:val="00D54985"/>
    <w:rsid w:val="00D5515C"/>
    <w:rsid w:val="00D55847"/>
    <w:rsid w:val="00D60B44"/>
    <w:rsid w:val="00D61597"/>
    <w:rsid w:val="00D63EE6"/>
    <w:rsid w:val="00D660FD"/>
    <w:rsid w:val="00D6782E"/>
    <w:rsid w:val="00D71AFA"/>
    <w:rsid w:val="00D724F2"/>
    <w:rsid w:val="00D74904"/>
    <w:rsid w:val="00D74A0A"/>
    <w:rsid w:val="00D80307"/>
    <w:rsid w:val="00D80F4F"/>
    <w:rsid w:val="00D84119"/>
    <w:rsid w:val="00D85020"/>
    <w:rsid w:val="00D90C28"/>
    <w:rsid w:val="00D925E0"/>
    <w:rsid w:val="00D94212"/>
    <w:rsid w:val="00DA32F4"/>
    <w:rsid w:val="00DA579B"/>
    <w:rsid w:val="00DA623D"/>
    <w:rsid w:val="00DA7401"/>
    <w:rsid w:val="00DB1AD1"/>
    <w:rsid w:val="00DB29CB"/>
    <w:rsid w:val="00DB4B7B"/>
    <w:rsid w:val="00DC0AE1"/>
    <w:rsid w:val="00DC193E"/>
    <w:rsid w:val="00DC27A4"/>
    <w:rsid w:val="00DC6D93"/>
    <w:rsid w:val="00DC6FF6"/>
    <w:rsid w:val="00DC7002"/>
    <w:rsid w:val="00DC771C"/>
    <w:rsid w:val="00DD07C8"/>
    <w:rsid w:val="00DD0DAF"/>
    <w:rsid w:val="00DD1B20"/>
    <w:rsid w:val="00DD1D57"/>
    <w:rsid w:val="00DD1E1C"/>
    <w:rsid w:val="00DD21DA"/>
    <w:rsid w:val="00DD2593"/>
    <w:rsid w:val="00DD34E8"/>
    <w:rsid w:val="00DD4638"/>
    <w:rsid w:val="00DD57A6"/>
    <w:rsid w:val="00DD71DC"/>
    <w:rsid w:val="00DD7201"/>
    <w:rsid w:val="00DE3448"/>
    <w:rsid w:val="00DE3EDC"/>
    <w:rsid w:val="00DE5A68"/>
    <w:rsid w:val="00DE5B3A"/>
    <w:rsid w:val="00DE74DA"/>
    <w:rsid w:val="00DE7860"/>
    <w:rsid w:val="00DF158D"/>
    <w:rsid w:val="00DF6FB4"/>
    <w:rsid w:val="00DF6FF8"/>
    <w:rsid w:val="00DF7F57"/>
    <w:rsid w:val="00E00D7A"/>
    <w:rsid w:val="00E01EB7"/>
    <w:rsid w:val="00E102C7"/>
    <w:rsid w:val="00E116F6"/>
    <w:rsid w:val="00E151FF"/>
    <w:rsid w:val="00E168E4"/>
    <w:rsid w:val="00E16CAE"/>
    <w:rsid w:val="00E20FB8"/>
    <w:rsid w:val="00E272C8"/>
    <w:rsid w:val="00E2738A"/>
    <w:rsid w:val="00E27495"/>
    <w:rsid w:val="00E308D4"/>
    <w:rsid w:val="00E31A08"/>
    <w:rsid w:val="00E34E03"/>
    <w:rsid w:val="00E355AB"/>
    <w:rsid w:val="00E36BE2"/>
    <w:rsid w:val="00E36D28"/>
    <w:rsid w:val="00E37E6B"/>
    <w:rsid w:val="00E4077F"/>
    <w:rsid w:val="00E410C9"/>
    <w:rsid w:val="00E41378"/>
    <w:rsid w:val="00E424FF"/>
    <w:rsid w:val="00E435A9"/>
    <w:rsid w:val="00E436DF"/>
    <w:rsid w:val="00E4523B"/>
    <w:rsid w:val="00E45251"/>
    <w:rsid w:val="00E45542"/>
    <w:rsid w:val="00E46169"/>
    <w:rsid w:val="00E46AB0"/>
    <w:rsid w:val="00E47EC0"/>
    <w:rsid w:val="00E52D89"/>
    <w:rsid w:val="00E55D4E"/>
    <w:rsid w:val="00E6111A"/>
    <w:rsid w:val="00E61F31"/>
    <w:rsid w:val="00E62A1F"/>
    <w:rsid w:val="00E63027"/>
    <w:rsid w:val="00E644D7"/>
    <w:rsid w:val="00E64DA6"/>
    <w:rsid w:val="00E733D3"/>
    <w:rsid w:val="00E76FE6"/>
    <w:rsid w:val="00E80EB0"/>
    <w:rsid w:val="00E82E36"/>
    <w:rsid w:val="00E83051"/>
    <w:rsid w:val="00E855E8"/>
    <w:rsid w:val="00E85E57"/>
    <w:rsid w:val="00E8765F"/>
    <w:rsid w:val="00E92C7F"/>
    <w:rsid w:val="00E95E48"/>
    <w:rsid w:val="00E9627A"/>
    <w:rsid w:val="00E9669A"/>
    <w:rsid w:val="00E96D49"/>
    <w:rsid w:val="00E9710B"/>
    <w:rsid w:val="00E97EAE"/>
    <w:rsid w:val="00EA0DB6"/>
    <w:rsid w:val="00EA2241"/>
    <w:rsid w:val="00EA28AB"/>
    <w:rsid w:val="00EB0482"/>
    <w:rsid w:val="00EB2319"/>
    <w:rsid w:val="00EB290E"/>
    <w:rsid w:val="00EB45A8"/>
    <w:rsid w:val="00EB59F5"/>
    <w:rsid w:val="00EB5A8C"/>
    <w:rsid w:val="00EB6BBB"/>
    <w:rsid w:val="00EB7649"/>
    <w:rsid w:val="00EC0D41"/>
    <w:rsid w:val="00EC1231"/>
    <w:rsid w:val="00EC1585"/>
    <w:rsid w:val="00EC2186"/>
    <w:rsid w:val="00EC33F6"/>
    <w:rsid w:val="00EC4438"/>
    <w:rsid w:val="00ED0CCB"/>
    <w:rsid w:val="00ED2CE3"/>
    <w:rsid w:val="00ED3BB6"/>
    <w:rsid w:val="00ED5160"/>
    <w:rsid w:val="00EE0D1C"/>
    <w:rsid w:val="00EE1C87"/>
    <w:rsid w:val="00EE51A7"/>
    <w:rsid w:val="00EE5B9F"/>
    <w:rsid w:val="00EF16E8"/>
    <w:rsid w:val="00EF4281"/>
    <w:rsid w:val="00EF6A6C"/>
    <w:rsid w:val="00F10805"/>
    <w:rsid w:val="00F13916"/>
    <w:rsid w:val="00F14FF3"/>
    <w:rsid w:val="00F16389"/>
    <w:rsid w:val="00F16457"/>
    <w:rsid w:val="00F16C62"/>
    <w:rsid w:val="00F17872"/>
    <w:rsid w:val="00F21576"/>
    <w:rsid w:val="00F25446"/>
    <w:rsid w:val="00F254C6"/>
    <w:rsid w:val="00F268D3"/>
    <w:rsid w:val="00F268F5"/>
    <w:rsid w:val="00F276AD"/>
    <w:rsid w:val="00F32E25"/>
    <w:rsid w:val="00F355BC"/>
    <w:rsid w:val="00F37EAD"/>
    <w:rsid w:val="00F41263"/>
    <w:rsid w:val="00F4236E"/>
    <w:rsid w:val="00F423C1"/>
    <w:rsid w:val="00F42871"/>
    <w:rsid w:val="00F4699B"/>
    <w:rsid w:val="00F472B9"/>
    <w:rsid w:val="00F51069"/>
    <w:rsid w:val="00F51B48"/>
    <w:rsid w:val="00F51D41"/>
    <w:rsid w:val="00F5225B"/>
    <w:rsid w:val="00F53A2C"/>
    <w:rsid w:val="00F54A56"/>
    <w:rsid w:val="00F56D01"/>
    <w:rsid w:val="00F60140"/>
    <w:rsid w:val="00F6235E"/>
    <w:rsid w:val="00F641C4"/>
    <w:rsid w:val="00F643CE"/>
    <w:rsid w:val="00F643D1"/>
    <w:rsid w:val="00F654C8"/>
    <w:rsid w:val="00F65BED"/>
    <w:rsid w:val="00F65F48"/>
    <w:rsid w:val="00F66650"/>
    <w:rsid w:val="00F70225"/>
    <w:rsid w:val="00F71FE6"/>
    <w:rsid w:val="00F7298D"/>
    <w:rsid w:val="00F73EC1"/>
    <w:rsid w:val="00F7498A"/>
    <w:rsid w:val="00F7567C"/>
    <w:rsid w:val="00F771A1"/>
    <w:rsid w:val="00F86EAF"/>
    <w:rsid w:val="00F8719A"/>
    <w:rsid w:val="00F91ED2"/>
    <w:rsid w:val="00F93889"/>
    <w:rsid w:val="00F95BFD"/>
    <w:rsid w:val="00F96CCD"/>
    <w:rsid w:val="00F97939"/>
    <w:rsid w:val="00FA4ECB"/>
    <w:rsid w:val="00FA6B66"/>
    <w:rsid w:val="00FA7F3B"/>
    <w:rsid w:val="00FB02EF"/>
    <w:rsid w:val="00FB20B6"/>
    <w:rsid w:val="00FB2D99"/>
    <w:rsid w:val="00FB304E"/>
    <w:rsid w:val="00FB3862"/>
    <w:rsid w:val="00FB3DE6"/>
    <w:rsid w:val="00FB5C43"/>
    <w:rsid w:val="00FB75B9"/>
    <w:rsid w:val="00FC35C9"/>
    <w:rsid w:val="00FC5FC7"/>
    <w:rsid w:val="00FC7F70"/>
    <w:rsid w:val="00FD0C6C"/>
    <w:rsid w:val="00FD2B27"/>
    <w:rsid w:val="00FD6768"/>
    <w:rsid w:val="00FE149C"/>
    <w:rsid w:val="00FE1D9B"/>
    <w:rsid w:val="00FE3DAE"/>
    <w:rsid w:val="00FE53E6"/>
    <w:rsid w:val="00FF027E"/>
    <w:rsid w:val="00FF09E0"/>
    <w:rsid w:val="00FF215C"/>
    <w:rsid w:val="00FF3F89"/>
    <w:rsid w:val="00FF5E65"/>
    <w:rsid w:val="00FF653D"/>
    <w:rsid w:val="00FF7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D39271"/>
  <w15:chartTrackingRefBased/>
  <w15:docId w15:val="{C5BA0155-6340-45FA-A2EA-C12681CD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EC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901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0185"/>
    <w:rPr>
      <w:sz w:val="18"/>
      <w:szCs w:val="18"/>
    </w:rPr>
  </w:style>
  <w:style w:type="paragraph" w:styleId="Footer">
    <w:name w:val="footer"/>
    <w:basedOn w:val="Normal"/>
    <w:link w:val="FooterChar"/>
    <w:uiPriority w:val="99"/>
    <w:unhideWhenUsed/>
    <w:rsid w:val="005901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90185"/>
    <w:rPr>
      <w:sz w:val="18"/>
      <w:szCs w:val="18"/>
    </w:rPr>
  </w:style>
  <w:style w:type="paragraph" w:customStyle="1" w:styleId="a">
    <w:name w:val="样式 页眉"/>
    <w:basedOn w:val="Header"/>
    <w:link w:val="Char"/>
    <w:rsid w:val="0059018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590185"/>
    <w:rPr>
      <w:rFonts w:ascii="Arial" w:eastAsia="Arial" w:hAnsi="Arial" w:cs="Times New Roman"/>
      <w:b/>
      <w:bCs/>
      <w:noProof/>
      <w:kern w:val="0"/>
      <w:sz w:val="22"/>
      <w:szCs w:val="20"/>
      <w:lang w:val="en-GB" w:eastAsia="en-US"/>
    </w:rPr>
  </w:style>
  <w:style w:type="character" w:customStyle="1" w:styleId="fontstyle01">
    <w:name w:val="fontstyle01"/>
    <w:basedOn w:val="DefaultParagraphFont"/>
    <w:rsid w:val="00F4699B"/>
    <w:rPr>
      <w:rFonts w:ascii="STIXTwoText" w:hAnsi="STIXTwoText" w:hint="default"/>
      <w:b w:val="0"/>
      <w:bCs w:val="0"/>
      <w:i w:val="0"/>
      <w:iCs w:val="0"/>
      <w:color w:val="000000"/>
      <w:sz w:val="20"/>
      <w:szCs w:val="20"/>
    </w:rPr>
  </w:style>
  <w:style w:type="paragraph" w:styleId="BalloonText">
    <w:name w:val="Balloon Text"/>
    <w:basedOn w:val="Normal"/>
    <w:link w:val="BalloonTextChar"/>
    <w:uiPriority w:val="99"/>
    <w:semiHidden/>
    <w:unhideWhenUsed/>
    <w:rsid w:val="005F1FAF"/>
    <w:rPr>
      <w:sz w:val="18"/>
      <w:szCs w:val="18"/>
    </w:rPr>
  </w:style>
  <w:style w:type="character" w:customStyle="1" w:styleId="BalloonTextChar">
    <w:name w:val="Balloon Text Char"/>
    <w:basedOn w:val="DefaultParagraphFont"/>
    <w:link w:val="BalloonText"/>
    <w:uiPriority w:val="99"/>
    <w:semiHidden/>
    <w:rsid w:val="005F1FAF"/>
    <w:rPr>
      <w:sz w:val="18"/>
      <w:szCs w:val="18"/>
    </w:rPr>
  </w:style>
  <w:style w:type="table" w:styleId="TableGrid">
    <w:name w:val="Table Grid"/>
    <w:basedOn w:val="TableNormal"/>
    <w:uiPriority w:val="39"/>
    <w:rsid w:val="0033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Normal"/>
    <w:link w:val="ListParagraphChar"/>
    <w:uiPriority w:val="34"/>
    <w:qFormat/>
    <w:rsid w:val="00D54985"/>
    <w:pPr>
      <w:ind w:left="720"/>
      <w:contextualSpacing/>
    </w:pPr>
  </w:style>
  <w:style w:type="paragraph" w:customStyle="1" w:styleId="B1">
    <w:name w:val="B1"/>
    <w:basedOn w:val="List"/>
    <w:link w:val="B1Char"/>
    <w:qFormat/>
    <w:rsid w:val="00B76A0A"/>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B76A0A"/>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B76A0A"/>
    <w:pPr>
      <w:ind w:left="360" w:hanging="360"/>
      <w:contextualSpacing/>
    </w:pPr>
  </w:style>
  <w:style w:type="paragraph" w:customStyle="1" w:styleId="B2">
    <w:name w:val="B2"/>
    <w:basedOn w:val="List2"/>
    <w:link w:val="B2Char"/>
    <w:rsid w:val="006F272F"/>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3">
    <w:name w:val="B3"/>
    <w:basedOn w:val="List3"/>
    <w:link w:val="B3Char"/>
    <w:rsid w:val="006F272F"/>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F272F"/>
    <w:rPr>
      <w:rFonts w:ascii="Times New Roman" w:eastAsia="Times New Roman" w:hAnsi="Times New Roman" w:cs="Times New Roman"/>
      <w:kern w:val="0"/>
      <w:sz w:val="20"/>
      <w:szCs w:val="20"/>
      <w:lang w:val="en-GB" w:eastAsia="ja-JP"/>
    </w:rPr>
  </w:style>
  <w:style w:type="character" w:customStyle="1" w:styleId="B3Char">
    <w:name w:val="B3 Char"/>
    <w:link w:val="B3"/>
    <w:rsid w:val="006F272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6F272F"/>
    <w:pPr>
      <w:ind w:left="720" w:hanging="360"/>
      <w:contextualSpacing/>
    </w:pPr>
  </w:style>
  <w:style w:type="paragraph" w:styleId="List3">
    <w:name w:val="List 3"/>
    <w:basedOn w:val="Normal"/>
    <w:uiPriority w:val="99"/>
    <w:semiHidden/>
    <w:unhideWhenUsed/>
    <w:rsid w:val="006F272F"/>
    <w:pPr>
      <w:ind w:left="1080" w:hanging="360"/>
      <w:contextualSpacing/>
    </w:pPr>
  </w:style>
  <w:style w:type="paragraph" w:styleId="NoSpacing">
    <w:name w:val="No Spacing"/>
    <w:uiPriority w:val="1"/>
    <w:qFormat/>
    <w:rsid w:val="003A11D3"/>
    <w:pPr>
      <w:widowControl w:val="0"/>
      <w:jc w:val="both"/>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sid w:val="003A11D3"/>
  </w:style>
  <w:style w:type="character" w:customStyle="1" w:styleId="apple-converted-space">
    <w:name w:val="apple-converted-space"/>
    <w:qFormat/>
    <w:rsid w:val="003A11D3"/>
  </w:style>
  <w:style w:type="character" w:customStyle="1" w:styleId="msoins0">
    <w:name w:val="msoins"/>
    <w:basedOn w:val="DefaultParagraphFont"/>
    <w:rsid w:val="00405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923">
      <w:bodyDiv w:val="1"/>
      <w:marLeft w:val="0"/>
      <w:marRight w:val="0"/>
      <w:marTop w:val="0"/>
      <w:marBottom w:val="0"/>
      <w:divBdr>
        <w:top w:val="none" w:sz="0" w:space="0" w:color="auto"/>
        <w:left w:val="none" w:sz="0" w:space="0" w:color="auto"/>
        <w:bottom w:val="none" w:sz="0" w:space="0" w:color="auto"/>
        <w:right w:val="none" w:sz="0" w:space="0" w:color="auto"/>
      </w:divBdr>
      <w:divsChild>
        <w:div w:id="1486817373">
          <w:marLeft w:val="360"/>
          <w:marRight w:val="0"/>
          <w:marTop w:val="200"/>
          <w:marBottom w:val="0"/>
          <w:divBdr>
            <w:top w:val="none" w:sz="0" w:space="0" w:color="auto"/>
            <w:left w:val="none" w:sz="0" w:space="0" w:color="auto"/>
            <w:bottom w:val="none" w:sz="0" w:space="0" w:color="auto"/>
            <w:right w:val="none" w:sz="0" w:space="0" w:color="auto"/>
          </w:divBdr>
        </w:div>
        <w:div w:id="2069961002">
          <w:marLeft w:val="1080"/>
          <w:marRight w:val="0"/>
          <w:marTop w:val="100"/>
          <w:marBottom w:val="0"/>
          <w:divBdr>
            <w:top w:val="none" w:sz="0" w:space="0" w:color="auto"/>
            <w:left w:val="none" w:sz="0" w:space="0" w:color="auto"/>
            <w:bottom w:val="none" w:sz="0" w:space="0" w:color="auto"/>
            <w:right w:val="none" w:sz="0" w:space="0" w:color="auto"/>
          </w:divBdr>
        </w:div>
        <w:div w:id="1967081961">
          <w:marLeft w:val="1800"/>
          <w:marRight w:val="0"/>
          <w:marTop w:val="100"/>
          <w:marBottom w:val="0"/>
          <w:divBdr>
            <w:top w:val="none" w:sz="0" w:space="0" w:color="auto"/>
            <w:left w:val="none" w:sz="0" w:space="0" w:color="auto"/>
            <w:bottom w:val="none" w:sz="0" w:space="0" w:color="auto"/>
            <w:right w:val="none" w:sz="0" w:space="0" w:color="auto"/>
          </w:divBdr>
        </w:div>
        <w:div w:id="1169634378">
          <w:marLeft w:val="2520"/>
          <w:marRight w:val="0"/>
          <w:marTop w:val="100"/>
          <w:marBottom w:val="0"/>
          <w:divBdr>
            <w:top w:val="none" w:sz="0" w:space="0" w:color="auto"/>
            <w:left w:val="none" w:sz="0" w:space="0" w:color="auto"/>
            <w:bottom w:val="none" w:sz="0" w:space="0" w:color="auto"/>
            <w:right w:val="none" w:sz="0" w:space="0" w:color="auto"/>
          </w:divBdr>
        </w:div>
        <w:div w:id="1375887230">
          <w:marLeft w:val="2520"/>
          <w:marRight w:val="0"/>
          <w:marTop w:val="100"/>
          <w:marBottom w:val="0"/>
          <w:divBdr>
            <w:top w:val="none" w:sz="0" w:space="0" w:color="auto"/>
            <w:left w:val="none" w:sz="0" w:space="0" w:color="auto"/>
            <w:bottom w:val="none" w:sz="0" w:space="0" w:color="auto"/>
            <w:right w:val="none" w:sz="0" w:space="0" w:color="auto"/>
          </w:divBdr>
        </w:div>
        <w:div w:id="531262013">
          <w:marLeft w:val="1800"/>
          <w:marRight w:val="0"/>
          <w:marTop w:val="100"/>
          <w:marBottom w:val="0"/>
          <w:divBdr>
            <w:top w:val="none" w:sz="0" w:space="0" w:color="auto"/>
            <w:left w:val="none" w:sz="0" w:space="0" w:color="auto"/>
            <w:bottom w:val="none" w:sz="0" w:space="0" w:color="auto"/>
            <w:right w:val="none" w:sz="0" w:space="0" w:color="auto"/>
          </w:divBdr>
        </w:div>
        <w:div w:id="745497230">
          <w:marLeft w:val="2520"/>
          <w:marRight w:val="0"/>
          <w:marTop w:val="100"/>
          <w:marBottom w:val="0"/>
          <w:divBdr>
            <w:top w:val="none" w:sz="0" w:space="0" w:color="auto"/>
            <w:left w:val="none" w:sz="0" w:space="0" w:color="auto"/>
            <w:bottom w:val="none" w:sz="0" w:space="0" w:color="auto"/>
            <w:right w:val="none" w:sz="0" w:space="0" w:color="auto"/>
          </w:divBdr>
        </w:div>
        <w:div w:id="766851963">
          <w:marLeft w:val="2520"/>
          <w:marRight w:val="0"/>
          <w:marTop w:val="100"/>
          <w:marBottom w:val="0"/>
          <w:divBdr>
            <w:top w:val="none" w:sz="0" w:space="0" w:color="auto"/>
            <w:left w:val="none" w:sz="0" w:space="0" w:color="auto"/>
            <w:bottom w:val="none" w:sz="0" w:space="0" w:color="auto"/>
            <w:right w:val="none" w:sz="0" w:space="0" w:color="auto"/>
          </w:divBdr>
        </w:div>
        <w:div w:id="771821750">
          <w:marLeft w:val="1800"/>
          <w:marRight w:val="0"/>
          <w:marTop w:val="100"/>
          <w:marBottom w:val="0"/>
          <w:divBdr>
            <w:top w:val="none" w:sz="0" w:space="0" w:color="auto"/>
            <w:left w:val="none" w:sz="0" w:space="0" w:color="auto"/>
            <w:bottom w:val="none" w:sz="0" w:space="0" w:color="auto"/>
            <w:right w:val="none" w:sz="0" w:space="0" w:color="auto"/>
          </w:divBdr>
        </w:div>
        <w:div w:id="48188605">
          <w:marLeft w:val="1800"/>
          <w:marRight w:val="0"/>
          <w:marTop w:val="100"/>
          <w:marBottom w:val="0"/>
          <w:divBdr>
            <w:top w:val="none" w:sz="0" w:space="0" w:color="auto"/>
            <w:left w:val="none" w:sz="0" w:space="0" w:color="auto"/>
            <w:bottom w:val="none" w:sz="0" w:space="0" w:color="auto"/>
            <w:right w:val="none" w:sz="0" w:space="0" w:color="auto"/>
          </w:divBdr>
        </w:div>
      </w:divsChild>
    </w:div>
    <w:div w:id="159932913">
      <w:bodyDiv w:val="1"/>
      <w:marLeft w:val="0"/>
      <w:marRight w:val="0"/>
      <w:marTop w:val="0"/>
      <w:marBottom w:val="0"/>
      <w:divBdr>
        <w:top w:val="none" w:sz="0" w:space="0" w:color="auto"/>
        <w:left w:val="none" w:sz="0" w:space="0" w:color="auto"/>
        <w:bottom w:val="none" w:sz="0" w:space="0" w:color="auto"/>
        <w:right w:val="none" w:sz="0" w:space="0" w:color="auto"/>
      </w:divBdr>
    </w:div>
    <w:div w:id="239098661">
      <w:bodyDiv w:val="1"/>
      <w:marLeft w:val="0"/>
      <w:marRight w:val="0"/>
      <w:marTop w:val="0"/>
      <w:marBottom w:val="0"/>
      <w:divBdr>
        <w:top w:val="none" w:sz="0" w:space="0" w:color="auto"/>
        <w:left w:val="none" w:sz="0" w:space="0" w:color="auto"/>
        <w:bottom w:val="none" w:sz="0" w:space="0" w:color="auto"/>
        <w:right w:val="none" w:sz="0" w:space="0" w:color="auto"/>
      </w:divBdr>
      <w:divsChild>
        <w:div w:id="1145775711">
          <w:marLeft w:val="360"/>
          <w:marRight w:val="0"/>
          <w:marTop w:val="200"/>
          <w:marBottom w:val="0"/>
          <w:divBdr>
            <w:top w:val="none" w:sz="0" w:space="0" w:color="auto"/>
            <w:left w:val="none" w:sz="0" w:space="0" w:color="auto"/>
            <w:bottom w:val="none" w:sz="0" w:space="0" w:color="auto"/>
            <w:right w:val="none" w:sz="0" w:space="0" w:color="auto"/>
          </w:divBdr>
        </w:div>
        <w:div w:id="208305615">
          <w:marLeft w:val="1080"/>
          <w:marRight w:val="0"/>
          <w:marTop w:val="100"/>
          <w:marBottom w:val="0"/>
          <w:divBdr>
            <w:top w:val="none" w:sz="0" w:space="0" w:color="auto"/>
            <w:left w:val="none" w:sz="0" w:space="0" w:color="auto"/>
            <w:bottom w:val="none" w:sz="0" w:space="0" w:color="auto"/>
            <w:right w:val="none" w:sz="0" w:space="0" w:color="auto"/>
          </w:divBdr>
        </w:div>
        <w:div w:id="385839988">
          <w:marLeft w:val="1800"/>
          <w:marRight w:val="0"/>
          <w:marTop w:val="100"/>
          <w:marBottom w:val="0"/>
          <w:divBdr>
            <w:top w:val="none" w:sz="0" w:space="0" w:color="auto"/>
            <w:left w:val="none" w:sz="0" w:space="0" w:color="auto"/>
            <w:bottom w:val="none" w:sz="0" w:space="0" w:color="auto"/>
            <w:right w:val="none" w:sz="0" w:space="0" w:color="auto"/>
          </w:divBdr>
        </w:div>
        <w:div w:id="1210339892">
          <w:marLeft w:val="1080"/>
          <w:marRight w:val="0"/>
          <w:marTop w:val="100"/>
          <w:marBottom w:val="0"/>
          <w:divBdr>
            <w:top w:val="none" w:sz="0" w:space="0" w:color="auto"/>
            <w:left w:val="none" w:sz="0" w:space="0" w:color="auto"/>
            <w:bottom w:val="none" w:sz="0" w:space="0" w:color="auto"/>
            <w:right w:val="none" w:sz="0" w:space="0" w:color="auto"/>
          </w:divBdr>
        </w:div>
        <w:div w:id="694575166">
          <w:marLeft w:val="1800"/>
          <w:marRight w:val="0"/>
          <w:marTop w:val="100"/>
          <w:marBottom w:val="0"/>
          <w:divBdr>
            <w:top w:val="none" w:sz="0" w:space="0" w:color="auto"/>
            <w:left w:val="none" w:sz="0" w:space="0" w:color="auto"/>
            <w:bottom w:val="none" w:sz="0" w:space="0" w:color="auto"/>
            <w:right w:val="none" w:sz="0" w:space="0" w:color="auto"/>
          </w:divBdr>
        </w:div>
        <w:div w:id="256016163">
          <w:marLeft w:val="1800"/>
          <w:marRight w:val="0"/>
          <w:marTop w:val="100"/>
          <w:marBottom w:val="0"/>
          <w:divBdr>
            <w:top w:val="none" w:sz="0" w:space="0" w:color="auto"/>
            <w:left w:val="none" w:sz="0" w:space="0" w:color="auto"/>
            <w:bottom w:val="none" w:sz="0" w:space="0" w:color="auto"/>
            <w:right w:val="none" w:sz="0" w:space="0" w:color="auto"/>
          </w:divBdr>
        </w:div>
        <w:div w:id="1579483424">
          <w:marLeft w:val="1800"/>
          <w:marRight w:val="0"/>
          <w:marTop w:val="100"/>
          <w:marBottom w:val="0"/>
          <w:divBdr>
            <w:top w:val="none" w:sz="0" w:space="0" w:color="auto"/>
            <w:left w:val="none" w:sz="0" w:space="0" w:color="auto"/>
            <w:bottom w:val="none" w:sz="0" w:space="0" w:color="auto"/>
            <w:right w:val="none" w:sz="0" w:space="0" w:color="auto"/>
          </w:divBdr>
        </w:div>
        <w:div w:id="1461147447">
          <w:marLeft w:val="1800"/>
          <w:marRight w:val="0"/>
          <w:marTop w:val="100"/>
          <w:marBottom w:val="0"/>
          <w:divBdr>
            <w:top w:val="none" w:sz="0" w:space="0" w:color="auto"/>
            <w:left w:val="none" w:sz="0" w:space="0" w:color="auto"/>
            <w:bottom w:val="none" w:sz="0" w:space="0" w:color="auto"/>
            <w:right w:val="none" w:sz="0" w:space="0" w:color="auto"/>
          </w:divBdr>
        </w:div>
        <w:div w:id="285896996">
          <w:marLeft w:val="1800"/>
          <w:marRight w:val="0"/>
          <w:marTop w:val="100"/>
          <w:marBottom w:val="0"/>
          <w:divBdr>
            <w:top w:val="none" w:sz="0" w:space="0" w:color="auto"/>
            <w:left w:val="none" w:sz="0" w:space="0" w:color="auto"/>
            <w:bottom w:val="none" w:sz="0" w:space="0" w:color="auto"/>
            <w:right w:val="none" w:sz="0" w:space="0" w:color="auto"/>
          </w:divBdr>
        </w:div>
        <w:div w:id="1648826511">
          <w:marLeft w:val="1080"/>
          <w:marRight w:val="0"/>
          <w:marTop w:val="100"/>
          <w:marBottom w:val="0"/>
          <w:divBdr>
            <w:top w:val="none" w:sz="0" w:space="0" w:color="auto"/>
            <w:left w:val="none" w:sz="0" w:space="0" w:color="auto"/>
            <w:bottom w:val="none" w:sz="0" w:space="0" w:color="auto"/>
            <w:right w:val="none" w:sz="0" w:space="0" w:color="auto"/>
          </w:divBdr>
        </w:div>
        <w:div w:id="1073233795">
          <w:marLeft w:val="1080"/>
          <w:marRight w:val="0"/>
          <w:marTop w:val="100"/>
          <w:marBottom w:val="0"/>
          <w:divBdr>
            <w:top w:val="none" w:sz="0" w:space="0" w:color="auto"/>
            <w:left w:val="none" w:sz="0" w:space="0" w:color="auto"/>
            <w:bottom w:val="none" w:sz="0" w:space="0" w:color="auto"/>
            <w:right w:val="none" w:sz="0" w:space="0" w:color="auto"/>
          </w:divBdr>
        </w:div>
      </w:divsChild>
    </w:div>
    <w:div w:id="577980731">
      <w:bodyDiv w:val="1"/>
      <w:marLeft w:val="0"/>
      <w:marRight w:val="0"/>
      <w:marTop w:val="0"/>
      <w:marBottom w:val="0"/>
      <w:divBdr>
        <w:top w:val="none" w:sz="0" w:space="0" w:color="auto"/>
        <w:left w:val="none" w:sz="0" w:space="0" w:color="auto"/>
        <w:bottom w:val="none" w:sz="0" w:space="0" w:color="auto"/>
        <w:right w:val="none" w:sz="0" w:space="0" w:color="auto"/>
      </w:divBdr>
      <w:divsChild>
        <w:div w:id="1245795150">
          <w:marLeft w:val="1080"/>
          <w:marRight w:val="0"/>
          <w:marTop w:val="100"/>
          <w:marBottom w:val="0"/>
          <w:divBdr>
            <w:top w:val="none" w:sz="0" w:space="0" w:color="auto"/>
            <w:left w:val="none" w:sz="0" w:space="0" w:color="auto"/>
            <w:bottom w:val="none" w:sz="0" w:space="0" w:color="auto"/>
            <w:right w:val="none" w:sz="0" w:space="0" w:color="auto"/>
          </w:divBdr>
        </w:div>
        <w:div w:id="580993118">
          <w:marLeft w:val="1080"/>
          <w:marRight w:val="0"/>
          <w:marTop w:val="100"/>
          <w:marBottom w:val="0"/>
          <w:divBdr>
            <w:top w:val="none" w:sz="0" w:space="0" w:color="auto"/>
            <w:left w:val="none" w:sz="0" w:space="0" w:color="auto"/>
            <w:bottom w:val="none" w:sz="0" w:space="0" w:color="auto"/>
            <w:right w:val="none" w:sz="0" w:space="0" w:color="auto"/>
          </w:divBdr>
        </w:div>
        <w:div w:id="2142916405">
          <w:marLeft w:val="1080"/>
          <w:marRight w:val="0"/>
          <w:marTop w:val="100"/>
          <w:marBottom w:val="0"/>
          <w:divBdr>
            <w:top w:val="none" w:sz="0" w:space="0" w:color="auto"/>
            <w:left w:val="none" w:sz="0" w:space="0" w:color="auto"/>
            <w:bottom w:val="none" w:sz="0" w:space="0" w:color="auto"/>
            <w:right w:val="none" w:sz="0" w:space="0" w:color="auto"/>
          </w:divBdr>
        </w:div>
        <w:div w:id="555094266">
          <w:marLeft w:val="1080"/>
          <w:marRight w:val="0"/>
          <w:marTop w:val="100"/>
          <w:marBottom w:val="0"/>
          <w:divBdr>
            <w:top w:val="none" w:sz="0" w:space="0" w:color="auto"/>
            <w:left w:val="none" w:sz="0" w:space="0" w:color="auto"/>
            <w:bottom w:val="none" w:sz="0" w:space="0" w:color="auto"/>
            <w:right w:val="none" w:sz="0" w:space="0" w:color="auto"/>
          </w:divBdr>
        </w:div>
        <w:div w:id="1156873412">
          <w:marLeft w:val="1080"/>
          <w:marRight w:val="0"/>
          <w:marTop w:val="100"/>
          <w:marBottom w:val="0"/>
          <w:divBdr>
            <w:top w:val="none" w:sz="0" w:space="0" w:color="auto"/>
            <w:left w:val="none" w:sz="0" w:space="0" w:color="auto"/>
            <w:bottom w:val="none" w:sz="0" w:space="0" w:color="auto"/>
            <w:right w:val="none" w:sz="0" w:space="0" w:color="auto"/>
          </w:divBdr>
        </w:div>
      </w:divsChild>
    </w:div>
    <w:div w:id="624314467">
      <w:bodyDiv w:val="1"/>
      <w:marLeft w:val="0"/>
      <w:marRight w:val="0"/>
      <w:marTop w:val="0"/>
      <w:marBottom w:val="0"/>
      <w:divBdr>
        <w:top w:val="none" w:sz="0" w:space="0" w:color="auto"/>
        <w:left w:val="none" w:sz="0" w:space="0" w:color="auto"/>
        <w:bottom w:val="none" w:sz="0" w:space="0" w:color="auto"/>
        <w:right w:val="none" w:sz="0" w:space="0" w:color="auto"/>
      </w:divBdr>
      <w:divsChild>
        <w:div w:id="339740960">
          <w:marLeft w:val="677"/>
          <w:marRight w:val="0"/>
          <w:marTop w:val="240"/>
          <w:marBottom w:val="0"/>
          <w:divBdr>
            <w:top w:val="none" w:sz="0" w:space="0" w:color="auto"/>
            <w:left w:val="none" w:sz="0" w:space="0" w:color="auto"/>
            <w:bottom w:val="none" w:sz="0" w:space="0" w:color="auto"/>
            <w:right w:val="none" w:sz="0" w:space="0" w:color="auto"/>
          </w:divBdr>
        </w:div>
      </w:divsChild>
    </w:div>
    <w:div w:id="649870522">
      <w:bodyDiv w:val="1"/>
      <w:marLeft w:val="0"/>
      <w:marRight w:val="0"/>
      <w:marTop w:val="0"/>
      <w:marBottom w:val="0"/>
      <w:divBdr>
        <w:top w:val="none" w:sz="0" w:space="0" w:color="auto"/>
        <w:left w:val="none" w:sz="0" w:space="0" w:color="auto"/>
        <w:bottom w:val="none" w:sz="0" w:space="0" w:color="auto"/>
        <w:right w:val="none" w:sz="0" w:space="0" w:color="auto"/>
      </w:divBdr>
      <w:divsChild>
        <w:div w:id="1682850256">
          <w:marLeft w:val="360"/>
          <w:marRight w:val="0"/>
          <w:marTop w:val="200"/>
          <w:marBottom w:val="0"/>
          <w:divBdr>
            <w:top w:val="none" w:sz="0" w:space="0" w:color="auto"/>
            <w:left w:val="none" w:sz="0" w:space="0" w:color="auto"/>
            <w:bottom w:val="none" w:sz="0" w:space="0" w:color="auto"/>
            <w:right w:val="none" w:sz="0" w:space="0" w:color="auto"/>
          </w:divBdr>
        </w:div>
        <w:div w:id="2048216075">
          <w:marLeft w:val="1080"/>
          <w:marRight w:val="0"/>
          <w:marTop w:val="100"/>
          <w:marBottom w:val="0"/>
          <w:divBdr>
            <w:top w:val="none" w:sz="0" w:space="0" w:color="auto"/>
            <w:left w:val="none" w:sz="0" w:space="0" w:color="auto"/>
            <w:bottom w:val="none" w:sz="0" w:space="0" w:color="auto"/>
            <w:right w:val="none" w:sz="0" w:space="0" w:color="auto"/>
          </w:divBdr>
        </w:div>
        <w:div w:id="564951816">
          <w:marLeft w:val="1800"/>
          <w:marRight w:val="0"/>
          <w:marTop w:val="100"/>
          <w:marBottom w:val="0"/>
          <w:divBdr>
            <w:top w:val="none" w:sz="0" w:space="0" w:color="auto"/>
            <w:left w:val="none" w:sz="0" w:space="0" w:color="auto"/>
            <w:bottom w:val="none" w:sz="0" w:space="0" w:color="auto"/>
            <w:right w:val="none" w:sz="0" w:space="0" w:color="auto"/>
          </w:divBdr>
        </w:div>
        <w:div w:id="1565481126">
          <w:marLeft w:val="360"/>
          <w:marRight w:val="0"/>
          <w:marTop w:val="200"/>
          <w:marBottom w:val="0"/>
          <w:divBdr>
            <w:top w:val="none" w:sz="0" w:space="0" w:color="auto"/>
            <w:left w:val="none" w:sz="0" w:space="0" w:color="auto"/>
            <w:bottom w:val="none" w:sz="0" w:space="0" w:color="auto"/>
            <w:right w:val="none" w:sz="0" w:space="0" w:color="auto"/>
          </w:divBdr>
        </w:div>
        <w:div w:id="632095955">
          <w:marLeft w:val="1080"/>
          <w:marRight w:val="0"/>
          <w:marTop w:val="100"/>
          <w:marBottom w:val="0"/>
          <w:divBdr>
            <w:top w:val="none" w:sz="0" w:space="0" w:color="auto"/>
            <w:left w:val="none" w:sz="0" w:space="0" w:color="auto"/>
            <w:bottom w:val="none" w:sz="0" w:space="0" w:color="auto"/>
            <w:right w:val="none" w:sz="0" w:space="0" w:color="auto"/>
          </w:divBdr>
        </w:div>
        <w:div w:id="353388212">
          <w:marLeft w:val="1080"/>
          <w:marRight w:val="0"/>
          <w:marTop w:val="100"/>
          <w:marBottom w:val="0"/>
          <w:divBdr>
            <w:top w:val="none" w:sz="0" w:space="0" w:color="auto"/>
            <w:left w:val="none" w:sz="0" w:space="0" w:color="auto"/>
            <w:bottom w:val="none" w:sz="0" w:space="0" w:color="auto"/>
            <w:right w:val="none" w:sz="0" w:space="0" w:color="auto"/>
          </w:divBdr>
        </w:div>
        <w:div w:id="100300366">
          <w:marLeft w:val="360"/>
          <w:marRight w:val="0"/>
          <w:marTop w:val="200"/>
          <w:marBottom w:val="0"/>
          <w:divBdr>
            <w:top w:val="none" w:sz="0" w:space="0" w:color="auto"/>
            <w:left w:val="none" w:sz="0" w:space="0" w:color="auto"/>
            <w:bottom w:val="none" w:sz="0" w:space="0" w:color="auto"/>
            <w:right w:val="none" w:sz="0" w:space="0" w:color="auto"/>
          </w:divBdr>
        </w:div>
        <w:div w:id="1902405622">
          <w:marLeft w:val="1080"/>
          <w:marRight w:val="0"/>
          <w:marTop w:val="100"/>
          <w:marBottom w:val="0"/>
          <w:divBdr>
            <w:top w:val="none" w:sz="0" w:space="0" w:color="auto"/>
            <w:left w:val="none" w:sz="0" w:space="0" w:color="auto"/>
            <w:bottom w:val="none" w:sz="0" w:space="0" w:color="auto"/>
            <w:right w:val="none" w:sz="0" w:space="0" w:color="auto"/>
          </w:divBdr>
        </w:div>
        <w:div w:id="1572815447">
          <w:marLeft w:val="1080"/>
          <w:marRight w:val="0"/>
          <w:marTop w:val="100"/>
          <w:marBottom w:val="0"/>
          <w:divBdr>
            <w:top w:val="none" w:sz="0" w:space="0" w:color="auto"/>
            <w:left w:val="none" w:sz="0" w:space="0" w:color="auto"/>
            <w:bottom w:val="none" w:sz="0" w:space="0" w:color="auto"/>
            <w:right w:val="none" w:sz="0" w:space="0" w:color="auto"/>
          </w:divBdr>
        </w:div>
        <w:div w:id="2077195821">
          <w:marLeft w:val="360"/>
          <w:marRight w:val="0"/>
          <w:marTop w:val="200"/>
          <w:marBottom w:val="0"/>
          <w:divBdr>
            <w:top w:val="none" w:sz="0" w:space="0" w:color="auto"/>
            <w:left w:val="none" w:sz="0" w:space="0" w:color="auto"/>
            <w:bottom w:val="none" w:sz="0" w:space="0" w:color="auto"/>
            <w:right w:val="none" w:sz="0" w:space="0" w:color="auto"/>
          </w:divBdr>
        </w:div>
      </w:divsChild>
    </w:div>
    <w:div w:id="779182312">
      <w:bodyDiv w:val="1"/>
      <w:marLeft w:val="0"/>
      <w:marRight w:val="0"/>
      <w:marTop w:val="0"/>
      <w:marBottom w:val="0"/>
      <w:divBdr>
        <w:top w:val="none" w:sz="0" w:space="0" w:color="auto"/>
        <w:left w:val="none" w:sz="0" w:space="0" w:color="auto"/>
        <w:bottom w:val="none" w:sz="0" w:space="0" w:color="auto"/>
        <w:right w:val="none" w:sz="0" w:space="0" w:color="auto"/>
      </w:divBdr>
    </w:div>
    <w:div w:id="828910117">
      <w:bodyDiv w:val="1"/>
      <w:marLeft w:val="0"/>
      <w:marRight w:val="0"/>
      <w:marTop w:val="0"/>
      <w:marBottom w:val="0"/>
      <w:divBdr>
        <w:top w:val="none" w:sz="0" w:space="0" w:color="auto"/>
        <w:left w:val="none" w:sz="0" w:space="0" w:color="auto"/>
        <w:bottom w:val="none" w:sz="0" w:space="0" w:color="auto"/>
        <w:right w:val="none" w:sz="0" w:space="0" w:color="auto"/>
      </w:divBdr>
      <w:divsChild>
        <w:div w:id="478494642">
          <w:marLeft w:val="806"/>
          <w:marRight w:val="0"/>
          <w:marTop w:val="240"/>
          <w:marBottom w:val="0"/>
          <w:divBdr>
            <w:top w:val="none" w:sz="0" w:space="0" w:color="auto"/>
            <w:left w:val="none" w:sz="0" w:space="0" w:color="auto"/>
            <w:bottom w:val="none" w:sz="0" w:space="0" w:color="auto"/>
            <w:right w:val="none" w:sz="0" w:space="0" w:color="auto"/>
          </w:divBdr>
        </w:div>
      </w:divsChild>
    </w:div>
    <w:div w:id="869881816">
      <w:bodyDiv w:val="1"/>
      <w:marLeft w:val="0"/>
      <w:marRight w:val="0"/>
      <w:marTop w:val="0"/>
      <w:marBottom w:val="0"/>
      <w:divBdr>
        <w:top w:val="none" w:sz="0" w:space="0" w:color="auto"/>
        <w:left w:val="none" w:sz="0" w:space="0" w:color="auto"/>
        <w:bottom w:val="none" w:sz="0" w:space="0" w:color="auto"/>
        <w:right w:val="none" w:sz="0" w:space="0" w:color="auto"/>
      </w:divBdr>
      <w:divsChild>
        <w:div w:id="1652564076">
          <w:marLeft w:val="360"/>
          <w:marRight w:val="0"/>
          <w:marTop w:val="200"/>
          <w:marBottom w:val="0"/>
          <w:divBdr>
            <w:top w:val="none" w:sz="0" w:space="0" w:color="auto"/>
            <w:left w:val="none" w:sz="0" w:space="0" w:color="auto"/>
            <w:bottom w:val="none" w:sz="0" w:space="0" w:color="auto"/>
            <w:right w:val="none" w:sz="0" w:space="0" w:color="auto"/>
          </w:divBdr>
        </w:div>
        <w:div w:id="1302617294">
          <w:marLeft w:val="1080"/>
          <w:marRight w:val="0"/>
          <w:marTop w:val="100"/>
          <w:marBottom w:val="0"/>
          <w:divBdr>
            <w:top w:val="none" w:sz="0" w:space="0" w:color="auto"/>
            <w:left w:val="none" w:sz="0" w:space="0" w:color="auto"/>
            <w:bottom w:val="none" w:sz="0" w:space="0" w:color="auto"/>
            <w:right w:val="none" w:sz="0" w:space="0" w:color="auto"/>
          </w:divBdr>
        </w:div>
        <w:div w:id="668488646">
          <w:marLeft w:val="1800"/>
          <w:marRight w:val="0"/>
          <w:marTop w:val="100"/>
          <w:marBottom w:val="0"/>
          <w:divBdr>
            <w:top w:val="none" w:sz="0" w:space="0" w:color="auto"/>
            <w:left w:val="none" w:sz="0" w:space="0" w:color="auto"/>
            <w:bottom w:val="none" w:sz="0" w:space="0" w:color="auto"/>
            <w:right w:val="none" w:sz="0" w:space="0" w:color="auto"/>
          </w:divBdr>
        </w:div>
        <w:div w:id="1470976434">
          <w:marLeft w:val="1080"/>
          <w:marRight w:val="0"/>
          <w:marTop w:val="100"/>
          <w:marBottom w:val="0"/>
          <w:divBdr>
            <w:top w:val="none" w:sz="0" w:space="0" w:color="auto"/>
            <w:left w:val="none" w:sz="0" w:space="0" w:color="auto"/>
            <w:bottom w:val="none" w:sz="0" w:space="0" w:color="auto"/>
            <w:right w:val="none" w:sz="0" w:space="0" w:color="auto"/>
          </w:divBdr>
        </w:div>
        <w:div w:id="1965883486">
          <w:marLeft w:val="1800"/>
          <w:marRight w:val="0"/>
          <w:marTop w:val="100"/>
          <w:marBottom w:val="0"/>
          <w:divBdr>
            <w:top w:val="none" w:sz="0" w:space="0" w:color="auto"/>
            <w:left w:val="none" w:sz="0" w:space="0" w:color="auto"/>
            <w:bottom w:val="none" w:sz="0" w:space="0" w:color="auto"/>
            <w:right w:val="none" w:sz="0" w:space="0" w:color="auto"/>
          </w:divBdr>
        </w:div>
        <w:div w:id="1684698438">
          <w:marLeft w:val="1800"/>
          <w:marRight w:val="0"/>
          <w:marTop w:val="100"/>
          <w:marBottom w:val="0"/>
          <w:divBdr>
            <w:top w:val="none" w:sz="0" w:space="0" w:color="auto"/>
            <w:left w:val="none" w:sz="0" w:space="0" w:color="auto"/>
            <w:bottom w:val="none" w:sz="0" w:space="0" w:color="auto"/>
            <w:right w:val="none" w:sz="0" w:space="0" w:color="auto"/>
          </w:divBdr>
        </w:div>
      </w:divsChild>
    </w:div>
    <w:div w:id="1006902890">
      <w:bodyDiv w:val="1"/>
      <w:marLeft w:val="0"/>
      <w:marRight w:val="0"/>
      <w:marTop w:val="0"/>
      <w:marBottom w:val="0"/>
      <w:divBdr>
        <w:top w:val="none" w:sz="0" w:space="0" w:color="auto"/>
        <w:left w:val="none" w:sz="0" w:space="0" w:color="auto"/>
        <w:bottom w:val="none" w:sz="0" w:space="0" w:color="auto"/>
        <w:right w:val="none" w:sz="0" w:space="0" w:color="auto"/>
      </w:divBdr>
    </w:div>
    <w:div w:id="1018310562">
      <w:bodyDiv w:val="1"/>
      <w:marLeft w:val="0"/>
      <w:marRight w:val="0"/>
      <w:marTop w:val="0"/>
      <w:marBottom w:val="0"/>
      <w:divBdr>
        <w:top w:val="none" w:sz="0" w:space="0" w:color="auto"/>
        <w:left w:val="none" w:sz="0" w:space="0" w:color="auto"/>
        <w:bottom w:val="none" w:sz="0" w:space="0" w:color="auto"/>
        <w:right w:val="none" w:sz="0" w:space="0" w:color="auto"/>
      </w:divBdr>
      <w:divsChild>
        <w:div w:id="1909882736">
          <w:marLeft w:val="360"/>
          <w:marRight w:val="0"/>
          <w:marTop w:val="200"/>
          <w:marBottom w:val="0"/>
          <w:divBdr>
            <w:top w:val="none" w:sz="0" w:space="0" w:color="auto"/>
            <w:left w:val="none" w:sz="0" w:space="0" w:color="auto"/>
            <w:bottom w:val="none" w:sz="0" w:space="0" w:color="auto"/>
            <w:right w:val="none" w:sz="0" w:space="0" w:color="auto"/>
          </w:divBdr>
        </w:div>
        <w:div w:id="226573549">
          <w:marLeft w:val="1080"/>
          <w:marRight w:val="0"/>
          <w:marTop w:val="100"/>
          <w:marBottom w:val="0"/>
          <w:divBdr>
            <w:top w:val="none" w:sz="0" w:space="0" w:color="auto"/>
            <w:left w:val="none" w:sz="0" w:space="0" w:color="auto"/>
            <w:bottom w:val="none" w:sz="0" w:space="0" w:color="auto"/>
            <w:right w:val="none" w:sz="0" w:space="0" w:color="auto"/>
          </w:divBdr>
        </w:div>
        <w:div w:id="1015771819">
          <w:marLeft w:val="1800"/>
          <w:marRight w:val="0"/>
          <w:marTop w:val="100"/>
          <w:marBottom w:val="0"/>
          <w:divBdr>
            <w:top w:val="none" w:sz="0" w:space="0" w:color="auto"/>
            <w:left w:val="none" w:sz="0" w:space="0" w:color="auto"/>
            <w:bottom w:val="none" w:sz="0" w:space="0" w:color="auto"/>
            <w:right w:val="none" w:sz="0" w:space="0" w:color="auto"/>
          </w:divBdr>
        </w:div>
        <w:div w:id="378362969">
          <w:marLeft w:val="1800"/>
          <w:marRight w:val="0"/>
          <w:marTop w:val="100"/>
          <w:marBottom w:val="0"/>
          <w:divBdr>
            <w:top w:val="none" w:sz="0" w:space="0" w:color="auto"/>
            <w:left w:val="none" w:sz="0" w:space="0" w:color="auto"/>
            <w:bottom w:val="none" w:sz="0" w:space="0" w:color="auto"/>
            <w:right w:val="none" w:sz="0" w:space="0" w:color="auto"/>
          </w:divBdr>
        </w:div>
        <w:div w:id="1262302997">
          <w:marLeft w:val="2520"/>
          <w:marRight w:val="0"/>
          <w:marTop w:val="100"/>
          <w:marBottom w:val="0"/>
          <w:divBdr>
            <w:top w:val="none" w:sz="0" w:space="0" w:color="auto"/>
            <w:left w:val="none" w:sz="0" w:space="0" w:color="auto"/>
            <w:bottom w:val="none" w:sz="0" w:space="0" w:color="auto"/>
            <w:right w:val="none" w:sz="0" w:space="0" w:color="auto"/>
          </w:divBdr>
        </w:div>
        <w:div w:id="563561308">
          <w:marLeft w:val="1800"/>
          <w:marRight w:val="0"/>
          <w:marTop w:val="100"/>
          <w:marBottom w:val="0"/>
          <w:divBdr>
            <w:top w:val="none" w:sz="0" w:space="0" w:color="auto"/>
            <w:left w:val="none" w:sz="0" w:space="0" w:color="auto"/>
            <w:bottom w:val="none" w:sz="0" w:space="0" w:color="auto"/>
            <w:right w:val="none" w:sz="0" w:space="0" w:color="auto"/>
          </w:divBdr>
        </w:div>
        <w:div w:id="175731437">
          <w:marLeft w:val="2520"/>
          <w:marRight w:val="0"/>
          <w:marTop w:val="100"/>
          <w:marBottom w:val="0"/>
          <w:divBdr>
            <w:top w:val="none" w:sz="0" w:space="0" w:color="auto"/>
            <w:left w:val="none" w:sz="0" w:space="0" w:color="auto"/>
            <w:bottom w:val="none" w:sz="0" w:space="0" w:color="auto"/>
            <w:right w:val="none" w:sz="0" w:space="0" w:color="auto"/>
          </w:divBdr>
        </w:div>
        <w:div w:id="1664240291">
          <w:marLeft w:val="2520"/>
          <w:marRight w:val="0"/>
          <w:marTop w:val="100"/>
          <w:marBottom w:val="0"/>
          <w:divBdr>
            <w:top w:val="none" w:sz="0" w:space="0" w:color="auto"/>
            <w:left w:val="none" w:sz="0" w:space="0" w:color="auto"/>
            <w:bottom w:val="none" w:sz="0" w:space="0" w:color="auto"/>
            <w:right w:val="none" w:sz="0" w:space="0" w:color="auto"/>
          </w:divBdr>
        </w:div>
        <w:div w:id="372116451">
          <w:marLeft w:val="2520"/>
          <w:marRight w:val="0"/>
          <w:marTop w:val="100"/>
          <w:marBottom w:val="0"/>
          <w:divBdr>
            <w:top w:val="none" w:sz="0" w:space="0" w:color="auto"/>
            <w:left w:val="none" w:sz="0" w:space="0" w:color="auto"/>
            <w:bottom w:val="none" w:sz="0" w:space="0" w:color="auto"/>
            <w:right w:val="none" w:sz="0" w:space="0" w:color="auto"/>
          </w:divBdr>
        </w:div>
        <w:div w:id="172956212">
          <w:marLeft w:val="1800"/>
          <w:marRight w:val="0"/>
          <w:marTop w:val="100"/>
          <w:marBottom w:val="0"/>
          <w:divBdr>
            <w:top w:val="none" w:sz="0" w:space="0" w:color="auto"/>
            <w:left w:val="none" w:sz="0" w:space="0" w:color="auto"/>
            <w:bottom w:val="none" w:sz="0" w:space="0" w:color="auto"/>
            <w:right w:val="none" w:sz="0" w:space="0" w:color="auto"/>
          </w:divBdr>
        </w:div>
        <w:div w:id="1234120739">
          <w:marLeft w:val="1800"/>
          <w:marRight w:val="0"/>
          <w:marTop w:val="100"/>
          <w:marBottom w:val="0"/>
          <w:divBdr>
            <w:top w:val="none" w:sz="0" w:space="0" w:color="auto"/>
            <w:left w:val="none" w:sz="0" w:space="0" w:color="auto"/>
            <w:bottom w:val="none" w:sz="0" w:space="0" w:color="auto"/>
            <w:right w:val="none" w:sz="0" w:space="0" w:color="auto"/>
          </w:divBdr>
        </w:div>
      </w:divsChild>
    </w:div>
    <w:div w:id="1084375178">
      <w:bodyDiv w:val="1"/>
      <w:marLeft w:val="0"/>
      <w:marRight w:val="0"/>
      <w:marTop w:val="0"/>
      <w:marBottom w:val="0"/>
      <w:divBdr>
        <w:top w:val="none" w:sz="0" w:space="0" w:color="auto"/>
        <w:left w:val="none" w:sz="0" w:space="0" w:color="auto"/>
        <w:bottom w:val="none" w:sz="0" w:space="0" w:color="auto"/>
        <w:right w:val="none" w:sz="0" w:space="0" w:color="auto"/>
      </w:divBdr>
      <w:divsChild>
        <w:div w:id="471757281">
          <w:marLeft w:val="360"/>
          <w:marRight w:val="0"/>
          <w:marTop w:val="200"/>
          <w:marBottom w:val="0"/>
          <w:divBdr>
            <w:top w:val="none" w:sz="0" w:space="0" w:color="auto"/>
            <w:left w:val="none" w:sz="0" w:space="0" w:color="auto"/>
            <w:bottom w:val="none" w:sz="0" w:space="0" w:color="auto"/>
            <w:right w:val="none" w:sz="0" w:space="0" w:color="auto"/>
          </w:divBdr>
        </w:div>
        <w:div w:id="1291401742">
          <w:marLeft w:val="1080"/>
          <w:marRight w:val="0"/>
          <w:marTop w:val="100"/>
          <w:marBottom w:val="0"/>
          <w:divBdr>
            <w:top w:val="none" w:sz="0" w:space="0" w:color="auto"/>
            <w:left w:val="none" w:sz="0" w:space="0" w:color="auto"/>
            <w:bottom w:val="none" w:sz="0" w:space="0" w:color="auto"/>
            <w:right w:val="none" w:sz="0" w:space="0" w:color="auto"/>
          </w:divBdr>
        </w:div>
        <w:div w:id="1879858027">
          <w:marLeft w:val="1080"/>
          <w:marRight w:val="0"/>
          <w:marTop w:val="100"/>
          <w:marBottom w:val="0"/>
          <w:divBdr>
            <w:top w:val="none" w:sz="0" w:space="0" w:color="auto"/>
            <w:left w:val="none" w:sz="0" w:space="0" w:color="auto"/>
            <w:bottom w:val="none" w:sz="0" w:space="0" w:color="auto"/>
            <w:right w:val="none" w:sz="0" w:space="0" w:color="auto"/>
          </w:divBdr>
        </w:div>
        <w:div w:id="647711857">
          <w:marLeft w:val="1080"/>
          <w:marRight w:val="0"/>
          <w:marTop w:val="100"/>
          <w:marBottom w:val="0"/>
          <w:divBdr>
            <w:top w:val="none" w:sz="0" w:space="0" w:color="auto"/>
            <w:left w:val="none" w:sz="0" w:space="0" w:color="auto"/>
            <w:bottom w:val="none" w:sz="0" w:space="0" w:color="auto"/>
            <w:right w:val="none" w:sz="0" w:space="0" w:color="auto"/>
          </w:divBdr>
        </w:div>
        <w:div w:id="1203010733">
          <w:marLeft w:val="1080"/>
          <w:marRight w:val="0"/>
          <w:marTop w:val="100"/>
          <w:marBottom w:val="0"/>
          <w:divBdr>
            <w:top w:val="none" w:sz="0" w:space="0" w:color="auto"/>
            <w:left w:val="none" w:sz="0" w:space="0" w:color="auto"/>
            <w:bottom w:val="none" w:sz="0" w:space="0" w:color="auto"/>
            <w:right w:val="none" w:sz="0" w:space="0" w:color="auto"/>
          </w:divBdr>
        </w:div>
        <w:div w:id="2037928690">
          <w:marLeft w:val="1080"/>
          <w:marRight w:val="0"/>
          <w:marTop w:val="100"/>
          <w:marBottom w:val="0"/>
          <w:divBdr>
            <w:top w:val="none" w:sz="0" w:space="0" w:color="auto"/>
            <w:left w:val="none" w:sz="0" w:space="0" w:color="auto"/>
            <w:bottom w:val="none" w:sz="0" w:space="0" w:color="auto"/>
            <w:right w:val="none" w:sz="0" w:space="0" w:color="auto"/>
          </w:divBdr>
        </w:div>
        <w:div w:id="1445997996">
          <w:marLeft w:val="360"/>
          <w:marRight w:val="0"/>
          <w:marTop w:val="200"/>
          <w:marBottom w:val="0"/>
          <w:divBdr>
            <w:top w:val="none" w:sz="0" w:space="0" w:color="auto"/>
            <w:left w:val="none" w:sz="0" w:space="0" w:color="auto"/>
            <w:bottom w:val="none" w:sz="0" w:space="0" w:color="auto"/>
            <w:right w:val="none" w:sz="0" w:space="0" w:color="auto"/>
          </w:divBdr>
        </w:div>
      </w:divsChild>
    </w:div>
    <w:div w:id="1149592859">
      <w:bodyDiv w:val="1"/>
      <w:marLeft w:val="0"/>
      <w:marRight w:val="0"/>
      <w:marTop w:val="0"/>
      <w:marBottom w:val="0"/>
      <w:divBdr>
        <w:top w:val="none" w:sz="0" w:space="0" w:color="auto"/>
        <w:left w:val="none" w:sz="0" w:space="0" w:color="auto"/>
        <w:bottom w:val="none" w:sz="0" w:space="0" w:color="auto"/>
        <w:right w:val="none" w:sz="0" w:space="0" w:color="auto"/>
      </w:divBdr>
      <w:divsChild>
        <w:div w:id="1522478466">
          <w:marLeft w:val="360"/>
          <w:marRight w:val="0"/>
          <w:marTop w:val="200"/>
          <w:marBottom w:val="0"/>
          <w:divBdr>
            <w:top w:val="none" w:sz="0" w:space="0" w:color="auto"/>
            <w:left w:val="none" w:sz="0" w:space="0" w:color="auto"/>
            <w:bottom w:val="none" w:sz="0" w:space="0" w:color="auto"/>
            <w:right w:val="none" w:sz="0" w:space="0" w:color="auto"/>
          </w:divBdr>
        </w:div>
        <w:div w:id="1081371958">
          <w:marLeft w:val="1080"/>
          <w:marRight w:val="0"/>
          <w:marTop w:val="100"/>
          <w:marBottom w:val="0"/>
          <w:divBdr>
            <w:top w:val="none" w:sz="0" w:space="0" w:color="auto"/>
            <w:left w:val="none" w:sz="0" w:space="0" w:color="auto"/>
            <w:bottom w:val="none" w:sz="0" w:space="0" w:color="auto"/>
            <w:right w:val="none" w:sz="0" w:space="0" w:color="auto"/>
          </w:divBdr>
        </w:div>
        <w:div w:id="1464344804">
          <w:marLeft w:val="1080"/>
          <w:marRight w:val="0"/>
          <w:marTop w:val="100"/>
          <w:marBottom w:val="0"/>
          <w:divBdr>
            <w:top w:val="none" w:sz="0" w:space="0" w:color="auto"/>
            <w:left w:val="none" w:sz="0" w:space="0" w:color="auto"/>
            <w:bottom w:val="none" w:sz="0" w:space="0" w:color="auto"/>
            <w:right w:val="none" w:sz="0" w:space="0" w:color="auto"/>
          </w:divBdr>
        </w:div>
        <w:div w:id="1019965099">
          <w:marLeft w:val="1080"/>
          <w:marRight w:val="0"/>
          <w:marTop w:val="100"/>
          <w:marBottom w:val="0"/>
          <w:divBdr>
            <w:top w:val="none" w:sz="0" w:space="0" w:color="auto"/>
            <w:left w:val="none" w:sz="0" w:space="0" w:color="auto"/>
            <w:bottom w:val="none" w:sz="0" w:space="0" w:color="auto"/>
            <w:right w:val="none" w:sz="0" w:space="0" w:color="auto"/>
          </w:divBdr>
        </w:div>
        <w:div w:id="247883838">
          <w:marLeft w:val="360"/>
          <w:marRight w:val="0"/>
          <w:marTop w:val="200"/>
          <w:marBottom w:val="0"/>
          <w:divBdr>
            <w:top w:val="none" w:sz="0" w:space="0" w:color="auto"/>
            <w:left w:val="none" w:sz="0" w:space="0" w:color="auto"/>
            <w:bottom w:val="none" w:sz="0" w:space="0" w:color="auto"/>
            <w:right w:val="none" w:sz="0" w:space="0" w:color="auto"/>
          </w:divBdr>
        </w:div>
      </w:divsChild>
    </w:div>
    <w:div w:id="1191182586">
      <w:bodyDiv w:val="1"/>
      <w:marLeft w:val="0"/>
      <w:marRight w:val="0"/>
      <w:marTop w:val="0"/>
      <w:marBottom w:val="0"/>
      <w:divBdr>
        <w:top w:val="none" w:sz="0" w:space="0" w:color="auto"/>
        <w:left w:val="none" w:sz="0" w:space="0" w:color="auto"/>
        <w:bottom w:val="none" w:sz="0" w:space="0" w:color="auto"/>
        <w:right w:val="none" w:sz="0" w:space="0" w:color="auto"/>
      </w:divBdr>
      <w:divsChild>
        <w:div w:id="1939871940">
          <w:marLeft w:val="360"/>
          <w:marRight w:val="0"/>
          <w:marTop w:val="200"/>
          <w:marBottom w:val="0"/>
          <w:divBdr>
            <w:top w:val="none" w:sz="0" w:space="0" w:color="auto"/>
            <w:left w:val="none" w:sz="0" w:space="0" w:color="auto"/>
            <w:bottom w:val="none" w:sz="0" w:space="0" w:color="auto"/>
            <w:right w:val="none" w:sz="0" w:space="0" w:color="auto"/>
          </w:divBdr>
        </w:div>
        <w:div w:id="594822506">
          <w:marLeft w:val="1080"/>
          <w:marRight w:val="0"/>
          <w:marTop w:val="100"/>
          <w:marBottom w:val="0"/>
          <w:divBdr>
            <w:top w:val="none" w:sz="0" w:space="0" w:color="auto"/>
            <w:left w:val="none" w:sz="0" w:space="0" w:color="auto"/>
            <w:bottom w:val="none" w:sz="0" w:space="0" w:color="auto"/>
            <w:right w:val="none" w:sz="0" w:space="0" w:color="auto"/>
          </w:divBdr>
        </w:div>
        <w:div w:id="1676956142">
          <w:marLeft w:val="1080"/>
          <w:marRight w:val="0"/>
          <w:marTop w:val="100"/>
          <w:marBottom w:val="0"/>
          <w:divBdr>
            <w:top w:val="none" w:sz="0" w:space="0" w:color="auto"/>
            <w:left w:val="none" w:sz="0" w:space="0" w:color="auto"/>
            <w:bottom w:val="none" w:sz="0" w:space="0" w:color="auto"/>
            <w:right w:val="none" w:sz="0" w:space="0" w:color="auto"/>
          </w:divBdr>
        </w:div>
        <w:div w:id="850528328">
          <w:marLeft w:val="1080"/>
          <w:marRight w:val="0"/>
          <w:marTop w:val="100"/>
          <w:marBottom w:val="0"/>
          <w:divBdr>
            <w:top w:val="none" w:sz="0" w:space="0" w:color="auto"/>
            <w:left w:val="none" w:sz="0" w:space="0" w:color="auto"/>
            <w:bottom w:val="none" w:sz="0" w:space="0" w:color="auto"/>
            <w:right w:val="none" w:sz="0" w:space="0" w:color="auto"/>
          </w:divBdr>
        </w:div>
        <w:div w:id="441851401">
          <w:marLeft w:val="360"/>
          <w:marRight w:val="0"/>
          <w:marTop w:val="200"/>
          <w:marBottom w:val="0"/>
          <w:divBdr>
            <w:top w:val="none" w:sz="0" w:space="0" w:color="auto"/>
            <w:left w:val="none" w:sz="0" w:space="0" w:color="auto"/>
            <w:bottom w:val="none" w:sz="0" w:space="0" w:color="auto"/>
            <w:right w:val="none" w:sz="0" w:space="0" w:color="auto"/>
          </w:divBdr>
        </w:div>
      </w:divsChild>
    </w:div>
    <w:div w:id="1213075457">
      <w:bodyDiv w:val="1"/>
      <w:marLeft w:val="0"/>
      <w:marRight w:val="0"/>
      <w:marTop w:val="0"/>
      <w:marBottom w:val="0"/>
      <w:divBdr>
        <w:top w:val="none" w:sz="0" w:space="0" w:color="auto"/>
        <w:left w:val="none" w:sz="0" w:space="0" w:color="auto"/>
        <w:bottom w:val="none" w:sz="0" w:space="0" w:color="auto"/>
        <w:right w:val="none" w:sz="0" w:space="0" w:color="auto"/>
      </w:divBdr>
      <w:divsChild>
        <w:div w:id="1005476567">
          <w:marLeft w:val="360"/>
          <w:marRight w:val="0"/>
          <w:marTop w:val="200"/>
          <w:marBottom w:val="0"/>
          <w:divBdr>
            <w:top w:val="none" w:sz="0" w:space="0" w:color="auto"/>
            <w:left w:val="none" w:sz="0" w:space="0" w:color="auto"/>
            <w:bottom w:val="none" w:sz="0" w:space="0" w:color="auto"/>
            <w:right w:val="none" w:sz="0" w:space="0" w:color="auto"/>
          </w:divBdr>
        </w:div>
        <w:div w:id="1025254630">
          <w:marLeft w:val="360"/>
          <w:marRight w:val="0"/>
          <w:marTop w:val="200"/>
          <w:marBottom w:val="0"/>
          <w:divBdr>
            <w:top w:val="none" w:sz="0" w:space="0" w:color="auto"/>
            <w:left w:val="none" w:sz="0" w:space="0" w:color="auto"/>
            <w:bottom w:val="none" w:sz="0" w:space="0" w:color="auto"/>
            <w:right w:val="none" w:sz="0" w:space="0" w:color="auto"/>
          </w:divBdr>
        </w:div>
        <w:div w:id="1050572563">
          <w:marLeft w:val="360"/>
          <w:marRight w:val="0"/>
          <w:marTop w:val="200"/>
          <w:marBottom w:val="0"/>
          <w:divBdr>
            <w:top w:val="none" w:sz="0" w:space="0" w:color="auto"/>
            <w:left w:val="none" w:sz="0" w:space="0" w:color="auto"/>
            <w:bottom w:val="none" w:sz="0" w:space="0" w:color="auto"/>
            <w:right w:val="none" w:sz="0" w:space="0" w:color="auto"/>
          </w:divBdr>
        </w:div>
      </w:divsChild>
    </w:div>
    <w:div w:id="1284069150">
      <w:bodyDiv w:val="1"/>
      <w:marLeft w:val="0"/>
      <w:marRight w:val="0"/>
      <w:marTop w:val="0"/>
      <w:marBottom w:val="0"/>
      <w:divBdr>
        <w:top w:val="none" w:sz="0" w:space="0" w:color="auto"/>
        <w:left w:val="none" w:sz="0" w:space="0" w:color="auto"/>
        <w:bottom w:val="none" w:sz="0" w:space="0" w:color="auto"/>
        <w:right w:val="none" w:sz="0" w:space="0" w:color="auto"/>
      </w:divBdr>
    </w:div>
    <w:div w:id="1357468087">
      <w:bodyDiv w:val="1"/>
      <w:marLeft w:val="0"/>
      <w:marRight w:val="0"/>
      <w:marTop w:val="0"/>
      <w:marBottom w:val="0"/>
      <w:divBdr>
        <w:top w:val="none" w:sz="0" w:space="0" w:color="auto"/>
        <w:left w:val="none" w:sz="0" w:space="0" w:color="auto"/>
        <w:bottom w:val="none" w:sz="0" w:space="0" w:color="auto"/>
        <w:right w:val="none" w:sz="0" w:space="0" w:color="auto"/>
      </w:divBdr>
      <w:divsChild>
        <w:div w:id="1042637952">
          <w:marLeft w:val="360"/>
          <w:marRight w:val="0"/>
          <w:marTop w:val="200"/>
          <w:marBottom w:val="0"/>
          <w:divBdr>
            <w:top w:val="none" w:sz="0" w:space="0" w:color="auto"/>
            <w:left w:val="none" w:sz="0" w:space="0" w:color="auto"/>
            <w:bottom w:val="none" w:sz="0" w:space="0" w:color="auto"/>
            <w:right w:val="none" w:sz="0" w:space="0" w:color="auto"/>
          </w:divBdr>
        </w:div>
        <w:div w:id="910114541">
          <w:marLeft w:val="1080"/>
          <w:marRight w:val="0"/>
          <w:marTop w:val="100"/>
          <w:marBottom w:val="0"/>
          <w:divBdr>
            <w:top w:val="none" w:sz="0" w:space="0" w:color="auto"/>
            <w:left w:val="none" w:sz="0" w:space="0" w:color="auto"/>
            <w:bottom w:val="none" w:sz="0" w:space="0" w:color="auto"/>
            <w:right w:val="none" w:sz="0" w:space="0" w:color="auto"/>
          </w:divBdr>
        </w:div>
        <w:div w:id="1638030288">
          <w:marLeft w:val="1080"/>
          <w:marRight w:val="0"/>
          <w:marTop w:val="100"/>
          <w:marBottom w:val="0"/>
          <w:divBdr>
            <w:top w:val="none" w:sz="0" w:space="0" w:color="auto"/>
            <w:left w:val="none" w:sz="0" w:space="0" w:color="auto"/>
            <w:bottom w:val="none" w:sz="0" w:space="0" w:color="auto"/>
            <w:right w:val="none" w:sz="0" w:space="0" w:color="auto"/>
          </w:divBdr>
        </w:div>
        <w:div w:id="1267277287">
          <w:marLeft w:val="1080"/>
          <w:marRight w:val="0"/>
          <w:marTop w:val="100"/>
          <w:marBottom w:val="0"/>
          <w:divBdr>
            <w:top w:val="none" w:sz="0" w:space="0" w:color="auto"/>
            <w:left w:val="none" w:sz="0" w:space="0" w:color="auto"/>
            <w:bottom w:val="none" w:sz="0" w:space="0" w:color="auto"/>
            <w:right w:val="none" w:sz="0" w:space="0" w:color="auto"/>
          </w:divBdr>
        </w:div>
        <w:div w:id="1964310897">
          <w:marLeft w:val="1800"/>
          <w:marRight w:val="0"/>
          <w:marTop w:val="100"/>
          <w:marBottom w:val="0"/>
          <w:divBdr>
            <w:top w:val="none" w:sz="0" w:space="0" w:color="auto"/>
            <w:left w:val="none" w:sz="0" w:space="0" w:color="auto"/>
            <w:bottom w:val="none" w:sz="0" w:space="0" w:color="auto"/>
            <w:right w:val="none" w:sz="0" w:space="0" w:color="auto"/>
          </w:divBdr>
        </w:div>
      </w:divsChild>
    </w:div>
    <w:div w:id="1376812834">
      <w:bodyDiv w:val="1"/>
      <w:marLeft w:val="0"/>
      <w:marRight w:val="0"/>
      <w:marTop w:val="0"/>
      <w:marBottom w:val="0"/>
      <w:divBdr>
        <w:top w:val="none" w:sz="0" w:space="0" w:color="auto"/>
        <w:left w:val="none" w:sz="0" w:space="0" w:color="auto"/>
        <w:bottom w:val="none" w:sz="0" w:space="0" w:color="auto"/>
        <w:right w:val="none" w:sz="0" w:space="0" w:color="auto"/>
      </w:divBdr>
    </w:div>
    <w:div w:id="1499425620">
      <w:bodyDiv w:val="1"/>
      <w:marLeft w:val="0"/>
      <w:marRight w:val="0"/>
      <w:marTop w:val="0"/>
      <w:marBottom w:val="0"/>
      <w:divBdr>
        <w:top w:val="none" w:sz="0" w:space="0" w:color="auto"/>
        <w:left w:val="none" w:sz="0" w:space="0" w:color="auto"/>
        <w:bottom w:val="none" w:sz="0" w:space="0" w:color="auto"/>
        <w:right w:val="none" w:sz="0" w:space="0" w:color="auto"/>
      </w:divBdr>
      <w:divsChild>
        <w:div w:id="1137723656">
          <w:marLeft w:val="806"/>
          <w:marRight w:val="0"/>
          <w:marTop w:val="240"/>
          <w:marBottom w:val="0"/>
          <w:divBdr>
            <w:top w:val="none" w:sz="0" w:space="0" w:color="auto"/>
            <w:left w:val="none" w:sz="0" w:space="0" w:color="auto"/>
            <w:bottom w:val="none" w:sz="0" w:space="0" w:color="auto"/>
            <w:right w:val="none" w:sz="0" w:space="0" w:color="auto"/>
          </w:divBdr>
        </w:div>
      </w:divsChild>
    </w:div>
    <w:div w:id="1742678110">
      <w:bodyDiv w:val="1"/>
      <w:marLeft w:val="0"/>
      <w:marRight w:val="0"/>
      <w:marTop w:val="0"/>
      <w:marBottom w:val="0"/>
      <w:divBdr>
        <w:top w:val="none" w:sz="0" w:space="0" w:color="auto"/>
        <w:left w:val="none" w:sz="0" w:space="0" w:color="auto"/>
        <w:bottom w:val="none" w:sz="0" w:space="0" w:color="auto"/>
        <w:right w:val="none" w:sz="0" w:space="0" w:color="auto"/>
      </w:divBdr>
      <w:divsChild>
        <w:div w:id="129832039">
          <w:marLeft w:val="360"/>
          <w:marRight w:val="0"/>
          <w:marTop w:val="200"/>
          <w:marBottom w:val="0"/>
          <w:divBdr>
            <w:top w:val="none" w:sz="0" w:space="0" w:color="auto"/>
            <w:left w:val="none" w:sz="0" w:space="0" w:color="auto"/>
            <w:bottom w:val="none" w:sz="0" w:space="0" w:color="auto"/>
            <w:right w:val="none" w:sz="0" w:space="0" w:color="auto"/>
          </w:divBdr>
        </w:div>
        <w:div w:id="1991864642">
          <w:marLeft w:val="1080"/>
          <w:marRight w:val="0"/>
          <w:marTop w:val="100"/>
          <w:marBottom w:val="0"/>
          <w:divBdr>
            <w:top w:val="none" w:sz="0" w:space="0" w:color="auto"/>
            <w:left w:val="none" w:sz="0" w:space="0" w:color="auto"/>
            <w:bottom w:val="none" w:sz="0" w:space="0" w:color="auto"/>
            <w:right w:val="none" w:sz="0" w:space="0" w:color="auto"/>
          </w:divBdr>
        </w:div>
        <w:div w:id="1694183315">
          <w:marLeft w:val="1800"/>
          <w:marRight w:val="0"/>
          <w:marTop w:val="100"/>
          <w:marBottom w:val="0"/>
          <w:divBdr>
            <w:top w:val="none" w:sz="0" w:space="0" w:color="auto"/>
            <w:left w:val="none" w:sz="0" w:space="0" w:color="auto"/>
            <w:bottom w:val="none" w:sz="0" w:space="0" w:color="auto"/>
            <w:right w:val="none" w:sz="0" w:space="0" w:color="auto"/>
          </w:divBdr>
        </w:div>
        <w:div w:id="1142112824">
          <w:marLeft w:val="360"/>
          <w:marRight w:val="0"/>
          <w:marTop w:val="200"/>
          <w:marBottom w:val="0"/>
          <w:divBdr>
            <w:top w:val="none" w:sz="0" w:space="0" w:color="auto"/>
            <w:left w:val="none" w:sz="0" w:space="0" w:color="auto"/>
            <w:bottom w:val="none" w:sz="0" w:space="0" w:color="auto"/>
            <w:right w:val="none" w:sz="0" w:space="0" w:color="auto"/>
          </w:divBdr>
        </w:div>
        <w:div w:id="1712339481">
          <w:marLeft w:val="1080"/>
          <w:marRight w:val="0"/>
          <w:marTop w:val="100"/>
          <w:marBottom w:val="0"/>
          <w:divBdr>
            <w:top w:val="none" w:sz="0" w:space="0" w:color="auto"/>
            <w:left w:val="none" w:sz="0" w:space="0" w:color="auto"/>
            <w:bottom w:val="none" w:sz="0" w:space="0" w:color="auto"/>
            <w:right w:val="none" w:sz="0" w:space="0" w:color="auto"/>
          </w:divBdr>
        </w:div>
        <w:div w:id="1895267531">
          <w:marLeft w:val="1080"/>
          <w:marRight w:val="0"/>
          <w:marTop w:val="100"/>
          <w:marBottom w:val="0"/>
          <w:divBdr>
            <w:top w:val="none" w:sz="0" w:space="0" w:color="auto"/>
            <w:left w:val="none" w:sz="0" w:space="0" w:color="auto"/>
            <w:bottom w:val="none" w:sz="0" w:space="0" w:color="auto"/>
            <w:right w:val="none" w:sz="0" w:space="0" w:color="auto"/>
          </w:divBdr>
        </w:div>
        <w:div w:id="1779981440">
          <w:marLeft w:val="360"/>
          <w:marRight w:val="0"/>
          <w:marTop w:val="200"/>
          <w:marBottom w:val="0"/>
          <w:divBdr>
            <w:top w:val="none" w:sz="0" w:space="0" w:color="auto"/>
            <w:left w:val="none" w:sz="0" w:space="0" w:color="auto"/>
            <w:bottom w:val="none" w:sz="0" w:space="0" w:color="auto"/>
            <w:right w:val="none" w:sz="0" w:space="0" w:color="auto"/>
          </w:divBdr>
        </w:div>
        <w:div w:id="1237276250">
          <w:marLeft w:val="1080"/>
          <w:marRight w:val="0"/>
          <w:marTop w:val="100"/>
          <w:marBottom w:val="0"/>
          <w:divBdr>
            <w:top w:val="none" w:sz="0" w:space="0" w:color="auto"/>
            <w:left w:val="none" w:sz="0" w:space="0" w:color="auto"/>
            <w:bottom w:val="none" w:sz="0" w:space="0" w:color="auto"/>
            <w:right w:val="none" w:sz="0" w:space="0" w:color="auto"/>
          </w:divBdr>
        </w:div>
        <w:div w:id="3289048">
          <w:marLeft w:val="1080"/>
          <w:marRight w:val="0"/>
          <w:marTop w:val="100"/>
          <w:marBottom w:val="0"/>
          <w:divBdr>
            <w:top w:val="none" w:sz="0" w:space="0" w:color="auto"/>
            <w:left w:val="none" w:sz="0" w:space="0" w:color="auto"/>
            <w:bottom w:val="none" w:sz="0" w:space="0" w:color="auto"/>
            <w:right w:val="none" w:sz="0" w:space="0" w:color="auto"/>
          </w:divBdr>
        </w:div>
        <w:div w:id="360862304">
          <w:marLeft w:val="1080"/>
          <w:marRight w:val="0"/>
          <w:marTop w:val="100"/>
          <w:marBottom w:val="0"/>
          <w:divBdr>
            <w:top w:val="none" w:sz="0" w:space="0" w:color="auto"/>
            <w:left w:val="none" w:sz="0" w:space="0" w:color="auto"/>
            <w:bottom w:val="none" w:sz="0" w:space="0" w:color="auto"/>
            <w:right w:val="none" w:sz="0" w:space="0" w:color="auto"/>
          </w:divBdr>
        </w:div>
        <w:div w:id="879365224">
          <w:marLeft w:val="1080"/>
          <w:marRight w:val="0"/>
          <w:marTop w:val="100"/>
          <w:marBottom w:val="0"/>
          <w:divBdr>
            <w:top w:val="none" w:sz="0" w:space="0" w:color="auto"/>
            <w:left w:val="none" w:sz="0" w:space="0" w:color="auto"/>
            <w:bottom w:val="none" w:sz="0" w:space="0" w:color="auto"/>
            <w:right w:val="none" w:sz="0" w:space="0" w:color="auto"/>
          </w:divBdr>
        </w:div>
        <w:div w:id="1639526936">
          <w:marLeft w:val="360"/>
          <w:marRight w:val="0"/>
          <w:marTop w:val="200"/>
          <w:marBottom w:val="0"/>
          <w:divBdr>
            <w:top w:val="none" w:sz="0" w:space="0" w:color="auto"/>
            <w:left w:val="none" w:sz="0" w:space="0" w:color="auto"/>
            <w:bottom w:val="none" w:sz="0" w:space="0" w:color="auto"/>
            <w:right w:val="none" w:sz="0" w:space="0" w:color="auto"/>
          </w:divBdr>
        </w:div>
      </w:divsChild>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sChild>
        <w:div w:id="2147316414">
          <w:marLeft w:val="360"/>
          <w:marRight w:val="0"/>
          <w:marTop w:val="200"/>
          <w:marBottom w:val="0"/>
          <w:divBdr>
            <w:top w:val="none" w:sz="0" w:space="0" w:color="auto"/>
            <w:left w:val="none" w:sz="0" w:space="0" w:color="auto"/>
            <w:bottom w:val="none" w:sz="0" w:space="0" w:color="auto"/>
            <w:right w:val="none" w:sz="0" w:space="0" w:color="auto"/>
          </w:divBdr>
        </w:div>
        <w:div w:id="402024560">
          <w:marLeft w:val="1080"/>
          <w:marRight w:val="0"/>
          <w:marTop w:val="100"/>
          <w:marBottom w:val="0"/>
          <w:divBdr>
            <w:top w:val="none" w:sz="0" w:space="0" w:color="auto"/>
            <w:left w:val="none" w:sz="0" w:space="0" w:color="auto"/>
            <w:bottom w:val="none" w:sz="0" w:space="0" w:color="auto"/>
            <w:right w:val="none" w:sz="0" w:space="0" w:color="auto"/>
          </w:divBdr>
        </w:div>
        <w:div w:id="411007593">
          <w:marLeft w:val="1800"/>
          <w:marRight w:val="0"/>
          <w:marTop w:val="100"/>
          <w:marBottom w:val="0"/>
          <w:divBdr>
            <w:top w:val="none" w:sz="0" w:space="0" w:color="auto"/>
            <w:left w:val="none" w:sz="0" w:space="0" w:color="auto"/>
            <w:bottom w:val="none" w:sz="0" w:space="0" w:color="auto"/>
            <w:right w:val="none" w:sz="0" w:space="0" w:color="auto"/>
          </w:divBdr>
        </w:div>
        <w:div w:id="1715496795">
          <w:marLeft w:val="1800"/>
          <w:marRight w:val="0"/>
          <w:marTop w:val="100"/>
          <w:marBottom w:val="0"/>
          <w:divBdr>
            <w:top w:val="none" w:sz="0" w:space="0" w:color="auto"/>
            <w:left w:val="none" w:sz="0" w:space="0" w:color="auto"/>
            <w:bottom w:val="none" w:sz="0" w:space="0" w:color="auto"/>
            <w:right w:val="none" w:sz="0" w:space="0" w:color="auto"/>
          </w:divBdr>
        </w:div>
        <w:div w:id="1708094437">
          <w:marLeft w:val="2520"/>
          <w:marRight w:val="0"/>
          <w:marTop w:val="100"/>
          <w:marBottom w:val="0"/>
          <w:divBdr>
            <w:top w:val="none" w:sz="0" w:space="0" w:color="auto"/>
            <w:left w:val="none" w:sz="0" w:space="0" w:color="auto"/>
            <w:bottom w:val="none" w:sz="0" w:space="0" w:color="auto"/>
            <w:right w:val="none" w:sz="0" w:space="0" w:color="auto"/>
          </w:divBdr>
        </w:div>
        <w:div w:id="1294368458">
          <w:marLeft w:val="1800"/>
          <w:marRight w:val="0"/>
          <w:marTop w:val="100"/>
          <w:marBottom w:val="0"/>
          <w:divBdr>
            <w:top w:val="none" w:sz="0" w:space="0" w:color="auto"/>
            <w:left w:val="none" w:sz="0" w:space="0" w:color="auto"/>
            <w:bottom w:val="none" w:sz="0" w:space="0" w:color="auto"/>
            <w:right w:val="none" w:sz="0" w:space="0" w:color="auto"/>
          </w:divBdr>
        </w:div>
        <w:div w:id="1200708680">
          <w:marLeft w:val="2520"/>
          <w:marRight w:val="0"/>
          <w:marTop w:val="100"/>
          <w:marBottom w:val="0"/>
          <w:divBdr>
            <w:top w:val="none" w:sz="0" w:space="0" w:color="auto"/>
            <w:left w:val="none" w:sz="0" w:space="0" w:color="auto"/>
            <w:bottom w:val="none" w:sz="0" w:space="0" w:color="auto"/>
            <w:right w:val="none" w:sz="0" w:space="0" w:color="auto"/>
          </w:divBdr>
        </w:div>
        <w:div w:id="1892841974">
          <w:marLeft w:val="2520"/>
          <w:marRight w:val="0"/>
          <w:marTop w:val="100"/>
          <w:marBottom w:val="0"/>
          <w:divBdr>
            <w:top w:val="none" w:sz="0" w:space="0" w:color="auto"/>
            <w:left w:val="none" w:sz="0" w:space="0" w:color="auto"/>
            <w:bottom w:val="none" w:sz="0" w:space="0" w:color="auto"/>
            <w:right w:val="none" w:sz="0" w:space="0" w:color="auto"/>
          </w:divBdr>
        </w:div>
        <w:div w:id="470948858">
          <w:marLeft w:val="2520"/>
          <w:marRight w:val="0"/>
          <w:marTop w:val="100"/>
          <w:marBottom w:val="0"/>
          <w:divBdr>
            <w:top w:val="none" w:sz="0" w:space="0" w:color="auto"/>
            <w:left w:val="none" w:sz="0" w:space="0" w:color="auto"/>
            <w:bottom w:val="none" w:sz="0" w:space="0" w:color="auto"/>
            <w:right w:val="none" w:sz="0" w:space="0" w:color="auto"/>
          </w:divBdr>
        </w:div>
        <w:div w:id="371537680">
          <w:marLeft w:val="1800"/>
          <w:marRight w:val="0"/>
          <w:marTop w:val="100"/>
          <w:marBottom w:val="0"/>
          <w:divBdr>
            <w:top w:val="none" w:sz="0" w:space="0" w:color="auto"/>
            <w:left w:val="none" w:sz="0" w:space="0" w:color="auto"/>
            <w:bottom w:val="none" w:sz="0" w:space="0" w:color="auto"/>
            <w:right w:val="none" w:sz="0" w:space="0" w:color="auto"/>
          </w:divBdr>
        </w:div>
        <w:div w:id="879636103">
          <w:marLeft w:val="1800"/>
          <w:marRight w:val="0"/>
          <w:marTop w:val="100"/>
          <w:marBottom w:val="0"/>
          <w:divBdr>
            <w:top w:val="none" w:sz="0" w:space="0" w:color="auto"/>
            <w:left w:val="none" w:sz="0" w:space="0" w:color="auto"/>
            <w:bottom w:val="none" w:sz="0" w:space="0" w:color="auto"/>
            <w:right w:val="none" w:sz="0" w:space="0" w:color="auto"/>
          </w:divBdr>
        </w:div>
      </w:divsChild>
    </w:div>
    <w:div w:id="2085253646">
      <w:bodyDiv w:val="1"/>
      <w:marLeft w:val="0"/>
      <w:marRight w:val="0"/>
      <w:marTop w:val="0"/>
      <w:marBottom w:val="0"/>
      <w:divBdr>
        <w:top w:val="none" w:sz="0" w:space="0" w:color="auto"/>
        <w:left w:val="none" w:sz="0" w:space="0" w:color="auto"/>
        <w:bottom w:val="none" w:sz="0" w:space="0" w:color="auto"/>
        <w:right w:val="none" w:sz="0" w:space="0" w:color="auto"/>
      </w:divBdr>
      <w:divsChild>
        <w:div w:id="503668639">
          <w:marLeft w:val="360"/>
          <w:marRight w:val="0"/>
          <w:marTop w:val="200"/>
          <w:marBottom w:val="0"/>
          <w:divBdr>
            <w:top w:val="none" w:sz="0" w:space="0" w:color="auto"/>
            <w:left w:val="none" w:sz="0" w:space="0" w:color="auto"/>
            <w:bottom w:val="none" w:sz="0" w:space="0" w:color="auto"/>
            <w:right w:val="none" w:sz="0" w:space="0" w:color="auto"/>
          </w:divBdr>
        </w:div>
        <w:div w:id="859048768">
          <w:marLeft w:val="1080"/>
          <w:marRight w:val="0"/>
          <w:marTop w:val="100"/>
          <w:marBottom w:val="0"/>
          <w:divBdr>
            <w:top w:val="none" w:sz="0" w:space="0" w:color="auto"/>
            <w:left w:val="none" w:sz="0" w:space="0" w:color="auto"/>
            <w:bottom w:val="none" w:sz="0" w:space="0" w:color="auto"/>
            <w:right w:val="none" w:sz="0" w:space="0" w:color="auto"/>
          </w:divBdr>
        </w:div>
        <w:div w:id="852574384">
          <w:marLeft w:val="1800"/>
          <w:marRight w:val="0"/>
          <w:marTop w:val="100"/>
          <w:marBottom w:val="0"/>
          <w:divBdr>
            <w:top w:val="none" w:sz="0" w:space="0" w:color="auto"/>
            <w:left w:val="none" w:sz="0" w:space="0" w:color="auto"/>
            <w:bottom w:val="none" w:sz="0" w:space="0" w:color="auto"/>
            <w:right w:val="none" w:sz="0" w:space="0" w:color="auto"/>
          </w:divBdr>
        </w:div>
        <w:div w:id="1886716585">
          <w:marLeft w:val="360"/>
          <w:marRight w:val="0"/>
          <w:marTop w:val="200"/>
          <w:marBottom w:val="0"/>
          <w:divBdr>
            <w:top w:val="none" w:sz="0" w:space="0" w:color="auto"/>
            <w:left w:val="none" w:sz="0" w:space="0" w:color="auto"/>
            <w:bottom w:val="none" w:sz="0" w:space="0" w:color="auto"/>
            <w:right w:val="none" w:sz="0" w:space="0" w:color="auto"/>
          </w:divBdr>
        </w:div>
        <w:div w:id="1594514042">
          <w:marLeft w:val="1080"/>
          <w:marRight w:val="0"/>
          <w:marTop w:val="100"/>
          <w:marBottom w:val="0"/>
          <w:divBdr>
            <w:top w:val="none" w:sz="0" w:space="0" w:color="auto"/>
            <w:left w:val="none" w:sz="0" w:space="0" w:color="auto"/>
            <w:bottom w:val="none" w:sz="0" w:space="0" w:color="auto"/>
            <w:right w:val="none" w:sz="0" w:space="0" w:color="auto"/>
          </w:divBdr>
        </w:div>
        <w:div w:id="390075634">
          <w:marLeft w:val="1080"/>
          <w:marRight w:val="0"/>
          <w:marTop w:val="100"/>
          <w:marBottom w:val="0"/>
          <w:divBdr>
            <w:top w:val="none" w:sz="0" w:space="0" w:color="auto"/>
            <w:left w:val="none" w:sz="0" w:space="0" w:color="auto"/>
            <w:bottom w:val="none" w:sz="0" w:space="0" w:color="auto"/>
            <w:right w:val="none" w:sz="0" w:space="0" w:color="auto"/>
          </w:divBdr>
        </w:div>
        <w:div w:id="793213187">
          <w:marLeft w:val="360"/>
          <w:marRight w:val="0"/>
          <w:marTop w:val="200"/>
          <w:marBottom w:val="0"/>
          <w:divBdr>
            <w:top w:val="none" w:sz="0" w:space="0" w:color="auto"/>
            <w:left w:val="none" w:sz="0" w:space="0" w:color="auto"/>
            <w:bottom w:val="none" w:sz="0" w:space="0" w:color="auto"/>
            <w:right w:val="none" w:sz="0" w:space="0" w:color="auto"/>
          </w:divBdr>
        </w:div>
        <w:div w:id="1555966529">
          <w:marLeft w:val="1080"/>
          <w:marRight w:val="0"/>
          <w:marTop w:val="100"/>
          <w:marBottom w:val="0"/>
          <w:divBdr>
            <w:top w:val="none" w:sz="0" w:space="0" w:color="auto"/>
            <w:left w:val="none" w:sz="0" w:space="0" w:color="auto"/>
            <w:bottom w:val="none" w:sz="0" w:space="0" w:color="auto"/>
            <w:right w:val="none" w:sz="0" w:space="0" w:color="auto"/>
          </w:divBdr>
        </w:div>
        <w:div w:id="949894672">
          <w:marLeft w:val="1080"/>
          <w:marRight w:val="0"/>
          <w:marTop w:val="100"/>
          <w:marBottom w:val="0"/>
          <w:divBdr>
            <w:top w:val="none" w:sz="0" w:space="0" w:color="auto"/>
            <w:left w:val="none" w:sz="0" w:space="0" w:color="auto"/>
            <w:bottom w:val="none" w:sz="0" w:space="0" w:color="auto"/>
            <w:right w:val="none" w:sz="0" w:space="0" w:color="auto"/>
          </w:divBdr>
        </w:div>
        <w:div w:id="1341810542">
          <w:marLeft w:val="1080"/>
          <w:marRight w:val="0"/>
          <w:marTop w:val="100"/>
          <w:marBottom w:val="0"/>
          <w:divBdr>
            <w:top w:val="none" w:sz="0" w:space="0" w:color="auto"/>
            <w:left w:val="none" w:sz="0" w:space="0" w:color="auto"/>
            <w:bottom w:val="none" w:sz="0" w:space="0" w:color="auto"/>
            <w:right w:val="none" w:sz="0" w:space="0" w:color="auto"/>
          </w:divBdr>
        </w:div>
        <w:div w:id="256987091">
          <w:marLeft w:val="1080"/>
          <w:marRight w:val="0"/>
          <w:marTop w:val="100"/>
          <w:marBottom w:val="0"/>
          <w:divBdr>
            <w:top w:val="none" w:sz="0" w:space="0" w:color="auto"/>
            <w:left w:val="none" w:sz="0" w:space="0" w:color="auto"/>
            <w:bottom w:val="none" w:sz="0" w:space="0" w:color="auto"/>
            <w:right w:val="none" w:sz="0" w:space="0" w:color="auto"/>
          </w:divBdr>
        </w:div>
        <w:div w:id="1872767669">
          <w:marLeft w:val="360"/>
          <w:marRight w:val="0"/>
          <w:marTop w:val="200"/>
          <w:marBottom w:val="0"/>
          <w:divBdr>
            <w:top w:val="none" w:sz="0" w:space="0" w:color="auto"/>
            <w:left w:val="none" w:sz="0" w:space="0" w:color="auto"/>
            <w:bottom w:val="none" w:sz="0" w:space="0" w:color="auto"/>
            <w:right w:val="none" w:sz="0" w:space="0" w:color="auto"/>
          </w:divBdr>
        </w:div>
      </w:divsChild>
    </w:div>
    <w:div w:id="209304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250EA-D3D0-4AD3-B14D-7528E91A7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C32F82-5BC0-41E7-8639-4604A911F3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9891E8-F246-4B1B-80AB-9B5D23C455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2403</Words>
  <Characters>13700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Andrey2</cp:lastModifiedBy>
  <cp:revision>15</cp:revision>
  <dcterms:created xsi:type="dcterms:W3CDTF">2021-08-06T12:51:00Z</dcterms:created>
  <dcterms:modified xsi:type="dcterms:W3CDTF">2021-08-06T15:46:00Z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93aadea07194594a4a186bda5ae6d48">
    <vt:lpwstr>CWMh1f30fatEZVrDZFa2Qct+JYK8x3ZNIpjk7Lb6GO/gPYoBwlO0+8KTXU/w974jz20IFKaAw67hVlytIF0ZeWs+A==</vt:lpwstr>
  </property>
  <property fmtid="{D5CDD505-2E9C-101B-9397-08002B2CF9AE}" pid="3" name="ContentTypeId">
    <vt:lpwstr>0x010100A6C5AE73D3C80D4584FE298A5AB42D97</vt:lpwstr>
  </property>
</Properties>
</file>