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FD31AF" w14:textId="0E547311" w:rsidR="009F52D7" w:rsidRPr="00A1061F" w:rsidRDefault="009F52D7" w:rsidP="009F52D7">
      <w:pPr>
        <w:pStyle w:val="Header"/>
        <w:keepLines/>
        <w:tabs>
          <w:tab w:val="clear" w:pos="4153"/>
          <w:tab w:val="clear" w:pos="8306"/>
          <w:tab w:val="right" w:pos="10440"/>
          <w:tab w:val="right" w:pos="13323"/>
        </w:tabs>
        <w:rPr>
          <w:rFonts w:ascii="Arial" w:eastAsia="SimSun" w:hAnsi="Arial" w:cs="Arial"/>
          <w:b/>
          <w:sz w:val="24"/>
          <w:szCs w:val="24"/>
          <w:lang w:eastAsia="zh-CN"/>
        </w:rPr>
      </w:pPr>
      <w:bookmarkStart w:id="0" w:name="Title"/>
      <w:bookmarkStart w:id="1" w:name="DocumentFor"/>
      <w:bookmarkEnd w:id="0"/>
      <w:bookmarkEnd w:id="1"/>
      <w:r w:rsidRPr="00A1061F">
        <w:rPr>
          <w:rFonts w:ascii="Arial" w:hAnsi="Arial" w:cs="Arial"/>
          <w:b/>
          <w:sz w:val="24"/>
          <w:szCs w:val="24"/>
        </w:rPr>
        <w:t>3GPP TSG-RAN WG4 Meeting #</w:t>
      </w:r>
      <w:r w:rsidRPr="00A1061F">
        <w:t xml:space="preserve"> </w:t>
      </w:r>
      <w:r w:rsidR="00A211CC" w:rsidRPr="00A1061F">
        <w:rPr>
          <w:rFonts w:ascii="Arial" w:hAnsi="Arial" w:cs="Arial"/>
          <w:b/>
          <w:sz w:val="24"/>
          <w:szCs w:val="24"/>
        </w:rPr>
        <w:t>100</w:t>
      </w:r>
      <w:r w:rsidR="00951300" w:rsidRPr="00A1061F">
        <w:rPr>
          <w:rFonts w:ascii="Arial" w:hAnsi="Arial" w:cs="Arial"/>
          <w:b/>
          <w:sz w:val="24"/>
          <w:szCs w:val="24"/>
        </w:rPr>
        <w:t>-e</w:t>
      </w:r>
      <w:r w:rsidRPr="00A1061F">
        <w:rPr>
          <w:rFonts w:ascii="Arial" w:hAnsi="Arial" w:cs="Arial"/>
          <w:b/>
          <w:sz w:val="24"/>
          <w:szCs w:val="24"/>
        </w:rPr>
        <w:tab/>
      </w:r>
      <w:r w:rsidR="00B13BEF" w:rsidRPr="00B13BEF">
        <w:rPr>
          <w:rFonts w:ascii="Arial" w:hAnsi="Arial" w:cs="Arial"/>
          <w:b/>
          <w:sz w:val="24"/>
          <w:szCs w:val="24"/>
        </w:rPr>
        <w:t>R4-2112109</w:t>
      </w:r>
    </w:p>
    <w:p w14:paraId="2C67BE8C" w14:textId="7C62CAA1" w:rsidR="009F52D7" w:rsidRPr="00A1061F" w:rsidRDefault="00951300" w:rsidP="00951300">
      <w:pPr>
        <w:pStyle w:val="Header"/>
        <w:tabs>
          <w:tab w:val="clear" w:pos="4153"/>
          <w:tab w:val="clear" w:pos="8306"/>
          <w:tab w:val="right" w:pos="9781"/>
          <w:tab w:val="right" w:pos="13323"/>
        </w:tabs>
        <w:spacing w:after="120"/>
        <w:outlineLvl w:val="0"/>
        <w:rPr>
          <w:rFonts w:ascii="Arial" w:eastAsia="SimSun" w:hAnsi="Arial"/>
          <w:b/>
          <w:sz w:val="24"/>
          <w:szCs w:val="24"/>
          <w:lang w:eastAsia="zh-CN"/>
        </w:rPr>
      </w:pPr>
      <w:r w:rsidRPr="00A1061F">
        <w:rPr>
          <w:rFonts w:ascii="Arial" w:eastAsia="SimSun" w:hAnsi="Arial"/>
          <w:b/>
          <w:sz w:val="24"/>
          <w:szCs w:val="24"/>
          <w:lang w:eastAsia="zh-CN"/>
        </w:rPr>
        <w:t xml:space="preserve">Electronic Meeting, </w:t>
      </w:r>
      <w:r w:rsidR="00A211CC" w:rsidRPr="00A1061F">
        <w:rPr>
          <w:rFonts w:ascii="Arial" w:eastAsia="SimSun" w:hAnsi="Arial"/>
          <w:b/>
          <w:sz w:val="24"/>
          <w:szCs w:val="24"/>
          <w:lang w:eastAsia="zh-CN"/>
        </w:rPr>
        <w:t>August</w:t>
      </w:r>
      <w:r w:rsidRPr="00A1061F">
        <w:rPr>
          <w:rFonts w:ascii="Arial" w:eastAsia="SimSun" w:hAnsi="Arial"/>
          <w:b/>
          <w:sz w:val="24"/>
          <w:szCs w:val="24"/>
          <w:lang w:eastAsia="zh-CN"/>
        </w:rPr>
        <w:t xml:space="preserve"> 1</w:t>
      </w:r>
      <w:r w:rsidR="00A211CC" w:rsidRPr="00A1061F">
        <w:rPr>
          <w:rFonts w:ascii="Arial" w:eastAsia="SimSun" w:hAnsi="Arial"/>
          <w:b/>
          <w:sz w:val="24"/>
          <w:szCs w:val="24"/>
          <w:lang w:eastAsia="zh-CN"/>
        </w:rPr>
        <w:t>6</w:t>
      </w:r>
      <w:r w:rsidRPr="00A1061F">
        <w:rPr>
          <w:rFonts w:ascii="Arial" w:eastAsia="SimSun" w:hAnsi="Arial"/>
          <w:b/>
          <w:sz w:val="24"/>
          <w:szCs w:val="24"/>
          <w:lang w:eastAsia="zh-CN"/>
        </w:rPr>
        <w:t>-2</w:t>
      </w:r>
      <w:r w:rsidR="00B8567C" w:rsidRPr="00A1061F">
        <w:rPr>
          <w:rFonts w:ascii="Arial" w:eastAsia="SimSun" w:hAnsi="Arial"/>
          <w:b/>
          <w:sz w:val="24"/>
          <w:szCs w:val="24"/>
          <w:lang w:eastAsia="zh-CN"/>
        </w:rPr>
        <w:t>7</w:t>
      </w:r>
      <w:r w:rsidRPr="00A1061F">
        <w:rPr>
          <w:rFonts w:ascii="Arial" w:eastAsia="SimSun" w:hAnsi="Arial"/>
          <w:b/>
          <w:sz w:val="24"/>
          <w:szCs w:val="24"/>
          <w:lang w:eastAsia="zh-CN"/>
        </w:rPr>
        <w:t>, 2021</w:t>
      </w:r>
    </w:p>
    <w:p w14:paraId="2305CEA3" w14:textId="0FA5DB41" w:rsidR="009F52D7" w:rsidRPr="00A1061F" w:rsidRDefault="009F52D7" w:rsidP="009F52D7">
      <w:pPr>
        <w:pStyle w:val="CH"/>
        <w:rPr>
          <w:sz w:val="24"/>
          <w:szCs w:val="24"/>
          <w:lang w:val="en-US"/>
        </w:rPr>
      </w:pPr>
      <w:r w:rsidRPr="00A1061F">
        <w:rPr>
          <w:sz w:val="24"/>
          <w:szCs w:val="24"/>
          <w:lang w:val="en-US"/>
        </w:rPr>
        <w:t>Agenda item:</w:t>
      </w:r>
      <w:r w:rsidRPr="00A1061F">
        <w:rPr>
          <w:sz w:val="24"/>
          <w:szCs w:val="24"/>
          <w:lang w:val="en-US"/>
        </w:rPr>
        <w:tab/>
      </w:r>
      <w:r w:rsidR="003C40F2" w:rsidRPr="00B13BEF">
        <w:rPr>
          <w:sz w:val="24"/>
          <w:szCs w:val="24"/>
          <w:lang w:val="en-US"/>
        </w:rPr>
        <w:t>9.19.3</w:t>
      </w:r>
      <w:r w:rsidR="005D1B1F" w:rsidRPr="00B13BEF">
        <w:rPr>
          <w:sz w:val="24"/>
          <w:szCs w:val="24"/>
          <w:lang w:val="en-US"/>
        </w:rPr>
        <w:t>.</w:t>
      </w:r>
      <w:r w:rsidR="00E5586A" w:rsidRPr="00B13BEF">
        <w:rPr>
          <w:sz w:val="24"/>
          <w:szCs w:val="24"/>
          <w:lang w:val="en-US"/>
        </w:rPr>
        <w:t>2</w:t>
      </w:r>
    </w:p>
    <w:p w14:paraId="30D50B86" w14:textId="77777777" w:rsidR="009F52D7" w:rsidRPr="00A1061F" w:rsidRDefault="009F52D7" w:rsidP="009F52D7">
      <w:pPr>
        <w:pStyle w:val="CH"/>
        <w:rPr>
          <w:sz w:val="24"/>
          <w:szCs w:val="24"/>
          <w:lang w:val="en-US"/>
        </w:rPr>
      </w:pPr>
      <w:r w:rsidRPr="00A1061F">
        <w:rPr>
          <w:sz w:val="24"/>
          <w:szCs w:val="24"/>
          <w:lang w:val="en-US"/>
        </w:rPr>
        <w:t>Source:</w:t>
      </w:r>
      <w:r w:rsidRPr="00A1061F">
        <w:rPr>
          <w:sz w:val="24"/>
          <w:szCs w:val="24"/>
          <w:lang w:val="en-US"/>
        </w:rPr>
        <w:tab/>
        <w:t>Apple Inc.</w:t>
      </w:r>
    </w:p>
    <w:p w14:paraId="7827D204" w14:textId="0EB2EEEF" w:rsidR="009F52D7" w:rsidRPr="00A1061F" w:rsidRDefault="009F52D7" w:rsidP="00AA4B98">
      <w:pPr>
        <w:pStyle w:val="CH"/>
        <w:ind w:left="2250" w:hanging="2250"/>
        <w:rPr>
          <w:sz w:val="24"/>
          <w:szCs w:val="24"/>
          <w:lang w:val="en-US"/>
        </w:rPr>
      </w:pPr>
      <w:r w:rsidRPr="00A1061F">
        <w:rPr>
          <w:sz w:val="24"/>
          <w:szCs w:val="24"/>
          <w:lang w:val="en-US"/>
        </w:rPr>
        <w:t>Title:</w:t>
      </w:r>
      <w:r w:rsidRPr="00A1061F">
        <w:rPr>
          <w:sz w:val="24"/>
          <w:szCs w:val="24"/>
          <w:lang w:val="en-US"/>
        </w:rPr>
        <w:tab/>
      </w:r>
      <w:r w:rsidR="003C40F2" w:rsidRPr="00A1061F">
        <w:rPr>
          <w:sz w:val="24"/>
          <w:szCs w:val="24"/>
          <w:lang w:val="en-US"/>
        </w:rPr>
        <w:t>Discussion on RRM requirements for L1/L2 Centric Mobility</w:t>
      </w:r>
      <w:r w:rsidR="00AA4B98">
        <w:rPr>
          <w:sz w:val="24"/>
          <w:szCs w:val="24"/>
          <w:lang w:val="en-US"/>
        </w:rPr>
        <w:t xml:space="preserve"> and Unified TCI</w:t>
      </w:r>
    </w:p>
    <w:p w14:paraId="2AB0E874" w14:textId="393A2C4D" w:rsidR="009F52D7" w:rsidRPr="00A1061F" w:rsidRDefault="009F52D7" w:rsidP="009F52D7">
      <w:pPr>
        <w:pStyle w:val="CH"/>
        <w:rPr>
          <w:sz w:val="24"/>
          <w:szCs w:val="24"/>
          <w:lang w:val="en-US"/>
        </w:rPr>
      </w:pPr>
      <w:r w:rsidRPr="00A1061F">
        <w:rPr>
          <w:sz w:val="24"/>
          <w:szCs w:val="24"/>
          <w:lang w:val="en-US"/>
        </w:rPr>
        <w:t>Release:</w:t>
      </w:r>
      <w:r w:rsidRPr="00A1061F">
        <w:rPr>
          <w:sz w:val="24"/>
          <w:szCs w:val="24"/>
          <w:lang w:val="en-US"/>
        </w:rPr>
        <w:tab/>
        <w:t>Rel-1</w:t>
      </w:r>
      <w:r w:rsidR="003C40F2" w:rsidRPr="00A1061F">
        <w:rPr>
          <w:sz w:val="24"/>
          <w:szCs w:val="24"/>
          <w:lang w:val="en-US"/>
        </w:rPr>
        <w:t>7</w:t>
      </w:r>
    </w:p>
    <w:p w14:paraId="5FD26D80" w14:textId="77777777" w:rsidR="009F52D7" w:rsidRPr="00A1061F" w:rsidRDefault="009F52D7" w:rsidP="009F52D7">
      <w:pPr>
        <w:pStyle w:val="CH"/>
        <w:rPr>
          <w:sz w:val="24"/>
          <w:szCs w:val="24"/>
          <w:lang w:val="en-US"/>
        </w:rPr>
      </w:pPr>
      <w:r w:rsidRPr="00A1061F">
        <w:rPr>
          <w:sz w:val="24"/>
          <w:szCs w:val="24"/>
          <w:lang w:val="en-US"/>
        </w:rPr>
        <w:t>Document for:</w:t>
      </w:r>
      <w:r w:rsidRPr="00A1061F">
        <w:rPr>
          <w:sz w:val="24"/>
          <w:szCs w:val="24"/>
          <w:lang w:val="en-US"/>
        </w:rPr>
        <w:tab/>
        <w:t>Discussion</w:t>
      </w:r>
    </w:p>
    <w:p w14:paraId="26BFACA8" w14:textId="77777777" w:rsidR="009F52D7" w:rsidRPr="00A1061F" w:rsidRDefault="009F52D7" w:rsidP="009F52D7">
      <w:pPr>
        <w:pStyle w:val="CH"/>
        <w:rPr>
          <w:lang w:val="en-US"/>
        </w:rPr>
      </w:pPr>
    </w:p>
    <w:p w14:paraId="224F64C0" w14:textId="77777777" w:rsidR="009F52D7" w:rsidRPr="00A1061F" w:rsidRDefault="009F52D7" w:rsidP="009F52D7">
      <w:pPr>
        <w:pStyle w:val="Heading1"/>
        <w:rPr>
          <w:lang w:val="en-US"/>
        </w:rPr>
      </w:pPr>
      <w:r w:rsidRPr="00A1061F">
        <w:rPr>
          <w:lang w:val="en-US"/>
        </w:rPr>
        <w:t xml:space="preserve">1. Introduction </w:t>
      </w:r>
    </w:p>
    <w:p w14:paraId="4C15A661" w14:textId="759CB1F9" w:rsidR="003C40F2" w:rsidRPr="00A1061F" w:rsidRDefault="009F52D7" w:rsidP="009F52D7">
      <w:pPr>
        <w:spacing w:after="120"/>
        <w:rPr>
          <w:sz w:val="20"/>
          <w:szCs w:val="20"/>
        </w:rPr>
      </w:pPr>
      <w:r w:rsidRPr="00A1061F">
        <w:rPr>
          <w:sz w:val="20"/>
          <w:szCs w:val="20"/>
        </w:rPr>
        <w:t>In RAN4#9</w:t>
      </w:r>
      <w:r w:rsidR="003C40F2" w:rsidRPr="00A1061F">
        <w:rPr>
          <w:sz w:val="20"/>
          <w:szCs w:val="20"/>
        </w:rPr>
        <w:t>9</w:t>
      </w:r>
      <w:r w:rsidR="00B8567C" w:rsidRPr="00A1061F">
        <w:rPr>
          <w:sz w:val="20"/>
          <w:szCs w:val="20"/>
        </w:rPr>
        <w:t>-</w:t>
      </w:r>
      <w:r w:rsidRPr="00A1061F">
        <w:rPr>
          <w:sz w:val="20"/>
          <w:szCs w:val="20"/>
        </w:rPr>
        <w:t xml:space="preserve">e </w:t>
      </w:r>
      <w:r w:rsidR="003C40F2" w:rsidRPr="00A1061F">
        <w:rPr>
          <w:sz w:val="20"/>
          <w:szCs w:val="20"/>
        </w:rPr>
        <w:t xml:space="preserve">the work plan for RRM requirements for </w:t>
      </w:r>
      <w:proofErr w:type="spellStart"/>
      <w:r w:rsidR="003C40F2" w:rsidRPr="00A1061F">
        <w:rPr>
          <w:sz w:val="20"/>
          <w:szCs w:val="20"/>
        </w:rPr>
        <w:t>FeMIMO</w:t>
      </w:r>
      <w:proofErr w:type="spellEnd"/>
      <w:r w:rsidR="003C40F2" w:rsidRPr="00A1061F">
        <w:rPr>
          <w:sz w:val="20"/>
          <w:szCs w:val="20"/>
        </w:rPr>
        <w:t xml:space="preserve"> was discussed and way forward [1] was approved. </w:t>
      </w:r>
    </w:p>
    <w:tbl>
      <w:tblPr>
        <w:tblStyle w:val="TableGrid"/>
        <w:tblW w:w="0" w:type="auto"/>
        <w:tblLook w:val="04A0" w:firstRow="1" w:lastRow="0" w:firstColumn="1" w:lastColumn="0" w:noHBand="0" w:noVBand="1"/>
      </w:tblPr>
      <w:tblGrid>
        <w:gridCol w:w="9350"/>
      </w:tblGrid>
      <w:tr w:rsidR="009E2DF8" w:rsidRPr="00A1061F" w14:paraId="4CFFDFB5" w14:textId="77777777" w:rsidTr="009E2DF8">
        <w:tc>
          <w:tcPr>
            <w:tcW w:w="9350" w:type="dxa"/>
          </w:tcPr>
          <w:p w14:paraId="507B458C" w14:textId="77777777" w:rsidR="009E2DF8" w:rsidRPr="00A1061F" w:rsidRDefault="009E2DF8" w:rsidP="009F52D7">
            <w:pPr>
              <w:spacing w:after="120"/>
              <w:rPr>
                <w:sz w:val="20"/>
                <w:szCs w:val="20"/>
                <w:u w:val="single"/>
              </w:rPr>
            </w:pPr>
            <w:r w:rsidRPr="00A1061F">
              <w:rPr>
                <w:sz w:val="20"/>
                <w:szCs w:val="20"/>
                <w:u w:val="single"/>
              </w:rPr>
              <w:t>RAN4 Prioritized objectives</w:t>
            </w:r>
          </w:p>
          <w:p w14:paraId="453D85DC" w14:textId="77777777" w:rsidR="009E2DF8" w:rsidRPr="009E2DF8" w:rsidRDefault="009E2DF8" w:rsidP="009E2DF8">
            <w:pPr>
              <w:numPr>
                <w:ilvl w:val="0"/>
                <w:numId w:val="3"/>
              </w:numPr>
              <w:spacing w:after="120"/>
              <w:rPr>
                <w:sz w:val="20"/>
                <w:szCs w:val="20"/>
              </w:rPr>
            </w:pPr>
            <w:r w:rsidRPr="009E2DF8">
              <w:rPr>
                <w:sz w:val="20"/>
                <w:szCs w:val="20"/>
              </w:rPr>
              <w:t>1-a Unified TCI for DL and UL</w:t>
            </w:r>
          </w:p>
          <w:p w14:paraId="64451FD6" w14:textId="77777777" w:rsidR="009E2DF8" w:rsidRPr="009E2DF8" w:rsidRDefault="009E2DF8" w:rsidP="009E2DF8">
            <w:pPr>
              <w:numPr>
                <w:ilvl w:val="0"/>
                <w:numId w:val="3"/>
              </w:numPr>
              <w:spacing w:after="120"/>
              <w:rPr>
                <w:sz w:val="20"/>
                <w:szCs w:val="20"/>
              </w:rPr>
            </w:pPr>
            <w:r w:rsidRPr="009E2DF8">
              <w:rPr>
                <w:sz w:val="20"/>
                <w:szCs w:val="20"/>
              </w:rPr>
              <w:t>1-b: L1/L2 centric inter-cell mobility</w:t>
            </w:r>
          </w:p>
          <w:p w14:paraId="480D9AFE" w14:textId="0A628E35" w:rsidR="009E2DF8" w:rsidRPr="00A1061F" w:rsidRDefault="009E2DF8" w:rsidP="009F52D7">
            <w:pPr>
              <w:numPr>
                <w:ilvl w:val="0"/>
                <w:numId w:val="3"/>
              </w:numPr>
              <w:spacing w:after="120"/>
              <w:rPr>
                <w:sz w:val="20"/>
                <w:szCs w:val="20"/>
              </w:rPr>
            </w:pPr>
            <w:r w:rsidRPr="009E2DF8">
              <w:rPr>
                <w:sz w:val="20"/>
                <w:szCs w:val="20"/>
              </w:rPr>
              <w:t>1-c: Beam indication signaling medium</w:t>
            </w:r>
          </w:p>
        </w:tc>
      </w:tr>
    </w:tbl>
    <w:p w14:paraId="17649C63" w14:textId="77777777" w:rsidR="003C40F2" w:rsidRPr="00A1061F" w:rsidRDefault="003C40F2" w:rsidP="009F52D7">
      <w:pPr>
        <w:spacing w:after="120"/>
        <w:rPr>
          <w:sz w:val="20"/>
          <w:szCs w:val="20"/>
        </w:rPr>
      </w:pPr>
    </w:p>
    <w:p w14:paraId="5AD8EAAC" w14:textId="79E399A4" w:rsidR="009F52D7" w:rsidRPr="00A1061F" w:rsidRDefault="005D1B1F" w:rsidP="009F52D7">
      <w:pPr>
        <w:spacing w:after="120"/>
        <w:rPr>
          <w:sz w:val="20"/>
          <w:szCs w:val="20"/>
        </w:rPr>
      </w:pPr>
      <w:r w:rsidRPr="00A1061F">
        <w:rPr>
          <w:sz w:val="20"/>
          <w:szCs w:val="20"/>
        </w:rPr>
        <w:t xml:space="preserve">In this contribution we present our views on scope </w:t>
      </w:r>
      <w:r w:rsidR="003C40F2" w:rsidRPr="00A1061F">
        <w:rPr>
          <w:sz w:val="20"/>
          <w:szCs w:val="20"/>
        </w:rPr>
        <w:t>and impact of RRM</w:t>
      </w:r>
      <w:r w:rsidRPr="00A1061F">
        <w:rPr>
          <w:sz w:val="20"/>
          <w:szCs w:val="20"/>
        </w:rPr>
        <w:t xml:space="preserve"> requirements </w:t>
      </w:r>
      <w:r w:rsidR="003C40F2" w:rsidRPr="00A1061F">
        <w:rPr>
          <w:sz w:val="20"/>
          <w:szCs w:val="20"/>
        </w:rPr>
        <w:t>related to L1/L2 centric mobility</w:t>
      </w:r>
      <w:r w:rsidR="009E2DF8" w:rsidRPr="00A1061F">
        <w:rPr>
          <w:sz w:val="20"/>
          <w:szCs w:val="20"/>
        </w:rPr>
        <w:t xml:space="preserve"> and </w:t>
      </w:r>
      <w:r w:rsidR="00B13BEF">
        <w:rPr>
          <w:sz w:val="20"/>
          <w:szCs w:val="20"/>
        </w:rPr>
        <w:t>unified TCI framework</w:t>
      </w:r>
      <w:r w:rsidR="009E2DF8" w:rsidRPr="00A1061F">
        <w:rPr>
          <w:sz w:val="20"/>
          <w:szCs w:val="20"/>
        </w:rPr>
        <w:t>.</w:t>
      </w:r>
      <w:r w:rsidRPr="00A1061F">
        <w:rPr>
          <w:sz w:val="20"/>
          <w:szCs w:val="20"/>
        </w:rPr>
        <w:t xml:space="preserve"> </w:t>
      </w:r>
      <w:r w:rsidR="009F52D7" w:rsidRPr="00A1061F">
        <w:rPr>
          <w:sz w:val="20"/>
          <w:szCs w:val="20"/>
        </w:rPr>
        <w:t xml:space="preserve"> </w:t>
      </w:r>
    </w:p>
    <w:p w14:paraId="4EAFA8EB" w14:textId="77777777" w:rsidR="009F52D7" w:rsidRPr="00A1061F" w:rsidRDefault="009F52D7" w:rsidP="009F52D7">
      <w:pPr>
        <w:pStyle w:val="Heading1"/>
        <w:rPr>
          <w:lang w:val="en-US"/>
        </w:rPr>
      </w:pPr>
      <w:r w:rsidRPr="00A1061F">
        <w:rPr>
          <w:lang w:val="en-US"/>
        </w:rPr>
        <w:t>2. Discussion</w:t>
      </w:r>
    </w:p>
    <w:p w14:paraId="094DD831" w14:textId="240183F0" w:rsidR="00BD3076" w:rsidRPr="00A1061F" w:rsidRDefault="00BD3076" w:rsidP="00BD3076">
      <w:pPr>
        <w:pStyle w:val="Heading2"/>
        <w:rPr>
          <w:lang w:val="en-US"/>
        </w:rPr>
      </w:pPr>
      <w:r>
        <w:rPr>
          <w:lang w:val="en-US"/>
        </w:rPr>
        <w:t>Unified TCI for DL and UL</w:t>
      </w:r>
    </w:p>
    <w:p w14:paraId="02E84802" w14:textId="47FC8C90" w:rsidR="00D864BD" w:rsidRDefault="00D864BD" w:rsidP="00D864BD">
      <w:pPr>
        <w:rPr>
          <w:rFonts w:eastAsia="SimSun"/>
          <w:sz w:val="20"/>
          <w:szCs w:val="20"/>
          <w:lang w:eastAsia="en-GB"/>
        </w:rPr>
      </w:pPr>
      <w:r w:rsidRPr="00A1061F">
        <w:rPr>
          <w:rFonts w:eastAsia="SimSun"/>
          <w:sz w:val="20"/>
          <w:szCs w:val="20"/>
          <w:lang w:eastAsia="en-GB"/>
        </w:rPr>
        <w:t>RAN</w:t>
      </w:r>
      <w:r>
        <w:rPr>
          <w:rFonts w:eastAsia="SimSun"/>
          <w:sz w:val="20"/>
          <w:szCs w:val="20"/>
          <w:lang w:eastAsia="en-GB"/>
        </w:rPr>
        <w:t>1 is discussing enhancements for unified TCI for UL and DL. The following agreements were made in RAN1#104-e:</w:t>
      </w:r>
    </w:p>
    <w:p w14:paraId="7C7C966F" w14:textId="0A009158" w:rsidR="00D864BD" w:rsidRPr="00D864BD" w:rsidRDefault="00D864BD" w:rsidP="00D864BD">
      <w:pPr>
        <w:rPr>
          <w:sz w:val="20"/>
          <w:szCs w:val="20"/>
        </w:rPr>
      </w:pPr>
      <w:r w:rsidRPr="00D864BD">
        <w:rPr>
          <w:noProof/>
          <w:sz w:val="20"/>
          <w:szCs w:val="20"/>
        </w:rPr>
        <w:lastRenderedPageBreak/>
        <w:drawing>
          <wp:inline distT="0" distB="0" distL="0" distR="0" wp14:anchorId="52D4A3A0" wp14:editId="6FEBEAEB">
            <wp:extent cx="5943600" cy="4356100"/>
            <wp:effectExtent l="12700" t="12700" r="12700" b="12700"/>
            <wp:docPr id="4" name="Picture 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letter&#10;&#10;Description automatically generated"/>
                    <pic:cNvPicPr/>
                  </pic:nvPicPr>
                  <pic:blipFill>
                    <a:blip r:embed="rId5"/>
                    <a:stretch>
                      <a:fillRect/>
                    </a:stretch>
                  </pic:blipFill>
                  <pic:spPr>
                    <a:xfrm>
                      <a:off x="0" y="0"/>
                      <a:ext cx="5943600" cy="4356100"/>
                    </a:xfrm>
                    <a:prstGeom prst="rect">
                      <a:avLst/>
                    </a:prstGeom>
                    <a:ln>
                      <a:solidFill>
                        <a:schemeClr val="tx1"/>
                      </a:solidFill>
                    </a:ln>
                  </pic:spPr>
                </pic:pic>
              </a:graphicData>
            </a:graphic>
          </wp:inline>
        </w:drawing>
      </w:r>
    </w:p>
    <w:p w14:paraId="3C6E6643" w14:textId="77777777" w:rsidR="007171BA" w:rsidRDefault="007171BA" w:rsidP="007171BA">
      <w:pPr>
        <w:spacing w:after="120"/>
        <w:rPr>
          <w:rFonts w:eastAsia="SimSun"/>
          <w:sz w:val="20"/>
          <w:szCs w:val="20"/>
          <w:lang w:eastAsia="en-GB"/>
        </w:rPr>
      </w:pPr>
    </w:p>
    <w:p w14:paraId="4AFAFB3F" w14:textId="7255EA15" w:rsidR="00AA4B98" w:rsidRDefault="007171BA" w:rsidP="007171BA">
      <w:pPr>
        <w:spacing w:after="120"/>
        <w:rPr>
          <w:rFonts w:eastAsia="SimSun"/>
          <w:sz w:val="20"/>
          <w:szCs w:val="20"/>
          <w:lang w:eastAsia="en-GB"/>
        </w:rPr>
      </w:pPr>
      <w:r w:rsidRPr="007171BA">
        <w:rPr>
          <w:rFonts w:eastAsia="SimSun"/>
          <w:sz w:val="20"/>
          <w:szCs w:val="20"/>
          <w:lang w:eastAsia="en-GB"/>
        </w:rPr>
        <w:t xml:space="preserve">Based on the agreements in RAN1, we need to discuss and define requirements for unified TCI framework. </w:t>
      </w:r>
    </w:p>
    <w:p w14:paraId="1A400A92" w14:textId="185DE5E5" w:rsidR="00A76130" w:rsidRPr="00A76130" w:rsidRDefault="00A76130" w:rsidP="007171BA">
      <w:pPr>
        <w:spacing w:after="120"/>
        <w:rPr>
          <w:rFonts w:eastAsia="SimSun"/>
          <w:b/>
          <w:bCs/>
          <w:sz w:val="22"/>
          <w:szCs w:val="22"/>
          <w:u w:val="single"/>
          <w:lang w:eastAsia="en-GB"/>
        </w:rPr>
      </w:pPr>
      <w:r w:rsidRPr="00A76130">
        <w:rPr>
          <w:rFonts w:eastAsia="SimSun"/>
          <w:b/>
          <w:bCs/>
          <w:sz w:val="22"/>
          <w:szCs w:val="22"/>
          <w:u w:val="single"/>
          <w:lang w:eastAsia="en-GB"/>
        </w:rPr>
        <w:t>QCL Definition</w:t>
      </w:r>
    </w:p>
    <w:p w14:paraId="6B3A0B0B" w14:textId="0B5D6D8A" w:rsidR="004D78F5" w:rsidRDefault="007171BA" w:rsidP="007171BA">
      <w:pPr>
        <w:spacing w:after="120"/>
        <w:rPr>
          <w:rFonts w:eastAsia="SimSun"/>
          <w:sz w:val="20"/>
          <w:szCs w:val="20"/>
          <w:lang w:eastAsia="en-GB"/>
        </w:rPr>
      </w:pPr>
      <w:r>
        <w:rPr>
          <w:rFonts w:eastAsia="SimSun"/>
          <w:sz w:val="20"/>
          <w:szCs w:val="20"/>
          <w:lang w:eastAsia="en-GB"/>
        </w:rPr>
        <w:t xml:space="preserve">One of the enhancements in RAN1 for unified TCI framework </w:t>
      </w:r>
      <w:r w:rsidR="007400F4">
        <w:rPr>
          <w:rFonts w:eastAsia="SimSun"/>
          <w:sz w:val="20"/>
          <w:szCs w:val="20"/>
          <w:lang w:eastAsia="en-GB"/>
        </w:rPr>
        <w:t xml:space="preserve">in Rel-17 </w:t>
      </w:r>
      <w:r>
        <w:rPr>
          <w:rFonts w:eastAsia="SimSun"/>
          <w:sz w:val="20"/>
          <w:szCs w:val="20"/>
          <w:lang w:eastAsia="en-GB"/>
        </w:rPr>
        <w:t xml:space="preserve">is </w:t>
      </w:r>
      <w:r w:rsidR="007400F4">
        <w:rPr>
          <w:rFonts w:eastAsia="SimSun"/>
          <w:sz w:val="20"/>
          <w:szCs w:val="20"/>
          <w:lang w:eastAsia="en-GB"/>
        </w:rPr>
        <w:t xml:space="preserve">to introduce UL TCI. </w:t>
      </w:r>
      <w:r w:rsidR="001E22A5">
        <w:rPr>
          <w:rFonts w:eastAsia="SimSun"/>
          <w:sz w:val="20"/>
          <w:szCs w:val="20"/>
          <w:lang w:eastAsia="en-GB"/>
        </w:rPr>
        <w:t xml:space="preserve">In R15/16, TCI state/ QCL was only associated with DL signals, but in Rel-17 they can also be indicated for </w:t>
      </w:r>
      <w:r w:rsidR="001E22A5" w:rsidRPr="001E22A5">
        <w:rPr>
          <w:rFonts w:eastAsia="SimSun"/>
          <w:sz w:val="20"/>
          <w:szCs w:val="20"/>
          <w:lang w:eastAsia="en-GB"/>
        </w:rPr>
        <w:t xml:space="preserve">dynamic-grant/configured-grant based PUSCH and </w:t>
      </w:r>
      <w:proofErr w:type="gramStart"/>
      <w:r w:rsidR="001E22A5" w:rsidRPr="001E22A5">
        <w:rPr>
          <w:rFonts w:eastAsia="SimSun"/>
          <w:sz w:val="20"/>
          <w:szCs w:val="20"/>
          <w:lang w:eastAsia="en-GB"/>
        </w:rPr>
        <w:t>all of</w:t>
      </w:r>
      <w:proofErr w:type="gramEnd"/>
      <w:r w:rsidR="001E22A5" w:rsidRPr="001E22A5">
        <w:rPr>
          <w:rFonts w:eastAsia="SimSun"/>
          <w:sz w:val="20"/>
          <w:szCs w:val="20"/>
          <w:lang w:eastAsia="en-GB"/>
        </w:rPr>
        <w:t xml:space="preserve"> dedicated PUCCH resources in a CC</w:t>
      </w:r>
      <w:r w:rsidR="001E22A5">
        <w:rPr>
          <w:rFonts w:eastAsia="SimSun"/>
          <w:sz w:val="20"/>
          <w:szCs w:val="20"/>
          <w:lang w:eastAsia="en-GB"/>
        </w:rPr>
        <w:t xml:space="preserve">. With this enhancement, the QCL definition </w:t>
      </w:r>
      <w:proofErr w:type="gramStart"/>
      <w:r w:rsidR="001E22A5">
        <w:rPr>
          <w:rFonts w:eastAsia="SimSun"/>
          <w:sz w:val="20"/>
          <w:szCs w:val="20"/>
          <w:lang w:eastAsia="en-GB"/>
        </w:rPr>
        <w:t>in  Applicability</w:t>
      </w:r>
      <w:proofErr w:type="gramEnd"/>
      <w:r w:rsidR="001E22A5">
        <w:rPr>
          <w:rFonts w:eastAsia="SimSun"/>
          <w:sz w:val="20"/>
          <w:szCs w:val="20"/>
          <w:lang w:eastAsia="en-GB"/>
        </w:rPr>
        <w:t xml:space="preserve"> of requirements in TS 38.133 § 3.6.7 should be also be updated. Currently, the QCL definition only applies to DL signal – PDSCH and PDCCH</w:t>
      </w:r>
      <w:r w:rsidR="004D78F5">
        <w:rPr>
          <w:rFonts w:eastAsia="SimSun"/>
          <w:sz w:val="20"/>
          <w:szCs w:val="20"/>
          <w:lang w:eastAsia="en-GB"/>
        </w:rPr>
        <w:t>. The definition needs to be extended to PUCSH and PUCCH in Rel-17.</w:t>
      </w:r>
    </w:p>
    <w:p w14:paraId="692005E8" w14:textId="0330B8EC" w:rsidR="001E22A5" w:rsidRDefault="004D78F5" w:rsidP="007171BA">
      <w:pPr>
        <w:spacing w:after="120"/>
        <w:rPr>
          <w:rFonts w:eastAsia="SimSun"/>
          <w:sz w:val="20"/>
          <w:szCs w:val="20"/>
          <w:lang w:eastAsia="en-GB"/>
        </w:rPr>
      </w:pPr>
      <w:r>
        <w:rPr>
          <w:rFonts w:eastAsia="SimSun"/>
          <w:b/>
          <w:bCs/>
          <w:i/>
          <w:iCs/>
          <w:sz w:val="20"/>
          <w:szCs w:val="20"/>
          <w:lang w:eastAsia="en-GB"/>
        </w:rPr>
        <w:t xml:space="preserve">Observation #1: </w:t>
      </w:r>
      <w:r w:rsidRPr="004D78F5">
        <w:rPr>
          <w:rFonts w:eastAsia="SimSun"/>
          <w:i/>
          <w:iCs/>
          <w:sz w:val="20"/>
          <w:szCs w:val="20"/>
          <w:lang w:eastAsia="en-GB"/>
        </w:rPr>
        <w:t>Currently</w:t>
      </w:r>
      <w:r>
        <w:rPr>
          <w:rFonts w:eastAsia="SimSun"/>
          <w:b/>
          <w:bCs/>
          <w:i/>
          <w:iCs/>
          <w:sz w:val="20"/>
          <w:szCs w:val="20"/>
          <w:lang w:eastAsia="en-GB"/>
        </w:rPr>
        <w:t xml:space="preserve"> </w:t>
      </w:r>
      <w:r>
        <w:rPr>
          <w:rFonts w:eastAsia="SimSun"/>
          <w:i/>
          <w:iCs/>
          <w:sz w:val="20"/>
          <w:szCs w:val="20"/>
          <w:lang w:eastAsia="en-GB"/>
        </w:rPr>
        <w:t>the definition of QCL is only applicable to PDSCH and PDCCH.</w:t>
      </w:r>
      <w:r w:rsidR="001E22A5">
        <w:rPr>
          <w:rFonts w:eastAsia="SimSun"/>
          <w:sz w:val="20"/>
          <w:szCs w:val="20"/>
          <w:lang w:eastAsia="en-GB"/>
        </w:rPr>
        <w:t xml:space="preserve"> </w:t>
      </w:r>
    </w:p>
    <w:p w14:paraId="70CBD843" w14:textId="56E63C26" w:rsidR="001E22A5" w:rsidRDefault="004D78F5" w:rsidP="007171BA">
      <w:pPr>
        <w:spacing w:after="120"/>
        <w:rPr>
          <w:rFonts w:eastAsia="SimSun"/>
          <w:sz w:val="20"/>
          <w:szCs w:val="20"/>
          <w:lang w:eastAsia="en-GB"/>
        </w:rPr>
      </w:pPr>
      <w:r>
        <w:rPr>
          <w:rFonts w:eastAsia="SimSun"/>
          <w:sz w:val="20"/>
          <w:szCs w:val="20"/>
          <w:lang w:eastAsia="en-GB"/>
        </w:rPr>
        <w:t xml:space="preserve">We propose to update the definition of QCL to be applicable to PUCCH and PUSCH. </w:t>
      </w:r>
    </w:p>
    <w:p w14:paraId="7B8EC5E8" w14:textId="426B41B7" w:rsidR="001E22A5" w:rsidRPr="004D78F5" w:rsidRDefault="004D78F5" w:rsidP="007171BA">
      <w:pPr>
        <w:spacing w:after="120"/>
        <w:rPr>
          <w:rFonts w:eastAsia="SimSun"/>
          <w:b/>
          <w:bCs/>
          <w:sz w:val="20"/>
          <w:szCs w:val="20"/>
          <w:lang w:eastAsia="en-GB"/>
        </w:rPr>
      </w:pPr>
      <w:r w:rsidRPr="004D78F5">
        <w:rPr>
          <w:rFonts w:eastAsia="SimSun"/>
          <w:b/>
          <w:bCs/>
          <w:sz w:val="20"/>
          <w:szCs w:val="20"/>
          <w:lang w:eastAsia="en-GB"/>
        </w:rPr>
        <w:t xml:space="preserve">Proposal #1: Update the definition of QCL to be applicable to PUCCH and PUSCH in Applicability of requirements for QCL. </w:t>
      </w:r>
    </w:p>
    <w:p w14:paraId="47268B67" w14:textId="64F17936" w:rsidR="004D78F5" w:rsidRDefault="004D78F5" w:rsidP="007171BA">
      <w:pPr>
        <w:spacing w:after="120"/>
        <w:rPr>
          <w:rFonts w:eastAsia="SimSun"/>
          <w:sz w:val="20"/>
          <w:szCs w:val="20"/>
          <w:lang w:eastAsia="en-GB"/>
        </w:rPr>
      </w:pPr>
      <w:r>
        <w:rPr>
          <w:rFonts w:eastAsia="SimSun"/>
          <w:sz w:val="20"/>
          <w:szCs w:val="20"/>
          <w:lang w:eastAsia="en-GB"/>
        </w:rPr>
        <w:t>Based on RAN1 agreements, the supported source RS for UL TX spatial filter are,</w:t>
      </w:r>
    </w:p>
    <w:p w14:paraId="5A7C02D9" w14:textId="2F47F651" w:rsidR="004D78F5" w:rsidRPr="00A76130" w:rsidRDefault="00B333C0" w:rsidP="00B333C0">
      <w:pPr>
        <w:pStyle w:val="ListParagraph"/>
        <w:numPr>
          <w:ilvl w:val="0"/>
          <w:numId w:val="11"/>
        </w:numPr>
        <w:spacing w:after="120"/>
        <w:ind w:firstLineChars="0"/>
        <w:rPr>
          <w:rFonts w:ascii="Times New Roman" w:hAnsi="Times New Roman" w:cs="Times New Roman"/>
          <w:sz w:val="20"/>
          <w:szCs w:val="20"/>
          <w:lang w:eastAsia="en-GB"/>
        </w:rPr>
      </w:pPr>
      <w:r w:rsidRPr="00A76130">
        <w:rPr>
          <w:rFonts w:ascii="Times New Roman" w:hAnsi="Times New Roman" w:cs="Times New Roman"/>
          <w:sz w:val="20"/>
          <w:szCs w:val="20"/>
          <w:lang w:eastAsia="en-GB"/>
        </w:rPr>
        <w:t>SRS</w:t>
      </w:r>
    </w:p>
    <w:p w14:paraId="76C1562B" w14:textId="400D95F5" w:rsidR="00B333C0" w:rsidRPr="00A76130" w:rsidRDefault="00B333C0" w:rsidP="00B333C0">
      <w:pPr>
        <w:pStyle w:val="ListParagraph"/>
        <w:numPr>
          <w:ilvl w:val="0"/>
          <w:numId w:val="11"/>
        </w:numPr>
        <w:spacing w:after="120"/>
        <w:ind w:firstLineChars="0"/>
        <w:rPr>
          <w:rFonts w:ascii="Times New Roman" w:hAnsi="Times New Roman" w:cs="Times New Roman"/>
          <w:sz w:val="20"/>
          <w:szCs w:val="20"/>
          <w:lang w:eastAsia="en-GB"/>
        </w:rPr>
      </w:pPr>
      <w:r w:rsidRPr="00A76130">
        <w:rPr>
          <w:rFonts w:ascii="Times New Roman" w:hAnsi="Times New Roman" w:cs="Times New Roman"/>
          <w:sz w:val="20"/>
          <w:szCs w:val="20"/>
          <w:lang w:eastAsia="en-GB"/>
        </w:rPr>
        <w:t>SSB</w:t>
      </w:r>
    </w:p>
    <w:p w14:paraId="1EC3E6AF" w14:textId="60B352CA" w:rsidR="004D78F5" w:rsidRPr="00A76130" w:rsidRDefault="004D78F5" w:rsidP="00B333C0">
      <w:pPr>
        <w:pStyle w:val="ListParagraph"/>
        <w:numPr>
          <w:ilvl w:val="0"/>
          <w:numId w:val="11"/>
        </w:numPr>
        <w:spacing w:after="120"/>
        <w:ind w:firstLineChars="0"/>
        <w:rPr>
          <w:rFonts w:ascii="Times New Roman" w:hAnsi="Times New Roman" w:cs="Times New Roman"/>
          <w:sz w:val="20"/>
          <w:szCs w:val="20"/>
          <w:lang w:eastAsia="en-GB"/>
        </w:rPr>
      </w:pPr>
      <w:r w:rsidRPr="00A76130">
        <w:rPr>
          <w:rFonts w:ascii="Times New Roman" w:hAnsi="Times New Roman" w:cs="Times New Roman"/>
          <w:sz w:val="20"/>
          <w:szCs w:val="20"/>
          <w:lang w:eastAsia="en-GB"/>
        </w:rPr>
        <w:t>CSI-RS for tracking</w:t>
      </w:r>
    </w:p>
    <w:p w14:paraId="045583AC" w14:textId="6831FC92" w:rsidR="004D78F5" w:rsidRPr="00A76130" w:rsidRDefault="004D78F5" w:rsidP="00B333C0">
      <w:pPr>
        <w:pStyle w:val="ListParagraph"/>
        <w:numPr>
          <w:ilvl w:val="0"/>
          <w:numId w:val="11"/>
        </w:numPr>
        <w:spacing w:after="120"/>
        <w:ind w:firstLineChars="0"/>
        <w:rPr>
          <w:rFonts w:ascii="Times New Roman" w:hAnsi="Times New Roman" w:cs="Times New Roman"/>
          <w:sz w:val="20"/>
          <w:szCs w:val="20"/>
          <w:lang w:eastAsia="en-GB"/>
        </w:rPr>
      </w:pPr>
      <w:r w:rsidRPr="00A76130">
        <w:rPr>
          <w:rFonts w:ascii="Times New Roman" w:hAnsi="Times New Roman" w:cs="Times New Roman"/>
          <w:sz w:val="20"/>
          <w:szCs w:val="20"/>
          <w:lang w:eastAsia="en-GB"/>
        </w:rPr>
        <w:t>CSI-RS for Beam Management</w:t>
      </w:r>
    </w:p>
    <w:p w14:paraId="663D205C" w14:textId="3102CB81" w:rsidR="00B333C0" w:rsidRDefault="00B13BEF" w:rsidP="007171BA">
      <w:pPr>
        <w:spacing w:after="120"/>
        <w:rPr>
          <w:rFonts w:eastAsia="SimSun"/>
          <w:sz w:val="20"/>
          <w:szCs w:val="20"/>
          <w:lang w:eastAsia="en-GB"/>
        </w:rPr>
      </w:pPr>
      <w:r>
        <w:rPr>
          <w:rFonts w:eastAsia="SimSun"/>
          <w:sz w:val="20"/>
          <w:szCs w:val="20"/>
          <w:lang w:eastAsia="en-GB"/>
        </w:rPr>
        <w:t>While</w:t>
      </w:r>
      <w:r w:rsidR="00B333C0">
        <w:rPr>
          <w:rFonts w:eastAsia="SimSun"/>
          <w:sz w:val="20"/>
          <w:szCs w:val="20"/>
          <w:lang w:eastAsia="en-GB"/>
        </w:rPr>
        <w:t xml:space="preserve"> SRS and SSB can only be directly associated with target UL signal, CSI-RS for tracking and beam management can be part of a QCL chain. </w:t>
      </w:r>
      <w:r w:rsidR="00A76130">
        <w:rPr>
          <w:rFonts w:eastAsia="SimSun"/>
          <w:sz w:val="20"/>
          <w:szCs w:val="20"/>
          <w:lang w:eastAsia="en-GB"/>
        </w:rPr>
        <w:t>We propose to include SRS as resource in TCI chain definition.</w:t>
      </w:r>
    </w:p>
    <w:p w14:paraId="1FF90AD4" w14:textId="77777777" w:rsidR="00A76130" w:rsidRDefault="00A76130" w:rsidP="007171BA">
      <w:pPr>
        <w:spacing w:after="120"/>
        <w:rPr>
          <w:rFonts w:eastAsia="SimSun"/>
          <w:b/>
          <w:bCs/>
          <w:sz w:val="20"/>
          <w:szCs w:val="20"/>
          <w:lang w:eastAsia="en-GB"/>
        </w:rPr>
      </w:pPr>
      <w:r>
        <w:rPr>
          <w:rFonts w:eastAsia="SimSun"/>
          <w:b/>
          <w:bCs/>
          <w:sz w:val="20"/>
          <w:szCs w:val="20"/>
          <w:lang w:eastAsia="en-GB"/>
        </w:rPr>
        <w:lastRenderedPageBreak/>
        <w:t>Proposal #2: Update TCI chain definition to include SRS.</w:t>
      </w:r>
    </w:p>
    <w:p w14:paraId="678472C9" w14:textId="26378C6F" w:rsidR="00A76130" w:rsidRPr="00A76130" w:rsidRDefault="00A76130" w:rsidP="007171BA">
      <w:pPr>
        <w:spacing w:after="120"/>
        <w:rPr>
          <w:rFonts w:eastAsia="SimSun"/>
          <w:sz w:val="20"/>
          <w:szCs w:val="20"/>
          <w:lang w:eastAsia="en-GB"/>
        </w:rPr>
      </w:pPr>
      <w:r w:rsidRPr="00A76130">
        <w:rPr>
          <w:rFonts w:eastAsia="SimSun"/>
          <w:sz w:val="20"/>
          <w:szCs w:val="20"/>
          <w:lang w:eastAsia="en-GB"/>
        </w:rPr>
        <w:t xml:space="preserve">Based on the above proposals, we recommend updating the applicability of QCL definition as below. </w:t>
      </w:r>
    </w:p>
    <w:p w14:paraId="5ABB7CCE" w14:textId="481D9F65" w:rsidR="00A76130" w:rsidRDefault="00A76130" w:rsidP="007171BA">
      <w:pPr>
        <w:spacing w:after="120"/>
        <w:rPr>
          <w:rFonts w:eastAsia="SimSun"/>
          <w:sz w:val="20"/>
          <w:szCs w:val="20"/>
          <w:lang w:eastAsia="en-GB"/>
        </w:rPr>
      </w:pPr>
      <w:r w:rsidRPr="00A76130">
        <w:rPr>
          <w:rFonts w:eastAsia="SimSun"/>
          <w:noProof/>
          <w:sz w:val="20"/>
          <w:szCs w:val="20"/>
          <w:lang w:eastAsia="en-GB"/>
        </w:rPr>
        <w:drawing>
          <wp:inline distT="0" distB="0" distL="0" distR="0" wp14:anchorId="3378BC29" wp14:editId="7489940D">
            <wp:extent cx="5943600" cy="2041525"/>
            <wp:effectExtent l="12700" t="12700" r="12700" b="15875"/>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6"/>
                    <a:stretch>
                      <a:fillRect/>
                    </a:stretch>
                  </pic:blipFill>
                  <pic:spPr>
                    <a:xfrm>
                      <a:off x="0" y="0"/>
                      <a:ext cx="5943600" cy="2041525"/>
                    </a:xfrm>
                    <a:prstGeom prst="rect">
                      <a:avLst/>
                    </a:prstGeom>
                    <a:ln>
                      <a:solidFill>
                        <a:schemeClr val="tx1"/>
                      </a:solidFill>
                    </a:ln>
                  </pic:spPr>
                </pic:pic>
              </a:graphicData>
            </a:graphic>
          </wp:inline>
        </w:drawing>
      </w:r>
    </w:p>
    <w:p w14:paraId="1540D6FC" w14:textId="77777777" w:rsidR="00A76130" w:rsidRDefault="00A76130" w:rsidP="00A76130">
      <w:pPr>
        <w:spacing w:after="120"/>
        <w:rPr>
          <w:rFonts w:eastAsia="SimSun"/>
          <w:b/>
          <w:bCs/>
          <w:sz w:val="22"/>
          <w:szCs w:val="22"/>
          <w:u w:val="single"/>
          <w:lang w:eastAsia="en-GB"/>
        </w:rPr>
      </w:pPr>
    </w:p>
    <w:p w14:paraId="4CD10FF1" w14:textId="5536E4EE" w:rsidR="00A76130" w:rsidRPr="00A76130" w:rsidRDefault="00A76130" w:rsidP="007171BA">
      <w:pPr>
        <w:spacing w:after="120"/>
        <w:rPr>
          <w:rFonts w:eastAsia="SimSun"/>
          <w:b/>
          <w:bCs/>
          <w:sz w:val="22"/>
          <w:szCs w:val="22"/>
          <w:u w:val="single"/>
          <w:lang w:eastAsia="en-GB"/>
        </w:rPr>
      </w:pPr>
      <w:r>
        <w:rPr>
          <w:rFonts w:eastAsia="SimSun"/>
          <w:b/>
          <w:bCs/>
          <w:sz w:val="22"/>
          <w:szCs w:val="22"/>
          <w:u w:val="single"/>
          <w:lang w:eastAsia="en-GB"/>
        </w:rPr>
        <w:t>TCI State Switching Requirements</w:t>
      </w:r>
      <w:r w:rsidRPr="00A76130">
        <w:rPr>
          <w:rFonts w:eastAsia="SimSun"/>
          <w:b/>
          <w:bCs/>
          <w:sz w:val="22"/>
          <w:szCs w:val="22"/>
          <w:u w:val="single"/>
          <w:lang w:eastAsia="en-GB"/>
        </w:rPr>
        <w:t xml:space="preserve"> </w:t>
      </w:r>
    </w:p>
    <w:p w14:paraId="65022E59" w14:textId="3C1355D8" w:rsidR="007171BA" w:rsidRDefault="007400F4" w:rsidP="007171BA">
      <w:pPr>
        <w:spacing w:after="120"/>
        <w:rPr>
          <w:rFonts w:eastAsia="SimSun"/>
          <w:sz w:val="20"/>
          <w:szCs w:val="20"/>
          <w:lang w:eastAsia="en-GB"/>
        </w:rPr>
      </w:pPr>
      <w:r>
        <w:rPr>
          <w:rFonts w:eastAsia="SimSun"/>
          <w:sz w:val="20"/>
          <w:szCs w:val="20"/>
          <w:lang w:eastAsia="en-GB"/>
        </w:rPr>
        <w:t xml:space="preserve">Based on </w:t>
      </w:r>
      <w:r w:rsidR="00B333C0">
        <w:rPr>
          <w:rFonts w:eastAsia="SimSun"/>
          <w:sz w:val="20"/>
          <w:szCs w:val="20"/>
          <w:lang w:eastAsia="en-GB"/>
        </w:rPr>
        <w:t>the</w:t>
      </w:r>
      <w:r>
        <w:rPr>
          <w:rFonts w:eastAsia="SimSun"/>
          <w:sz w:val="20"/>
          <w:szCs w:val="20"/>
          <w:lang w:eastAsia="en-GB"/>
        </w:rPr>
        <w:t xml:space="preserve"> enhancement</w:t>
      </w:r>
      <w:r w:rsidR="00B333C0">
        <w:rPr>
          <w:rFonts w:eastAsia="SimSun"/>
          <w:sz w:val="20"/>
          <w:szCs w:val="20"/>
          <w:lang w:eastAsia="en-GB"/>
        </w:rPr>
        <w:t xml:space="preserve"> for unified TCI framework</w:t>
      </w:r>
      <w:r>
        <w:rPr>
          <w:rFonts w:eastAsia="SimSun"/>
          <w:sz w:val="20"/>
          <w:szCs w:val="20"/>
          <w:lang w:eastAsia="en-GB"/>
        </w:rPr>
        <w:t xml:space="preserve">, RAN4 needs to define requirements for TCI state switch for these cases. Firstly, we need to discuss TCI state switching for UL in case of separate TCI state for UL. This shall be applicable for cases where separate UL TCI is specified. </w:t>
      </w:r>
    </w:p>
    <w:p w14:paraId="56C13481" w14:textId="3F990824" w:rsidR="007400F4" w:rsidRPr="007400F4" w:rsidRDefault="007400F4" w:rsidP="007171BA">
      <w:pPr>
        <w:spacing w:after="120"/>
        <w:rPr>
          <w:rFonts w:eastAsia="SimSun"/>
          <w:sz w:val="20"/>
          <w:szCs w:val="20"/>
          <w:lang w:eastAsia="en-GB"/>
        </w:rPr>
      </w:pPr>
      <w:r w:rsidRPr="007400F4">
        <w:rPr>
          <w:rFonts w:eastAsia="SimSun"/>
          <w:sz w:val="20"/>
          <w:szCs w:val="20"/>
          <w:lang w:eastAsia="en-GB"/>
        </w:rPr>
        <w:t xml:space="preserve">In R15/16 we have requirements for DL TCI state switch and UL spatial relation info switch. </w:t>
      </w:r>
      <w:r>
        <w:rPr>
          <w:rFonts w:eastAsia="SimSun"/>
          <w:sz w:val="20"/>
          <w:szCs w:val="20"/>
          <w:lang w:eastAsia="en-GB"/>
        </w:rPr>
        <w:t xml:space="preserve">In Rel-17, as part of unified TCI framework, we have joint UL/DL TCI. RAN4 should discuss and define TCI state switching delay for joint TCI for DL and UL. </w:t>
      </w:r>
    </w:p>
    <w:p w14:paraId="16B3C4D7" w14:textId="1070DF65" w:rsidR="007400F4" w:rsidRPr="007400F4" w:rsidRDefault="007400F4" w:rsidP="007171BA">
      <w:pPr>
        <w:spacing w:after="120"/>
        <w:rPr>
          <w:rFonts w:eastAsia="SimSun"/>
          <w:b/>
          <w:bCs/>
          <w:sz w:val="20"/>
          <w:szCs w:val="20"/>
          <w:lang w:eastAsia="en-GB"/>
        </w:rPr>
      </w:pPr>
      <w:r w:rsidRPr="007400F4">
        <w:rPr>
          <w:rFonts w:eastAsia="SimSun"/>
          <w:b/>
          <w:bCs/>
          <w:sz w:val="20"/>
          <w:szCs w:val="20"/>
          <w:lang w:eastAsia="en-GB"/>
        </w:rPr>
        <w:t>Proposal #</w:t>
      </w:r>
      <w:r w:rsidR="00A76130">
        <w:rPr>
          <w:rFonts w:eastAsia="SimSun"/>
          <w:b/>
          <w:bCs/>
          <w:sz w:val="20"/>
          <w:szCs w:val="20"/>
          <w:lang w:eastAsia="en-GB"/>
        </w:rPr>
        <w:t>3</w:t>
      </w:r>
      <w:r w:rsidRPr="007400F4">
        <w:rPr>
          <w:rFonts w:eastAsia="SimSun"/>
          <w:b/>
          <w:bCs/>
          <w:sz w:val="20"/>
          <w:szCs w:val="20"/>
          <w:lang w:eastAsia="en-GB"/>
        </w:rPr>
        <w:t xml:space="preserve">: For the unified TCI framework, RAN4 discusses and defines </w:t>
      </w:r>
      <w:r w:rsidR="00FB7A0B">
        <w:rPr>
          <w:rFonts w:eastAsia="SimSun"/>
          <w:b/>
          <w:bCs/>
          <w:sz w:val="20"/>
          <w:szCs w:val="20"/>
          <w:lang w:eastAsia="en-GB"/>
        </w:rPr>
        <w:t>requirements for (1) TCI state switching delay for UL for separate TCI for UL, (2) TCI state switching delay for DL and UL for joint TCI.</w:t>
      </w:r>
    </w:p>
    <w:p w14:paraId="05EECFC0" w14:textId="35A49958" w:rsidR="007400F4" w:rsidRDefault="007400F4" w:rsidP="007171BA">
      <w:pPr>
        <w:spacing w:after="120"/>
        <w:rPr>
          <w:rFonts w:eastAsia="SimSun"/>
          <w:sz w:val="20"/>
          <w:szCs w:val="20"/>
          <w:lang w:eastAsia="en-GB"/>
        </w:rPr>
      </w:pPr>
    </w:p>
    <w:p w14:paraId="43F01072" w14:textId="037005CC" w:rsidR="009F52D7" w:rsidRPr="00A1061F" w:rsidRDefault="00BD3076" w:rsidP="009F52D7">
      <w:pPr>
        <w:pStyle w:val="Heading2"/>
        <w:rPr>
          <w:lang w:val="en-US"/>
        </w:rPr>
      </w:pPr>
      <w:r>
        <w:rPr>
          <w:lang w:val="en-US"/>
        </w:rPr>
        <w:t>L1/L2 Centric Mobility</w:t>
      </w:r>
    </w:p>
    <w:p w14:paraId="6BB3AD6B" w14:textId="692F5538" w:rsidR="009F52D7" w:rsidRPr="00A1061F" w:rsidRDefault="00AD2065" w:rsidP="005B410D">
      <w:pPr>
        <w:spacing w:after="120"/>
        <w:rPr>
          <w:rFonts w:eastAsia="SimSun"/>
          <w:sz w:val="20"/>
          <w:szCs w:val="20"/>
          <w:lang w:eastAsia="en-GB"/>
        </w:rPr>
      </w:pPr>
      <w:r w:rsidRPr="00A1061F">
        <w:rPr>
          <w:rFonts w:eastAsia="SimSun"/>
          <w:sz w:val="20"/>
          <w:szCs w:val="20"/>
          <w:lang w:eastAsia="en-GB"/>
        </w:rPr>
        <w:t xml:space="preserve">In RAN#92e, there was agreement to limit the scope of </w:t>
      </w:r>
      <w:r w:rsidR="00CA6AA0" w:rsidRPr="00A1061F">
        <w:rPr>
          <w:rFonts w:eastAsia="SimSun"/>
          <w:sz w:val="20"/>
          <w:szCs w:val="20"/>
          <w:lang w:eastAsia="en-GB"/>
        </w:rPr>
        <w:t xml:space="preserve">inter-cell beam management to intra-DU, intra-frequency cases. There was also clarification that UE can only transmit and receive from a single cell. </w:t>
      </w:r>
    </w:p>
    <w:p w14:paraId="10D9D283" w14:textId="0B5B87A0" w:rsidR="00CA6AA0" w:rsidRPr="00A1061F" w:rsidRDefault="00CA6AA0" w:rsidP="00A76130">
      <w:pPr>
        <w:spacing w:after="120"/>
        <w:jc w:val="center"/>
        <w:rPr>
          <w:rFonts w:eastAsia="SimSun"/>
          <w:sz w:val="20"/>
          <w:szCs w:val="20"/>
          <w:lang w:eastAsia="en-GB"/>
        </w:rPr>
      </w:pPr>
      <w:r w:rsidRPr="00A1061F">
        <w:rPr>
          <w:rFonts w:eastAsia="SimSun"/>
          <w:noProof/>
          <w:sz w:val="20"/>
          <w:szCs w:val="20"/>
          <w:lang w:eastAsia="en-GB"/>
        </w:rPr>
        <w:drawing>
          <wp:inline distT="0" distB="0" distL="0" distR="0" wp14:anchorId="6AF6FA06" wp14:editId="5642A035">
            <wp:extent cx="5275655" cy="2663755"/>
            <wp:effectExtent l="12700" t="12700" r="7620" b="16510"/>
            <wp:docPr id="1"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7"/>
                    <a:stretch>
                      <a:fillRect/>
                    </a:stretch>
                  </pic:blipFill>
                  <pic:spPr>
                    <a:xfrm>
                      <a:off x="0" y="0"/>
                      <a:ext cx="5286491" cy="2669226"/>
                    </a:xfrm>
                    <a:prstGeom prst="rect">
                      <a:avLst/>
                    </a:prstGeom>
                    <a:ln>
                      <a:solidFill>
                        <a:schemeClr val="tx1"/>
                      </a:solidFill>
                    </a:ln>
                  </pic:spPr>
                </pic:pic>
              </a:graphicData>
            </a:graphic>
          </wp:inline>
        </w:drawing>
      </w:r>
    </w:p>
    <w:p w14:paraId="55DEF840" w14:textId="53CB6885" w:rsidR="007400F4" w:rsidRPr="007400F4" w:rsidRDefault="007400F4" w:rsidP="007400F4">
      <w:pPr>
        <w:pStyle w:val="Heading2"/>
        <w:numPr>
          <w:ilvl w:val="2"/>
          <w:numId w:val="1"/>
        </w:numPr>
        <w:rPr>
          <w:sz w:val="32"/>
          <w:szCs w:val="20"/>
          <w:lang w:val="en-US"/>
        </w:rPr>
      </w:pPr>
      <w:r w:rsidRPr="00BD3076">
        <w:rPr>
          <w:sz w:val="24"/>
          <w:szCs w:val="16"/>
          <w:lang w:val="en-US"/>
        </w:rPr>
        <w:lastRenderedPageBreak/>
        <w:t>L1-RSRP Measurements</w:t>
      </w:r>
    </w:p>
    <w:p w14:paraId="65236897" w14:textId="38C5BFA2" w:rsidR="000C6157" w:rsidRPr="00A1061F" w:rsidRDefault="00CA6AA0" w:rsidP="005B410D">
      <w:pPr>
        <w:spacing w:after="120"/>
        <w:rPr>
          <w:rFonts w:eastAsia="SimSun"/>
          <w:sz w:val="20"/>
          <w:szCs w:val="20"/>
          <w:lang w:eastAsia="en-GB"/>
        </w:rPr>
      </w:pPr>
      <w:r w:rsidRPr="00A1061F">
        <w:rPr>
          <w:rFonts w:eastAsia="SimSun"/>
          <w:sz w:val="20"/>
          <w:szCs w:val="20"/>
          <w:lang w:eastAsia="en-GB"/>
        </w:rPr>
        <w:t xml:space="preserve">To enable L1/L2 centric mobility, the </w:t>
      </w:r>
      <w:r w:rsidR="000C6157" w:rsidRPr="00A1061F">
        <w:rPr>
          <w:rFonts w:eastAsia="SimSun"/>
          <w:sz w:val="20"/>
          <w:szCs w:val="20"/>
          <w:lang w:eastAsia="en-GB"/>
        </w:rPr>
        <w:t xml:space="preserve">UE needs to be configured with measurements for non-serving cell. RAN1 </w:t>
      </w:r>
      <w:r w:rsidR="00A76130">
        <w:rPr>
          <w:rFonts w:eastAsia="SimSun"/>
          <w:sz w:val="20"/>
          <w:szCs w:val="20"/>
          <w:lang w:eastAsia="en-GB"/>
        </w:rPr>
        <w:t xml:space="preserve">has the following agreements: </w:t>
      </w:r>
    </w:p>
    <w:p w14:paraId="65643727" w14:textId="1F203CC9" w:rsidR="000C6157" w:rsidRPr="00A1061F" w:rsidRDefault="000C6157" w:rsidP="005B410D">
      <w:pPr>
        <w:spacing w:after="120"/>
        <w:rPr>
          <w:rFonts w:eastAsia="SimSun"/>
          <w:sz w:val="20"/>
          <w:szCs w:val="20"/>
          <w:lang w:eastAsia="en-GB"/>
        </w:rPr>
      </w:pPr>
      <w:r w:rsidRPr="00A1061F">
        <w:rPr>
          <w:rFonts w:eastAsia="SimSun"/>
          <w:sz w:val="20"/>
          <w:szCs w:val="20"/>
          <w:lang w:eastAsia="en-GB"/>
        </w:rPr>
        <w:t>Agreements in RAN1#104e</w:t>
      </w:r>
      <w:r w:rsidR="00620B6D" w:rsidRPr="00A1061F">
        <w:rPr>
          <w:rFonts w:eastAsia="SimSun"/>
          <w:sz w:val="20"/>
          <w:szCs w:val="20"/>
          <w:lang w:eastAsia="en-GB"/>
        </w:rPr>
        <w:t>:</w:t>
      </w:r>
    </w:p>
    <w:p w14:paraId="0F1C3FF7" w14:textId="27ABB9E7" w:rsidR="000C6157" w:rsidRPr="00A1061F" w:rsidRDefault="00620B6D" w:rsidP="005B410D">
      <w:pPr>
        <w:spacing w:after="120"/>
        <w:rPr>
          <w:rFonts w:eastAsia="SimSun"/>
          <w:sz w:val="20"/>
          <w:szCs w:val="20"/>
          <w:lang w:eastAsia="en-GB"/>
        </w:rPr>
      </w:pPr>
      <w:r w:rsidRPr="00A1061F">
        <w:rPr>
          <w:rFonts w:eastAsia="SimSun"/>
          <w:noProof/>
          <w:sz w:val="20"/>
          <w:szCs w:val="20"/>
          <w:lang w:eastAsia="en-GB"/>
        </w:rPr>
        <w:drawing>
          <wp:inline distT="0" distB="0" distL="0" distR="0" wp14:anchorId="02078C9E" wp14:editId="180B6D6D">
            <wp:extent cx="5943600" cy="3687445"/>
            <wp:effectExtent l="12700" t="12700" r="12700" b="8255"/>
            <wp:docPr id="2"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a:blip r:embed="rId8"/>
                    <a:stretch>
                      <a:fillRect/>
                    </a:stretch>
                  </pic:blipFill>
                  <pic:spPr>
                    <a:xfrm>
                      <a:off x="0" y="0"/>
                      <a:ext cx="5943600" cy="3687445"/>
                    </a:xfrm>
                    <a:prstGeom prst="rect">
                      <a:avLst/>
                    </a:prstGeom>
                    <a:ln>
                      <a:solidFill>
                        <a:schemeClr val="tx1"/>
                      </a:solidFill>
                    </a:ln>
                  </pic:spPr>
                </pic:pic>
              </a:graphicData>
            </a:graphic>
          </wp:inline>
        </w:drawing>
      </w:r>
    </w:p>
    <w:p w14:paraId="162CB2DC" w14:textId="32C8AC82" w:rsidR="000C6157" w:rsidRPr="00A1061F" w:rsidRDefault="000C6157" w:rsidP="005B410D">
      <w:pPr>
        <w:spacing w:after="120"/>
        <w:rPr>
          <w:rFonts w:eastAsia="SimSun"/>
          <w:sz w:val="20"/>
          <w:szCs w:val="20"/>
          <w:lang w:eastAsia="en-GB"/>
        </w:rPr>
      </w:pPr>
      <w:r w:rsidRPr="00A1061F">
        <w:rPr>
          <w:rFonts w:eastAsia="SimSun"/>
          <w:sz w:val="20"/>
          <w:szCs w:val="20"/>
          <w:lang w:eastAsia="en-GB"/>
        </w:rPr>
        <w:t>Agreements in RAN1#105-e</w:t>
      </w:r>
      <w:r w:rsidR="00620B6D" w:rsidRPr="00A1061F">
        <w:rPr>
          <w:rFonts w:eastAsia="SimSun"/>
          <w:sz w:val="20"/>
          <w:szCs w:val="20"/>
          <w:lang w:eastAsia="en-GB"/>
        </w:rPr>
        <w:t>:</w:t>
      </w:r>
    </w:p>
    <w:p w14:paraId="669D2D7F" w14:textId="578EC7A0" w:rsidR="00620B6D" w:rsidRPr="00A1061F" w:rsidRDefault="00620B6D" w:rsidP="005B410D">
      <w:pPr>
        <w:spacing w:after="120"/>
        <w:rPr>
          <w:rFonts w:eastAsia="SimSun"/>
          <w:sz w:val="20"/>
          <w:szCs w:val="20"/>
          <w:lang w:eastAsia="en-GB"/>
        </w:rPr>
      </w:pPr>
      <w:r w:rsidRPr="00A1061F">
        <w:rPr>
          <w:rFonts w:eastAsia="SimSun"/>
          <w:noProof/>
          <w:sz w:val="20"/>
          <w:szCs w:val="20"/>
          <w:lang w:eastAsia="en-GB"/>
        </w:rPr>
        <w:drawing>
          <wp:inline distT="0" distB="0" distL="0" distR="0" wp14:anchorId="6D4B4E34" wp14:editId="644751F6">
            <wp:extent cx="5943600" cy="1827530"/>
            <wp:effectExtent l="12700" t="12700" r="12700" b="13970"/>
            <wp:docPr id="3" name="Picture 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 email&#10;&#10;Description automatically generated"/>
                    <pic:cNvPicPr/>
                  </pic:nvPicPr>
                  <pic:blipFill>
                    <a:blip r:embed="rId9"/>
                    <a:stretch>
                      <a:fillRect/>
                    </a:stretch>
                  </pic:blipFill>
                  <pic:spPr>
                    <a:xfrm>
                      <a:off x="0" y="0"/>
                      <a:ext cx="5943600" cy="1827530"/>
                    </a:xfrm>
                    <a:prstGeom prst="rect">
                      <a:avLst/>
                    </a:prstGeom>
                    <a:ln>
                      <a:solidFill>
                        <a:schemeClr val="tx1"/>
                      </a:solidFill>
                    </a:ln>
                  </pic:spPr>
                </pic:pic>
              </a:graphicData>
            </a:graphic>
          </wp:inline>
        </w:drawing>
      </w:r>
    </w:p>
    <w:p w14:paraId="1B8D1B25" w14:textId="0E3E35A1" w:rsidR="00620B6D" w:rsidRPr="00A1061F" w:rsidRDefault="00620B6D" w:rsidP="005B410D">
      <w:pPr>
        <w:spacing w:after="120"/>
        <w:rPr>
          <w:rFonts w:eastAsia="SimSun"/>
          <w:sz w:val="20"/>
          <w:szCs w:val="20"/>
          <w:lang w:eastAsia="en-GB"/>
        </w:rPr>
      </w:pPr>
      <w:r w:rsidRPr="00A1061F">
        <w:rPr>
          <w:rFonts w:eastAsia="SimSun"/>
          <w:sz w:val="20"/>
          <w:szCs w:val="20"/>
          <w:lang w:eastAsia="en-GB"/>
        </w:rPr>
        <w:t xml:space="preserve">Based on the above agreements in RAN1 and RAN#92e, the measurements on </w:t>
      </w:r>
      <w:r w:rsidR="001E669A" w:rsidRPr="00A1061F">
        <w:rPr>
          <w:rFonts w:eastAsia="SimSun"/>
          <w:sz w:val="20"/>
          <w:szCs w:val="20"/>
          <w:lang w:eastAsia="en-GB"/>
        </w:rPr>
        <w:t>non-serving</w:t>
      </w:r>
      <w:r w:rsidRPr="00A1061F">
        <w:rPr>
          <w:rFonts w:eastAsia="SimSun"/>
          <w:sz w:val="20"/>
          <w:szCs w:val="20"/>
          <w:lang w:eastAsia="en-GB"/>
        </w:rPr>
        <w:t xml:space="preserve"> cell are –</w:t>
      </w:r>
    </w:p>
    <w:p w14:paraId="4EB25C5C" w14:textId="5FDB70AE" w:rsidR="00620B6D" w:rsidRPr="00A1061F" w:rsidRDefault="00620B6D" w:rsidP="00620B6D">
      <w:pPr>
        <w:pStyle w:val="ListParagraph"/>
        <w:numPr>
          <w:ilvl w:val="0"/>
          <w:numId w:val="4"/>
        </w:numPr>
        <w:spacing w:after="120"/>
        <w:ind w:firstLineChars="0"/>
        <w:rPr>
          <w:rFonts w:ascii="Times New Roman" w:hAnsi="Times New Roman" w:cs="Times New Roman"/>
          <w:sz w:val="20"/>
          <w:szCs w:val="20"/>
          <w:lang w:eastAsia="en-GB"/>
        </w:rPr>
      </w:pPr>
      <w:r w:rsidRPr="00A1061F">
        <w:rPr>
          <w:rFonts w:ascii="Times New Roman" w:hAnsi="Times New Roman" w:cs="Times New Roman"/>
          <w:sz w:val="20"/>
          <w:szCs w:val="20"/>
          <w:lang w:eastAsia="en-GB"/>
        </w:rPr>
        <w:t>SSB based</w:t>
      </w:r>
    </w:p>
    <w:p w14:paraId="007EA8AB" w14:textId="147E692F" w:rsidR="00620B6D" w:rsidRPr="00A1061F" w:rsidRDefault="00620B6D" w:rsidP="00620B6D">
      <w:pPr>
        <w:pStyle w:val="ListParagraph"/>
        <w:numPr>
          <w:ilvl w:val="0"/>
          <w:numId w:val="4"/>
        </w:numPr>
        <w:spacing w:after="120"/>
        <w:ind w:firstLineChars="0"/>
        <w:rPr>
          <w:rFonts w:ascii="Times New Roman" w:hAnsi="Times New Roman" w:cs="Times New Roman"/>
          <w:sz w:val="20"/>
          <w:szCs w:val="20"/>
          <w:lang w:eastAsia="en-GB"/>
        </w:rPr>
      </w:pPr>
      <w:r w:rsidRPr="00A1061F">
        <w:rPr>
          <w:rFonts w:ascii="Times New Roman" w:hAnsi="Times New Roman" w:cs="Times New Roman"/>
          <w:sz w:val="20"/>
          <w:szCs w:val="20"/>
          <w:lang w:eastAsia="en-GB"/>
        </w:rPr>
        <w:t>Limited to measurements on same frequency la</w:t>
      </w:r>
      <w:r w:rsidR="001E669A" w:rsidRPr="00A1061F">
        <w:rPr>
          <w:rFonts w:ascii="Times New Roman" w:hAnsi="Times New Roman" w:cs="Times New Roman"/>
          <w:sz w:val="20"/>
          <w:szCs w:val="20"/>
          <w:lang w:eastAsia="en-GB"/>
        </w:rPr>
        <w:t>y</w:t>
      </w:r>
      <w:r w:rsidRPr="00A1061F">
        <w:rPr>
          <w:rFonts w:ascii="Times New Roman" w:hAnsi="Times New Roman" w:cs="Times New Roman"/>
          <w:sz w:val="20"/>
          <w:szCs w:val="20"/>
          <w:lang w:eastAsia="en-GB"/>
        </w:rPr>
        <w:t>er/ intra-frequency measurements</w:t>
      </w:r>
    </w:p>
    <w:p w14:paraId="31D432E5" w14:textId="5D404BC3" w:rsidR="00620B6D" w:rsidRPr="00A1061F" w:rsidRDefault="00620B6D" w:rsidP="00620B6D">
      <w:pPr>
        <w:pStyle w:val="ListParagraph"/>
        <w:numPr>
          <w:ilvl w:val="0"/>
          <w:numId w:val="4"/>
        </w:numPr>
        <w:spacing w:after="120"/>
        <w:ind w:firstLineChars="0"/>
        <w:rPr>
          <w:rFonts w:ascii="Times New Roman" w:hAnsi="Times New Roman" w:cs="Times New Roman"/>
          <w:sz w:val="20"/>
          <w:szCs w:val="20"/>
          <w:lang w:eastAsia="en-GB"/>
        </w:rPr>
      </w:pPr>
      <w:r w:rsidRPr="00A1061F">
        <w:rPr>
          <w:rFonts w:ascii="Times New Roman" w:hAnsi="Times New Roman" w:cs="Times New Roman"/>
          <w:sz w:val="20"/>
          <w:szCs w:val="20"/>
          <w:lang w:eastAsia="en-GB"/>
        </w:rPr>
        <w:t>L1-RSRP based measurements</w:t>
      </w:r>
    </w:p>
    <w:p w14:paraId="06A76CA8" w14:textId="52B2273C" w:rsidR="00620B6D" w:rsidRPr="00A1061F" w:rsidRDefault="001E669A" w:rsidP="00620B6D">
      <w:pPr>
        <w:spacing w:after="120"/>
        <w:rPr>
          <w:sz w:val="20"/>
          <w:szCs w:val="20"/>
          <w:lang w:eastAsia="en-GB"/>
        </w:rPr>
      </w:pPr>
      <w:r w:rsidRPr="00A1061F">
        <w:rPr>
          <w:sz w:val="20"/>
          <w:szCs w:val="20"/>
          <w:lang w:eastAsia="en-GB"/>
        </w:rPr>
        <w:t xml:space="preserve">It is still FSS if CSI-RS based measurements are supported and if the measurements are limited to SMTC. </w:t>
      </w:r>
    </w:p>
    <w:p w14:paraId="4CC2EF87" w14:textId="684AD21E" w:rsidR="00DB0B5C" w:rsidRPr="00A1061F" w:rsidRDefault="00DB0B5C" w:rsidP="00620B6D">
      <w:pPr>
        <w:spacing w:after="120"/>
        <w:rPr>
          <w:i/>
          <w:iCs/>
          <w:sz w:val="20"/>
          <w:szCs w:val="20"/>
          <w:lang w:eastAsia="en-GB"/>
        </w:rPr>
      </w:pPr>
      <w:r w:rsidRPr="00A1061F">
        <w:rPr>
          <w:b/>
          <w:bCs/>
          <w:i/>
          <w:iCs/>
          <w:sz w:val="20"/>
          <w:szCs w:val="20"/>
          <w:lang w:eastAsia="en-GB"/>
        </w:rPr>
        <w:t>Observation #</w:t>
      </w:r>
      <w:r w:rsidR="008F1F89">
        <w:rPr>
          <w:b/>
          <w:bCs/>
          <w:i/>
          <w:iCs/>
          <w:sz w:val="20"/>
          <w:szCs w:val="20"/>
          <w:lang w:eastAsia="en-GB"/>
        </w:rPr>
        <w:t>2</w:t>
      </w:r>
      <w:r w:rsidRPr="00A1061F">
        <w:rPr>
          <w:b/>
          <w:bCs/>
          <w:i/>
          <w:iCs/>
          <w:sz w:val="20"/>
          <w:szCs w:val="20"/>
          <w:lang w:eastAsia="en-GB"/>
        </w:rPr>
        <w:t xml:space="preserve">: </w:t>
      </w:r>
      <w:r w:rsidRPr="00A1061F">
        <w:rPr>
          <w:i/>
          <w:iCs/>
          <w:sz w:val="20"/>
          <w:szCs w:val="20"/>
          <w:lang w:eastAsia="en-GB"/>
        </w:rPr>
        <w:t xml:space="preserve">Based on current agreements in RAN1 and RAN Plenary, neighbor cell measurements to support L1/L2 centric mobility are SSB based intra-frequency L1-RSRP measurements. </w:t>
      </w:r>
    </w:p>
    <w:p w14:paraId="179817B2" w14:textId="35187A9F" w:rsidR="00EF4BAC" w:rsidRPr="00A1061F" w:rsidRDefault="00DB0B5C" w:rsidP="00620B6D">
      <w:pPr>
        <w:spacing w:after="120"/>
        <w:rPr>
          <w:sz w:val="20"/>
          <w:szCs w:val="20"/>
          <w:lang w:eastAsia="en-GB"/>
        </w:rPr>
      </w:pPr>
      <w:r w:rsidRPr="00A1061F">
        <w:rPr>
          <w:sz w:val="20"/>
          <w:szCs w:val="20"/>
          <w:lang w:eastAsia="en-GB"/>
        </w:rPr>
        <w:lastRenderedPageBreak/>
        <w:t xml:space="preserve">Firstly, we would like to discuss SSB based L1-RSRP measurements for </w:t>
      </w:r>
      <w:r w:rsidR="00A1061F" w:rsidRPr="00A1061F">
        <w:rPr>
          <w:sz w:val="20"/>
          <w:szCs w:val="20"/>
          <w:lang w:eastAsia="en-GB"/>
        </w:rPr>
        <w:t>neighbor</w:t>
      </w:r>
      <w:r w:rsidRPr="00A1061F">
        <w:rPr>
          <w:sz w:val="20"/>
          <w:szCs w:val="20"/>
          <w:lang w:eastAsia="en-GB"/>
        </w:rPr>
        <w:t xml:space="preserve"> cell. RAN4 needs to specify:</w:t>
      </w:r>
    </w:p>
    <w:p w14:paraId="13D24EC8" w14:textId="6746EEED" w:rsidR="00DB0B5C" w:rsidRPr="00A1061F" w:rsidRDefault="00DB0B5C" w:rsidP="00DB0B5C">
      <w:pPr>
        <w:pStyle w:val="ListParagraph"/>
        <w:numPr>
          <w:ilvl w:val="0"/>
          <w:numId w:val="5"/>
        </w:numPr>
        <w:spacing w:after="120"/>
        <w:ind w:firstLineChars="0"/>
        <w:rPr>
          <w:rFonts w:ascii="Times New Roman" w:hAnsi="Times New Roman" w:cs="Times New Roman"/>
          <w:sz w:val="20"/>
          <w:szCs w:val="20"/>
          <w:lang w:eastAsia="en-GB"/>
        </w:rPr>
      </w:pPr>
      <w:r w:rsidRPr="00A1061F">
        <w:rPr>
          <w:rFonts w:ascii="Times New Roman" w:hAnsi="Times New Roman" w:cs="Times New Roman"/>
          <w:sz w:val="20"/>
          <w:szCs w:val="20"/>
          <w:lang w:eastAsia="en-GB"/>
        </w:rPr>
        <w:t>Measurement period</w:t>
      </w:r>
    </w:p>
    <w:p w14:paraId="2748E9BE" w14:textId="6A982AF2" w:rsidR="00DB0B5C" w:rsidRPr="00A1061F" w:rsidRDefault="00DB0B5C" w:rsidP="00DB0B5C">
      <w:pPr>
        <w:pStyle w:val="ListParagraph"/>
        <w:numPr>
          <w:ilvl w:val="0"/>
          <w:numId w:val="5"/>
        </w:numPr>
        <w:spacing w:after="120"/>
        <w:ind w:firstLineChars="0"/>
        <w:rPr>
          <w:rFonts w:ascii="Times New Roman" w:hAnsi="Times New Roman" w:cs="Times New Roman"/>
          <w:sz w:val="20"/>
          <w:szCs w:val="20"/>
          <w:lang w:eastAsia="en-GB"/>
        </w:rPr>
      </w:pPr>
      <w:r w:rsidRPr="00A1061F">
        <w:rPr>
          <w:rFonts w:ascii="Times New Roman" w:hAnsi="Times New Roman" w:cs="Times New Roman"/>
          <w:sz w:val="20"/>
          <w:szCs w:val="20"/>
          <w:lang w:eastAsia="en-GB"/>
        </w:rPr>
        <w:t>Measurement restriction</w:t>
      </w:r>
    </w:p>
    <w:p w14:paraId="6AB46512" w14:textId="03F90E73" w:rsidR="00DB0B5C" w:rsidRPr="00A1061F" w:rsidRDefault="00DB0B5C" w:rsidP="00DB0B5C">
      <w:pPr>
        <w:pStyle w:val="ListParagraph"/>
        <w:numPr>
          <w:ilvl w:val="0"/>
          <w:numId w:val="5"/>
        </w:numPr>
        <w:spacing w:after="120"/>
        <w:ind w:firstLineChars="0"/>
        <w:rPr>
          <w:rFonts w:ascii="Times New Roman" w:hAnsi="Times New Roman" w:cs="Times New Roman"/>
          <w:sz w:val="20"/>
          <w:szCs w:val="20"/>
          <w:lang w:eastAsia="en-GB"/>
        </w:rPr>
      </w:pPr>
      <w:r w:rsidRPr="00A1061F">
        <w:rPr>
          <w:rFonts w:ascii="Times New Roman" w:hAnsi="Times New Roman" w:cs="Times New Roman"/>
          <w:sz w:val="20"/>
          <w:szCs w:val="20"/>
          <w:lang w:eastAsia="en-GB"/>
        </w:rPr>
        <w:t>Scheduling restriction</w:t>
      </w:r>
    </w:p>
    <w:p w14:paraId="6EBC5C41" w14:textId="555CAFA5" w:rsidR="00530462" w:rsidRDefault="00530462" w:rsidP="00DB0B5C">
      <w:pPr>
        <w:spacing w:after="120"/>
        <w:rPr>
          <w:b/>
          <w:bCs/>
          <w:sz w:val="20"/>
          <w:szCs w:val="20"/>
          <w:lang w:eastAsia="en-GB"/>
        </w:rPr>
      </w:pPr>
      <w:r>
        <w:rPr>
          <w:b/>
          <w:bCs/>
          <w:sz w:val="20"/>
          <w:szCs w:val="20"/>
          <w:lang w:eastAsia="en-GB"/>
        </w:rPr>
        <w:t>Proposal #</w:t>
      </w:r>
      <w:r w:rsidR="008F1F89">
        <w:rPr>
          <w:b/>
          <w:bCs/>
          <w:sz w:val="20"/>
          <w:szCs w:val="20"/>
          <w:lang w:eastAsia="en-GB"/>
        </w:rPr>
        <w:t>4</w:t>
      </w:r>
      <w:r>
        <w:rPr>
          <w:b/>
          <w:bCs/>
          <w:sz w:val="20"/>
          <w:szCs w:val="20"/>
          <w:lang w:eastAsia="en-GB"/>
        </w:rPr>
        <w:t xml:space="preserve">: RAN4 should define (1) </w:t>
      </w:r>
      <w:r w:rsidRPr="00530462">
        <w:rPr>
          <w:b/>
          <w:bCs/>
          <w:sz w:val="20"/>
          <w:szCs w:val="20"/>
          <w:lang w:eastAsia="en-GB"/>
        </w:rPr>
        <w:t>Measurement period</w:t>
      </w:r>
      <w:r>
        <w:rPr>
          <w:b/>
          <w:bCs/>
          <w:sz w:val="20"/>
          <w:szCs w:val="20"/>
          <w:lang w:eastAsia="en-GB"/>
        </w:rPr>
        <w:t xml:space="preserve">, (2) </w:t>
      </w:r>
      <w:r w:rsidRPr="00530462">
        <w:rPr>
          <w:b/>
          <w:bCs/>
          <w:sz w:val="20"/>
          <w:szCs w:val="20"/>
          <w:lang w:eastAsia="en-GB"/>
        </w:rPr>
        <w:t>Measurement restriction</w:t>
      </w:r>
      <w:r>
        <w:rPr>
          <w:b/>
          <w:bCs/>
          <w:sz w:val="20"/>
          <w:szCs w:val="20"/>
          <w:lang w:eastAsia="en-GB"/>
        </w:rPr>
        <w:t xml:space="preserve"> and (3) Scheduling restriction for </w:t>
      </w:r>
      <w:r w:rsidRPr="00530462">
        <w:rPr>
          <w:b/>
          <w:bCs/>
          <w:sz w:val="20"/>
          <w:szCs w:val="20"/>
          <w:lang w:eastAsia="en-GB"/>
        </w:rPr>
        <w:t xml:space="preserve">SSB based L1-RSRP measurements </w:t>
      </w:r>
      <w:r>
        <w:rPr>
          <w:b/>
          <w:bCs/>
          <w:sz w:val="20"/>
          <w:szCs w:val="20"/>
          <w:lang w:eastAsia="en-GB"/>
        </w:rPr>
        <w:t>on</w:t>
      </w:r>
      <w:r w:rsidRPr="00530462">
        <w:rPr>
          <w:b/>
          <w:bCs/>
          <w:sz w:val="20"/>
          <w:szCs w:val="20"/>
          <w:lang w:eastAsia="en-GB"/>
        </w:rPr>
        <w:t xml:space="preserve"> neighbor cell</w:t>
      </w:r>
      <w:r>
        <w:rPr>
          <w:b/>
          <w:bCs/>
          <w:sz w:val="20"/>
          <w:szCs w:val="20"/>
          <w:lang w:eastAsia="en-GB"/>
        </w:rPr>
        <w:t>.</w:t>
      </w:r>
    </w:p>
    <w:p w14:paraId="5822757D" w14:textId="3D022589" w:rsidR="00530462" w:rsidRDefault="00530462" w:rsidP="00DB0B5C">
      <w:pPr>
        <w:spacing w:after="120"/>
        <w:rPr>
          <w:b/>
          <w:bCs/>
          <w:sz w:val="20"/>
          <w:szCs w:val="20"/>
          <w:lang w:eastAsia="en-GB"/>
        </w:rPr>
      </w:pPr>
    </w:p>
    <w:p w14:paraId="1666CC8B" w14:textId="3A3543AE" w:rsidR="00530462" w:rsidRPr="007B7ADE" w:rsidRDefault="00530462" w:rsidP="00DB0B5C">
      <w:pPr>
        <w:spacing w:after="120"/>
        <w:rPr>
          <w:b/>
          <w:bCs/>
          <w:sz w:val="22"/>
          <w:szCs w:val="22"/>
          <w:u w:val="single"/>
          <w:lang w:eastAsia="en-GB"/>
        </w:rPr>
      </w:pPr>
      <w:r w:rsidRPr="007B7ADE">
        <w:rPr>
          <w:b/>
          <w:bCs/>
          <w:sz w:val="22"/>
          <w:szCs w:val="22"/>
          <w:u w:val="single"/>
          <w:lang w:eastAsia="en-GB"/>
        </w:rPr>
        <w:t>Measurement period</w:t>
      </w:r>
    </w:p>
    <w:p w14:paraId="28722F5F" w14:textId="6E617140" w:rsidR="00530462" w:rsidRDefault="00157E83" w:rsidP="00DB0B5C">
      <w:pPr>
        <w:spacing w:after="120"/>
        <w:rPr>
          <w:sz w:val="20"/>
          <w:szCs w:val="20"/>
          <w:lang w:eastAsia="en-GB"/>
        </w:rPr>
      </w:pPr>
      <w:r w:rsidRPr="00157E83">
        <w:rPr>
          <w:sz w:val="20"/>
          <w:szCs w:val="20"/>
          <w:lang w:eastAsia="en-GB"/>
        </w:rPr>
        <w:t xml:space="preserve">The measurement period </w:t>
      </w:r>
      <w:r>
        <w:rPr>
          <w:sz w:val="20"/>
          <w:szCs w:val="20"/>
          <w:lang w:eastAsia="en-GB"/>
        </w:rPr>
        <w:t xml:space="preserve">for neighbor cell L1-RSRP measurements could be based on the existing serving cell L1-RSRP measurements for FR1 and FR2.   </w:t>
      </w:r>
    </w:p>
    <w:p w14:paraId="2B42A846" w14:textId="10CF2A7E" w:rsidR="003F6B53" w:rsidRPr="003F6B53" w:rsidRDefault="003F6B53" w:rsidP="00DB0B5C">
      <w:pPr>
        <w:spacing w:after="120"/>
        <w:rPr>
          <w:b/>
          <w:bCs/>
          <w:sz w:val="20"/>
          <w:szCs w:val="20"/>
          <w:lang w:eastAsia="en-GB"/>
        </w:rPr>
      </w:pPr>
      <w:r>
        <w:rPr>
          <w:b/>
          <w:bCs/>
          <w:sz w:val="20"/>
          <w:szCs w:val="20"/>
          <w:lang w:eastAsia="en-GB"/>
        </w:rPr>
        <w:t>Proposal #</w:t>
      </w:r>
      <w:r w:rsidR="008F1F89">
        <w:rPr>
          <w:b/>
          <w:bCs/>
          <w:sz w:val="20"/>
          <w:szCs w:val="20"/>
          <w:lang w:eastAsia="en-GB"/>
        </w:rPr>
        <w:t>5</w:t>
      </w:r>
      <w:r>
        <w:rPr>
          <w:b/>
          <w:bCs/>
          <w:sz w:val="20"/>
          <w:szCs w:val="20"/>
          <w:lang w:eastAsia="en-GB"/>
        </w:rPr>
        <w:t xml:space="preserve">: Define SSB based L1-RSRP measurement period for neighbor cell </w:t>
      </w:r>
      <w:proofErr w:type="gramStart"/>
      <w:r>
        <w:rPr>
          <w:b/>
          <w:bCs/>
          <w:sz w:val="20"/>
          <w:szCs w:val="20"/>
          <w:lang w:eastAsia="en-GB"/>
        </w:rPr>
        <w:t>similar to</w:t>
      </w:r>
      <w:proofErr w:type="gramEnd"/>
      <w:r>
        <w:rPr>
          <w:b/>
          <w:bCs/>
          <w:sz w:val="20"/>
          <w:szCs w:val="20"/>
          <w:lang w:eastAsia="en-GB"/>
        </w:rPr>
        <w:t xml:space="preserve"> existing serving cell requirements. </w:t>
      </w:r>
    </w:p>
    <w:p w14:paraId="634A5F49" w14:textId="255406B8" w:rsidR="00157E83" w:rsidRDefault="003F6B53" w:rsidP="00DB0B5C">
      <w:pPr>
        <w:spacing w:after="120"/>
        <w:rPr>
          <w:sz w:val="20"/>
          <w:szCs w:val="20"/>
          <w:lang w:eastAsia="en-GB"/>
        </w:rPr>
      </w:pPr>
      <w:r>
        <w:rPr>
          <w:sz w:val="20"/>
          <w:szCs w:val="20"/>
          <w:lang w:eastAsia="en-GB"/>
        </w:rPr>
        <w:t xml:space="preserve">The measurement period on neighbor cell for FR1 and FR2 could be defined as: </w:t>
      </w:r>
    </w:p>
    <w:p w14:paraId="22D824A8" w14:textId="2B164DE8" w:rsidR="00157E83" w:rsidRPr="009C5807" w:rsidRDefault="00157E83" w:rsidP="00157E83">
      <w:pPr>
        <w:pStyle w:val="TH"/>
      </w:pPr>
      <w:r w:rsidRPr="009C5807">
        <w:t>Measurement period T</w:t>
      </w:r>
      <w:r w:rsidRPr="009C5807">
        <w:rPr>
          <w:vertAlign w:val="subscript"/>
        </w:rPr>
        <w:t>L1-RSRP_</w:t>
      </w:r>
      <w:r>
        <w:rPr>
          <w:vertAlign w:val="subscript"/>
        </w:rPr>
        <w:t>Neighbor_</w:t>
      </w:r>
      <w:r w:rsidRPr="009C5807">
        <w:rPr>
          <w:vertAlign w:val="subscript"/>
        </w:rPr>
        <w:t>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57E83" w:rsidRPr="009C5807" w14:paraId="61F9D4A4" w14:textId="77777777" w:rsidTr="008772D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9030D62" w14:textId="77777777" w:rsidR="00157E83" w:rsidRPr="009C5807" w:rsidRDefault="00157E83" w:rsidP="008772D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52545F6" w14:textId="1ADF2692" w:rsidR="00157E83" w:rsidRPr="009C5807" w:rsidRDefault="00157E83" w:rsidP="008772DA">
            <w:pPr>
              <w:pStyle w:val="TAH"/>
            </w:pPr>
            <w:r w:rsidRPr="009C5807">
              <w:t>T</w:t>
            </w:r>
            <w:r w:rsidRPr="009C5807">
              <w:rPr>
                <w:vertAlign w:val="subscript"/>
              </w:rPr>
              <w:t>L1-RSRP_</w:t>
            </w:r>
            <w:r>
              <w:rPr>
                <w:vertAlign w:val="subscript"/>
              </w:rPr>
              <w:t>Neighbor_</w:t>
            </w:r>
            <w:r w:rsidRPr="009C5807">
              <w:rPr>
                <w:vertAlign w:val="subscript"/>
              </w:rPr>
              <w:t>Measurement_Period_SSB</w:t>
            </w:r>
            <w:r w:rsidRPr="009C5807">
              <w:t xml:space="preserve"> (</w:t>
            </w:r>
            <w:proofErr w:type="spellStart"/>
            <w:r w:rsidRPr="009C5807">
              <w:t>ms</w:t>
            </w:r>
            <w:proofErr w:type="spellEnd"/>
            <w:r w:rsidRPr="009C5807">
              <w:t xml:space="preserve">) </w:t>
            </w:r>
          </w:p>
        </w:tc>
      </w:tr>
      <w:tr w:rsidR="00157E83" w:rsidRPr="009C5807" w14:paraId="07A28E4C" w14:textId="77777777" w:rsidTr="008772D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5F9575" w14:textId="77777777" w:rsidR="00157E83" w:rsidRPr="009C5807" w:rsidRDefault="00157E83" w:rsidP="008772D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5F58957" w14:textId="7C85C021" w:rsidR="00157E83" w:rsidRPr="009C5807" w:rsidRDefault="00157E83" w:rsidP="008772DA">
            <w:pPr>
              <w:pStyle w:val="TAC"/>
            </w:pPr>
            <w:proofErr w:type="gramStart"/>
            <w:r w:rsidRPr="009C5807">
              <w:t>max(</w:t>
            </w:r>
            <w:proofErr w:type="spellStart"/>
            <w:proofErr w:type="gramEnd"/>
            <w:r w:rsidRPr="009C5807">
              <w:t>T</w:t>
            </w:r>
            <w:r w:rsidRPr="009C5807">
              <w:rPr>
                <w:vertAlign w:val="subscript"/>
              </w:rPr>
              <w:t>Report</w:t>
            </w:r>
            <w:proofErr w:type="spellEnd"/>
            <w:r w:rsidRPr="009C5807">
              <w:t>, ceil(M*P)*</w:t>
            </w:r>
            <w:proofErr w:type="spellStart"/>
            <w:r w:rsidRPr="009C5807">
              <w:t>T</w:t>
            </w:r>
            <w:r w:rsidRPr="009C5807">
              <w:rPr>
                <w:vertAlign w:val="subscript"/>
              </w:rPr>
              <w:t>SSB</w:t>
            </w:r>
            <w:r>
              <w:rPr>
                <w:vertAlign w:val="subscript"/>
              </w:rPr>
              <w:t>_neighbor</w:t>
            </w:r>
            <w:proofErr w:type="spellEnd"/>
            <w:r w:rsidRPr="009C5807">
              <w:t>)</w:t>
            </w:r>
          </w:p>
        </w:tc>
      </w:tr>
      <w:tr w:rsidR="00157E83" w:rsidRPr="009C5807" w14:paraId="3EE03F10" w14:textId="77777777" w:rsidTr="008772D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239BC3A" w14:textId="77777777" w:rsidR="00157E83" w:rsidRPr="009C5807" w:rsidRDefault="00157E83" w:rsidP="008772D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BF69C89" w14:textId="382400CF" w:rsidR="00157E83" w:rsidRPr="009C5807" w:rsidRDefault="00157E83" w:rsidP="008772DA">
            <w:pPr>
              <w:pStyle w:val="TAC"/>
            </w:pPr>
            <w:proofErr w:type="gramStart"/>
            <w:r w:rsidRPr="009C5807">
              <w:t>max(</w:t>
            </w:r>
            <w:proofErr w:type="spellStart"/>
            <w:proofErr w:type="gramEnd"/>
            <w:r w:rsidRPr="009C5807">
              <w:t>T</w:t>
            </w:r>
            <w:r w:rsidRPr="009C5807">
              <w:rPr>
                <w:vertAlign w:val="subscript"/>
              </w:rPr>
              <w:t>Report</w:t>
            </w:r>
            <w:proofErr w:type="spellEnd"/>
            <w:r w:rsidRPr="009C5807">
              <w:t>, ceil(</w:t>
            </w:r>
            <w:r>
              <w:t>K</w:t>
            </w:r>
            <w:r w:rsidRPr="009C5807">
              <w:t xml:space="preserve"> *M*P)*max(</w:t>
            </w:r>
            <w:proofErr w:type="spellStart"/>
            <w:r w:rsidRPr="009C5807">
              <w:t>T</w:t>
            </w:r>
            <w:r w:rsidRPr="009C5807">
              <w:rPr>
                <w:vertAlign w:val="subscript"/>
              </w:rPr>
              <w:t>DRX</w:t>
            </w:r>
            <w:r w:rsidRPr="009C5807">
              <w:t>,T</w:t>
            </w:r>
            <w:r w:rsidRPr="009C5807">
              <w:rPr>
                <w:vertAlign w:val="subscript"/>
              </w:rPr>
              <w:t>SSB</w:t>
            </w:r>
            <w:r>
              <w:rPr>
                <w:vertAlign w:val="subscript"/>
              </w:rPr>
              <w:t>_neighbor</w:t>
            </w:r>
            <w:proofErr w:type="spellEnd"/>
            <w:r w:rsidRPr="009C5807">
              <w:t>))</w:t>
            </w:r>
          </w:p>
        </w:tc>
      </w:tr>
      <w:tr w:rsidR="00157E83" w:rsidRPr="009C5807" w14:paraId="61F321E8" w14:textId="77777777" w:rsidTr="008772D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E02CFE" w14:textId="77777777" w:rsidR="00157E83" w:rsidRPr="009C5807" w:rsidRDefault="00157E83" w:rsidP="008772D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22AE07F" w14:textId="77777777" w:rsidR="00157E83" w:rsidRPr="009C5807" w:rsidRDefault="00157E83" w:rsidP="008772DA">
            <w:pPr>
              <w:pStyle w:val="TAC"/>
            </w:pPr>
            <w:r w:rsidRPr="009C5807">
              <w:t>ceil(M*</w:t>
            </w:r>
            <w:proofErr w:type="gramStart"/>
            <w:r w:rsidRPr="009C5807">
              <w:t>P)*</w:t>
            </w:r>
            <w:proofErr w:type="gramEnd"/>
            <w:r w:rsidRPr="009C5807">
              <w:t>T</w:t>
            </w:r>
            <w:r w:rsidRPr="009C5807">
              <w:rPr>
                <w:vertAlign w:val="subscript"/>
              </w:rPr>
              <w:t>DRX</w:t>
            </w:r>
          </w:p>
        </w:tc>
      </w:tr>
      <w:tr w:rsidR="00157E83" w:rsidRPr="009C5807" w14:paraId="0ED0AFDF" w14:textId="77777777" w:rsidTr="008772D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689CD8" w14:textId="39F07645" w:rsidR="00157E83" w:rsidRDefault="00157E83" w:rsidP="008772DA">
            <w:pPr>
              <w:pStyle w:val="TAN"/>
            </w:pPr>
            <w:r>
              <w:t>Note 1:</w:t>
            </w:r>
            <w:r>
              <w:tab/>
            </w:r>
            <w:proofErr w:type="spellStart"/>
            <w:r>
              <w:rPr>
                <w:rFonts w:cs="v4.2.0"/>
              </w:rPr>
              <w:t>T</w:t>
            </w:r>
            <w:r>
              <w:rPr>
                <w:rFonts w:cs="v4.2.0"/>
                <w:vertAlign w:val="subscript"/>
              </w:rPr>
              <w:t>SSB_neighbor</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60F0BEB2" w14:textId="23CCC648" w:rsidR="00157E83" w:rsidRPr="000C77DD" w:rsidRDefault="00157E83" w:rsidP="00157E83">
            <w:pPr>
              <w:pStyle w:val="TAN"/>
            </w:pPr>
            <w:r>
              <w:t>Note 2:</w:t>
            </w:r>
            <w:r>
              <w:tab/>
              <w:t>K = 1 when T</w:t>
            </w:r>
            <w:r>
              <w:rPr>
                <w:vertAlign w:val="subscript"/>
              </w:rPr>
              <w:t>SSB</w:t>
            </w:r>
            <w:r>
              <w:t xml:space="preserve"> ≤ 40 </w:t>
            </w:r>
            <w:proofErr w:type="spellStart"/>
            <w:r>
              <w:t>ms</w:t>
            </w:r>
            <w:proofErr w:type="spellEnd"/>
            <w:r>
              <w:t xml:space="preserve"> and </w:t>
            </w:r>
            <w:r>
              <w:rPr>
                <w:i/>
                <w:iCs/>
              </w:rPr>
              <w:t>highSpeedMeasFlag-r16</w:t>
            </w:r>
            <w:r>
              <w:t xml:space="preserve"> are configured; </w:t>
            </w:r>
            <w:proofErr w:type="gramStart"/>
            <w:r>
              <w:t>otherwise</w:t>
            </w:r>
            <w:proofErr w:type="gramEnd"/>
            <w:r>
              <w:t xml:space="preserve"> K = 1.5.</w:t>
            </w:r>
          </w:p>
        </w:tc>
      </w:tr>
    </w:tbl>
    <w:p w14:paraId="393434BE" w14:textId="6D688E58" w:rsidR="00157E83" w:rsidRDefault="00157E83" w:rsidP="00DB0B5C">
      <w:pPr>
        <w:spacing w:after="120"/>
        <w:rPr>
          <w:sz w:val="20"/>
          <w:szCs w:val="20"/>
          <w:lang w:eastAsia="en-GB"/>
        </w:rPr>
      </w:pPr>
    </w:p>
    <w:p w14:paraId="5FC701C3" w14:textId="48430078" w:rsidR="00157E83" w:rsidRPr="009C5807" w:rsidRDefault="00157E83" w:rsidP="00157E83">
      <w:pPr>
        <w:pStyle w:val="TH"/>
      </w:pPr>
      <w:r w:rsidRPr="009C5807">
        <w:t>Measurement period T</w:t>
      </w:r>
      <w:r w:rsidRPr="009C5807">
        <w:rPr>
          <w:vertAlign w:val="subscript"/>
        </w:rPr>
        <w:t>L1-RSRP_</w:t>
      </w:r>
      <w:r>
        <w:rPr>
          <w:vertAlign w:val="subscript"/>
        </w:rPr>
        <w:t>Neighbor_</w:t>
      </w:r>
      <w:r w:rsidRPr="009C5807">
        <w:rPr>
          <w:vertAlign w:val="subscript"/>
        </w:rPr>
        <w:t>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57E83" w:rsidRPr="009C5807" w14:paraId="23E2A5B1" w14:textId="77777777" w:rsidTr="008772DA">
        <w:trPr>
          <w:jc w:val="center"/>
        </w:trPr>
        <w:tc>
          <w:tcPr>
            <w:tcW w:w="2035" w:type="dxa"/>
            <w:tcBorders>
              <w:top w:val="single" w:sz="4" w:space="0" w:color="auto"/>
              <w:left w:val="single" w:sz="4" w:space="0" w:color="auto"/>
              <w:bottom w:val="single" w:sz="4" w:space="0" w:color="auto"/>
              <w:right w:val="single" w:sz="4" w:space="0" w:color="auto"/>
            </w:tcBorders>
            <w:hideMark/>
          </w:tcPr>
          <w:p w14:paraId="709B8794" w14:textId="77777777" w:rsidR="00157E83" w:rsidRPr="009C5807" w:rsidRDefault="00157E83" w:rsidP="008772D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9AD2EA1" w14:textId="2299FF67" w:rsidR="00157E83" w:rsidRPr="009C5807" w:rsidRDefault="00157E83" w:rsidP="008772DA">
            <w:pPr>
              <w:pStyle w:val="TAH"/>
            </w:pPr>
            <w:r w:rsidRPr="009C5807">
              <w:t>T</w:t>
            </w:r>
            <w:r w:rsidRPr="009C5807">
              <w:rPr>
                <w:vertAlign w:val="subscript"/>
              </w:rPr>
              <w:t>L1-RSRP_</w:t>
            </w:r>
            <w:r>
              <w:rPr>
                <w:vertAlign w:val="subscript"/>
              </w:rPr>
              <w:t>Neighbor_</w:t>
            </w:r>
            <w:r w:rsidRPr="009C5807">
              <w:rPr>
                <w:vertAlign w:val="subscript"/>
              </w:rPr>
              <w:t>Measurement_Period_SSB</w:t>
            </w:r>
            <w:r w:rsidRPr="009C5807">
              <w:t xml:space="preserve"> (</w:t>
            </w:r>
            <w:proofErr w:type="spellStart"/>
            <w:r w:rsidRPr="009C5807">
              <w:t>ms</w:t>
            </w:r>
            <w:proofErr w:type="spellEnd"/>
            <w:r w:rsidRPr="009C5807">
              <w:t xml:space="preserve">) </w:t>
            </w:r>
          </w:p>
        </w:tc>
      </w:tr>
      <w:tr w:rsidR="00157E83" w:rsidRPr="009C5807" w14:paraId="1443D073" w14:textId="77777777" w:rsidTr="008772DA">
        <w:trPr>
          <w:jc w:val="center"/>
        </w:trPr>
        <w:tc>
          <w:tcPr>
            <w:tcW w:w="2035" w:type="dxa"/>
            <w:tcBorders>
              <w:top w:val="single" w:sz="4" w:space="0" w:color="auto"/>
              <w:left w:val="single" w:sz="4" w:space="0" w:color="auto"/>
              <w:bottom w:val="single" w:sz="4" w:space="0" w:color="auto"/>
              <w:right w:val="single" w:sz="4" w:space="0" w:color="auto"/>
            </w:tcBorders>
            <w:hideMark/>
          </w:tcPr>
          <w:p w14:paraId="48FB2A8D" w14:textId="77777777" w:rsidR="00157E83" w:rsidRPr="009C5807" w:rsidRDefault="00157E83" w:rsidP="008772D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69C465A" w14:textId="2BA2E30A" w:rsidR="00157E83" w:rsidRPr="009C5807" w:rsidRDefault="00157E83" w:rsidP="008772DA">
            <w:pPr>
              <w:pStyle w:val="TAC"/>
            </w:pPr>
            <w:proofErr w:type="gramStart"/>
            <w:r w:rsidRPr="009C5807">
              <w:rPr>
                <w:rFonts w:cs="v4.2.0"/>
              </w:rPr>
              <w:t>max(</w:t>
            </w:r>
            <w:proofErr w:type="spellStart"/>
            <w:proofErr w:type="gramEnd"/>
            <w:r w:rsidRPr="009C5807">
              <w:rPr>
                <w:rFonts w:cs="v4.2.0"/>
              </w:rPr>
              <w:t>T</w:t>
            </w:r>
            <w:r w:rsidRPr="009C5807">
              <w:rPr>
                <w:rFonts w:cs="v4.2.0"/>
                <w:vertAlign w:val="subscript"/>
              </w:rPr>
              <w:t>Report</w:t>
            </w:r>
            <w:proofErr w:type="spellEnd"/>
            <w:r w:rsidRPr="009C5807">
              <w:rPr>
                <w:rFonts w:cs="v4.2.0"/>
              </w:rPr>
              <w:t>, ceil(M*P*N)*</w:t>
            </w:r>
            <w:proofErr w:type="spellStart"/>
            <w:r w:rsidRPr="009C5807">
              <w:rPr>
                <w:rFonts w:cs="v4.2.0"/>
              </w:rPr>
              <w:t>T</w:t>
            </w:r>
            <w:r w:rsidRPr="009C5807">
              <w:rPr>
                <w:rFonts w:cs="v4.2.0"/>
                <w:vertAlign w:val="subscript"/>
              </w:rPr>
              <w:t>SSB</w:t>
            </w:r>
            <w:r>
              <w:rPr>
                <w:rFonts w:cs="v4.2.0"/>
                <w:vertAlign w:val="subscript"/>
              </w:rPr>
              <w:t>_neighbor</w:t>
            </w:r>
            <w:proofErr w:type="spellEnd"/>
            <w:r w:rsidRPr="009C5807">
              <w:rPr>
                <w:rFonts w:cs="v4.2.0"/>
              </w:rPr>
              <w:t>)</w:t>
            </w:r>
          </w:p>
        </w:tc>
      </w:tr>
      <w:tr w:rsidR="00157E83" w:rsidRPr="009C5807" w14:paraId="225BEA85" w14:textId="77777777" w:rsidTr="008772DA">
        <w:trPr>
          <w:jc w:val="center"/>
        </w:trPr>
        <w:tc>
          <w:tcPr>
            <w:tcW w:w="2035" w:type="dxa"/>
            <w:tcBorders>
              <w:top w:val="single" w:sz="4" w:space="0" w:color="auto"/>
              <w:left w:val="single" w:sz="4" w:space="0" w:color="auto"/>
              <w:bottom w:val="single" w:sz="4" w:space="0" w:color="auto"/>
              <w:right w:val="single" w:sz="4" w:space="0" w:color="auto"/>
            </w:tcBorders>
            <w:hideMark/>
          </w:tcPr>
          <w:p w14:paraId="08A098E2" w14:textId="77777777" w:rsidR="00157E83" w:rsidRPr="009C5807" w:rsidRDefault="00157E83" w:rsidP="008772D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15C60F" w14:textId="6A8CA516" w:rsidR="00157E83" w:rsidRPr="009C5807" w:rsidRDefault="00157E83" w:rsidP="008772DA">
            <w:pPr>
              <w:pStyle w:val="TAC"/>
            </w:pPr>
            <w:proofErr w:type="gramStart"/>
            <w:r w:rsidRPr="009C5807">
              <w:rPr>
                <w:rFonts w:cs="v4.2.0"/>
              </w:rPr>
              <w:t>max(</w:t>
            </w:r>
            <w:proofErr w:type="spellStart"/>
            <w:proofErr w:type="gramEnd"/>
            <w:r w:rsidRPr="009C5807">
              <w:rPr>
                <w:rFonts w:cs="v4.2.0"/>
              </w:rPr>
              <w:t>T</w:t>
            </w:r>
            <w:r w:rsidRPr="009C5807">
              <w:rPr>
                <w:rFonts w:cs="v4.2.0"/>
                <w:vertAlign w:val="subscript"/>
              </w:rPr>
              <w:t>Report</w:t>
            </w:r>
            <w:proofErr w:type="spellEnd"/>
            <w:r w:rsidRPr="009C5807">
              <w:rPr>
                <w:rFonts w:cs="v4.2.0"/>
              </w:rPr>
              <w:t>, ceil(1.5*M*P*N)*max(</w:t>
            </w:r>
            <w:proofErr w:type="spellStart"/>
            <w:r w:rsidRPr="009C5807">
              <w:rPr>
                <w:rFonts w:cs="v4.2.0"/>
              </w:rPr>
              <w:t>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_Neighbor</w:t>
            </w:r>
            <w:proofErr w:type="spellEnd"/>
            <w:r w:rsidRPr="009C5807">
              <w:rPr>
                <w:rFonts w:cs="v4.2.0"/>
              </w:rPr>
              <w:t>))</w:t>
            </w:r>
          </w:p>
        </w:tc>
      </w:tr>
      <w:tr w:rsidR="00157E83" w:rsidRPr="009C5807" w14:paraId="6F30E22E" w14:textId="77777777" w:rsidTr="008772DA">
        <w:trPr>
          <w:jc w:val="center"/>
        </w:trPr>
        <w:tc>
          <w:tcPr>
            <w:tcW w:w="2035" w:type="dxa"/>
            <w:tcBorders>
              <w:top w:val="single" w:sz="4" w:space="0" w:color="auto"/>
              <w:left w:val="single" w:sz="4" w:space="0" w:color="auto"/>
              <w:bottom w:val="single" w:sz="4" w:space="0" w:color="auto"/>
              <w:right w:val="single" w:sz="4" w:space="0" w:color="auto"/>
            </w:tcBorders>
            <w:hideMark/>
          </w:tcPr>
          <w:p w14:paraId="3B40A537" w14:textId="77777777" w:rsidR="00157E83" w:rsidRPr="009C5807" w:rsidRDefault="00157E83" w:rsidP="008772D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A0F11F6" w14:textId="77777777" w:rsidR="00157E83" w:rsidRPr="009C5807" w:rsidRDefault="00157E83" w:rsidP="008772DA">
            <w:pPr>
              <w:pStyle w:val="TAC"/>
            </w:pPr>
            <w:proofErr w:type="gramStart"/>
            <w:r w:rsidRPr="009C5807">
              <w:rPr>
                <w:rFonts w:cs="v4.2.0"/>
              </w:rPr>
              <w:t>ceil(</w:t>
            </w:r>
            <w:proofErr w:type="gramEnd"/>
            <w:r w:rsidRPr="009C5807">
              <w:rPr>
                <w:rFonts w:cs="v4.2.0"/>
              </w:rPr>
              <w:t>1.5*M*P*N)*T</w:t>
            </w:r>
            <w:r w:rsidRPr="009C5807">
              <w:rPr>
                <w:rFonts w:cs="v4.2.0"/>
                <w:vertAlign w:val="subscript"/>
              </w:rPr>
              <w:t>DRX</w:t>
            </w:r>
          </w:p>
        </w:tc>
      </w:tr>
      <w:tr w:rsidR="00157E83" w:rsidRPr="009C5807" w14:paraId="66D0B083" w14:textId="77777777" w:rsidTr="008772D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161FA6B" w14:textId="0ED88442" w:rsidR="00157E83" w:rsidRPr="009C5807" w:rsidRDefault="00157E83" w:rsidP="008772DA">
            <w:pPr>
              <w:pStyle w:val="TAN"/>
              <w:rPr>
                <w:rFonts w:cs="v4.2.0"/>
              </w:rPr>
            </w:pPr>
            <w:r w:rsidRPr="009C5807">
              <w:t>Note:</w:t>
            </w:r>
            <w:r w:rsidRPr="009C5807">
              <w:tab/>
            </w:r>
            <w:proofErr w:type="spellStart"/>
            <w:r w:rsidRPr="009C5807">
              <w:rPr>
                <w:rFonts w:cs="v4.2.0"/>
              </w:rPr>
              <w:t>T</w:t>
            </w:r>
            <w:r w:rsidRPr="009C5807">
              <w:rPr>
                <w:rFonts w:cs="v4.2.0"/>
                <w:vertAlign w:val="subscript"/>
              </w:rPr>
              <w:t>SSB</w:t>
            </w:r>
            <w:r>
              <w:rPr>
                <w:rFonts w:cs="v4.2.0"/>
                <w:vertAlign w:val="subscript"/>
              </w:rPr>
              <w:t>_neighbor</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5F29C066" w14:textId="22F8BECC" w:rsidR="00157E83" w:rsidRDefault="00157E83" w:rsidP="00DB0B5C">
      <w:pPr>
        <w:spacing w:after="120"/>
        <w:rPr>
          <w:sz w:val="20"/>
          <w:szCs w:val="20"/>
          <w:lang w:eastAsia="en-GB"/>
        </w:rPr>
      </w:pPr>
    </w:p>
    <w:p w14:paraId="3BBC5853" w14:textId="0755E428" w:rsidR="003F6B53" w:rsidRDefault="003F6B53" w:rsidP="00DB0B5C">
      <w:pPr>
        <w:spacing w:after="120"/>
        <w:rPr>
          <w:sz w:val="20"/>
          <w:szCs w:val="20"/>
          <w:lang w:eastAsia="en-GB"/>
        </w:rPr>
      </w:pPr>
      <w:proofErr w:type="gramStart"/>
      <w:r>
        <w:rPr>
          <w:sz w:val="20"/>
          <w:szCs w:val="20"/>
          <w:lang w:eastAsia="en-GB"/>
        </w:rPr>
        <w:t>Where</w:t>
      </w:r>
      <w:proofErr w:type="gramEnd"/>
      <w:r>
        <w:rPr>
          <w:sz w:val="20"/>
          <w:szCs w:val="20"/>
          <w:lang w:eastAsia="en-GB"/>
        </w:rPr>
        <w:t>,</w:t>
      </w:r>
    </w:p>
    <w:p w14:paraId="55DC8ED8" w14:textId="77777777" w:rsidR="003F6B53" w:rsidRPr="009C5807" w:rsidRDefault="003F6B53" w:rsidP="003F6B53">
      <w:pPr>
        <w:pStyle w:val="B1"/>
      </w:pPr>
      <w:r w:rsidRPr="009C5807">
        <w:t>-</w:t>
      </w:r>
      <w:r w:rsidRPr="009C5807">
        <w:tab/>
        <w:t xml:space="preserve">M=1 if higher layer parameter </w:t>
      </w:r>
      <w:proofErr w:type="spellStart"/>
      <w:r w:rsidRPr="009C5807">
        <w:rPr>
          <w:i/>
        </w:rPr>
        <w:t>timeRestrictionForChannelMeasurement</w:t>
      </w:r>
      <w:proofErr w:type="spellEnd"/>
      <w:r w:rsidRPr="009C5807">
        <w:t xml:space="preserve"> is configured, and M=3 otherwise </w:t>
      </w:r>
    </w:p>
    <w:p w14:paraId="0960D32F" w14:textId="77777777" w:rsidR="003F6B53" w:rsidRPr="009C5807" w:rsidRDefault="003F6B53" w:rsidP="003F6B53">
      <w:pPr>
        <w:pStyle w:val="B1"/>
      </w:pPr>
      <w:r w:rsidRPr="009C5807">
        <w:t>-</w:t>
      </w:r>
      <w:r w:rsidRPr="009C5807">
        <w:tab/>
        <w:t>N= 8.</w:t>
      </w:r>
    </w:p>
    <w:p w14:paraId="124171EA" w14:textId="77777777" w:rsidR="003F6B53" w:rsidRDefault="003F6B53" w:rsidP="00DB0B5C">
      <w:pPr>
        <w:spacing w:after="120"/>
        <w:rPr>
          <w:sz w:val="20"/>
          <w:szCs w:val="20"/>
          <w:lang w:eastAsia="en-GB"/>
        </w:rPr>
      </w:pPr>
      <w:r>
        <w:rPr>
          <w:sz w:val="20"/>
          <w:szCs w:val="20"/>
          <w:lang w:eastAsia="en-GB"/>
        </w:rPr>
        <w:t xml:space="preserve">The definition of P shall depend on whether the non-serving cell L1-RSRP measurements shall be limited to SMTC or not. </w:t>
      </w:r>
    </w:p>
    <w:p w14:paraId="137E51D7" w14:textId="232EC334" w:rsidR="003F6B53" w:rsidRPr="003F6B53" w:rsidRDefault="003F6B53" w:rsidP="00DB0B5C">
      <w:pPr>
        <w:spacing w:after="120"/>
        <w:rPr>
          <w:i/>
          <w:iCs/>
          <w:sz w:val="20"/>
          <w:szCs w:val="20"/>
          <w:lang w:eastAsia="en-GB"/>
        </w:rPr>
      </w:pPr>
      <w:r w:rsidRPr="003F6B53">
        <w:rPr>
          <w:b/>
          <w:bCs/>
          <w:i/>
          <w:iCs/>
          <w:sz w:val="20"/>
          <w:szCs w:val="20"/>
          <w:lang w:eastAsia="en-GB"/>
        </w:rPr>
        <w:t>Observation #</w:t>
      </w:r>
      <w:r w:rsidR="008F1F89">
        <w:rPr>
          <w:b/>
          <w:bCs/>
          <w:i/>
          <w:iCs/>
          <w:sz w:val="20"/>
          <w:szCs w:val="20"/>
          <w:lang w:eastAsia="en-GB"/>
        </w:rPr>
        <w:t>3</w:t>
      </w:r>
      <w:r w:rsidRPr="003F6B53">
        <w:rPr>
          <w:b/>
          <w:bCs/>
          <w:i/>
          <w:iCs/>
          <w:sz w:val="20"/>
          <w:szCs w:val="20"/>
          <w:lang w:eastAsia="en-GB"/>
        </w:rPr>
        <w:t>:</w:t>
      </w:r>
      <w:r w:rsidRPr="003F6B53">
        <w:rPr>
          <w:i/>
          <w:iCs/>
          <w:sz w:val="20"/>
          <w:szCs w:val="20"/>
          <w:lang w:eastAsia="en-GB"/>
        </w:rPr>
        <w:t xml:space="preserve"> Definition of ‘P’ in measurement period shall depend on whether L1-RSRP measurements for non-serving cell are limited to SMTC. </w:t>
      </w:r>
    </w:p>
    <w:p w14:paraId="50E085B3" w14:textId="77777777" w:rsidR="00F61BBF" w:rsidRDefault="00F61BBF" w:rsidP="00DB0B5C">
      <w:pPr>
        <w:spacing w:after="120"/>
        <w:rPr>
          <w:sz w:val="20"/>
          <w:szCs w:val="20"/>
          <w:lang w:eastAsia="en-GB"/>
        </w:rPr>
      </w:pPr>
    </w:p>
    <w:p w14:paraId="170843F6" w14:textId="43DEB140" w:rsidR="00F61BBF" w:rsidRDefault="00BC5291" w:rsidP="00DB0B5C">
      <w:pPr>
        <w:spacing w:after="120"/>
        <w:rPr>
          <w:sz w:val="20"/>
          <w:szCs w:val="20"/>
          <w:lang w:eastAsia="en-GB"/>
        </w:rPr>
      </w:pPr>
      <w:r>
        <w:rPr>
          <w:sz w:val="20"/>
          <w:szCs w:val="20"/>
          <w:lang w:eastAsia="en-GB"/>
        </w:rPr>
        <w:t>For example, i</w:t>
      </w:r>
      <w:r w:rsidR="00F61BBF">
        <w:rPr>
          <w:sz w:val="20"/>
          <w:szCs w:val="20"/>
          <w:lang w:eastAsia="en-GB"/>
        </w:rPr>
        <w:t>n FR1,</w:t>
      </w:r>
      <w:r>
        <w:rPr>
          <w:sz w:val="20"/>
          <w:szCs w:val="20"/>
          <w:lang w:eastAsia="en-GB"/>
        </w:rPr>
        <w:t xml:space="preserve"> if neighbor cell measurement is not limited to SMTC, not overlapping with SSB of serving cell</w:t>
      </w:r>
    </w:p>
    <w:p w14:paraId="503A9BAF" w14:textId="494572AF" w:rsidR="00BC5291" w:rsidRPr="009C5807" w:rsidRDefault="00BC5291" w:rsidP="00BC5291">
      <w:pPr>
        <w:pStyle w:val="B1"/>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SSB_Neighbor</m:t>
                    </m:r>
                  </m:sub>
                </m:sSub>
              </m:num>
              <m:den>
                <m:r>
                  <m:rPr>
                    <m:sty m:val="p"/>
                  </m:rPr>
                  <w:rPr>
                    <w:rFonts w:ascii="Cambria Math" w:hAnsi="Cambria Math"/>
                  </w:rPr>
                  <m:t>MRGP</m:t>
                </m:r>
              </m:den>
            </m:f>
          </m:den>
        </m:f>
      </m:oMath>
      <w:r w:rsidRPr="009C5807">
        <w:t>, when in the monitored cell there are measurement gaps configured for intra-frequency, inter-</w:t>
      </w:r>
      <w:proofErr w:type="gramStart"/>
      <w:r w:rsidRPr="009C5807">
        <w:t>frequency</w:t>
      </w:r>
      <w:proofErr w:type="gramEnd"/>
      <w:r w:rsidRPr="009C5807">
        <w:t xml:space="preserve"> or inter-RAT measurements, which are overlapping with some but not all occasions of the SSB; and</w:t>
      </w:r>
    </w:p>
    <w:p w14:paraId="73737AFD" w14:textId="77777777" w:rsidR="00BC5291" w:rsidRPr="009C5807" w:rsidRDefault="00BC5291" w:rsidP="00BC5291">
      <w:pPr>
        <w:pStyle w:val="B1"/>
      </w:pPr>
      <w:r w:rsidRPr="009C5807">
        <w:t>-</w:t>
      </w:r>
      <w:r w:rsidRPr="009C5807">
        <w:tab/>
        <w:t>P=1 when in the monitored cell there are no measurement gaps overlapping with any occasion of the SSB.</w:t>
      </w:r>
    </w:p>
    <w:p w14:paraId="4493AA51" w14:textId="6DA1A096" w:rsidR="003F6B53" w:rsidRDefault="00BC5291" w:rsidP="00DB0B5C">
      <w:pPr>
        <w:spacing w:after="120"/>
        <w:rPr>
          <w:sz w:val="20"/>
          <w:szCs w:val="20"/>
          <w:lang w:eastAsia="en-GB"/>
        </w:rPr>
      </w:pPr>
      <w:r>
        <w:rPr>
          <w:sz w:val="20"/>
          <w:szCs w:val="20"/>
          <w:lang w:eastAsia="en-GB"/>
        </w:rPr>
        <w:t xml:space="preserve">If non-serving cell measurement is limited to SMTC, we need to consider resource sharing between L3 measurements of other neighbor cells. </w:t>
      </w:r>
      <w:r w:rsidR="00A25BCD">
        <w:rPr>
          <w:sz w:val="20"/>
          <w:szCs w:val="20"/>
          <w:lang w:eastAsia="en-GB"/>
        </w:rPr>
        <w:t>Whereas,</w:t>
      </w:r>
      <w:r>
        <w:rPr>
          <w:sz w:val="20"/>
          <w:szCs w:val="20"/>
          <w:lang w:eastAsia="en-GB"/>
        </w:rPr>
        <w:t xml:space="preserve"> if it is not limited to SMTC, resource sharing between serving and non-serving cell </w:t>
      </w:r>
      <w:r w:rsidR="00A25BCD">
        <w:rPr>
          <w:sz w:val="20"/>
          <w:szCs w:val="20"/>
          <w:lang w:eastAsia="en-GB"/>
        </w:rPr>
        <w:t xml:space="preserve">for L1-RSRP measurements. </w:t>
      </w:r>
      <w:r w:rsidR="003F6B53">
        <w:rPr>
          <w:sz w:val="20"/>
          <w:szCs w:val="20"/>
          <w:lang w:eastAsia="en-GB"/>
        </w:rPr>
        <w:t>RAN4 should discuss definition of ‘P’ once RAN1 concludes on whether L1-RSRP measurements should be limited to SMTC or not.</w:t>
      </w:r>
    </w:p>
    <w:p w14:paraId="63701927" w14:textId="239A9306" w:rsidR="003F6B53" w:rsidRPr="00A25BCD" w:rsidRDefault="00A25BCD" w:rsidP="00DB0B5C">
      <w:pPr>
        <w:spacing w:after="120"/>
        <w:rPr>
          <w:b/>
          <w:bCs/>
          <w:sz w:val="20"/>
          <w:szCs w:val="20"/>
          <w:lang w:eastAsia="en-GB"/>
        </w:rPr>
      </w:pPr>
      <w:r>
        <w:rPr>
          <w:b/>
          <w:bCs/>
          <w:sz w:val="20"/>
          <w:szCs w:val="20"/>
          <w:lang w:eastAsia="en-GB"/>
        </w:rPr>
        <w:t>Proposal #</w:t>
      </w:r>
      <w:r w:rsidR="008F1F89">
        <w:rPr>
          <w:b/>
          <w:bCs/>
          <w:sz w:val="20"/>
          <w:szCs w:val="20"/>
          <w:lang w:eastAsia="en-GB"/>
        </w:rPr>
        <w:t>6</w:t>
      </w:r>
      <w:r>
        <w:rPr>
          <w:b/>
          <w:bCs/>
          <w:sz w:val="20"/>
          <w:szCs w:val="20"/>
          <w:lang w:eastAsia="en-GB"/>
        </w:rPr>
        <w:t xml:space="preserve">: RAN4 further discussed definition of P for L1-RSRP measurement on neighbor cell once RAN1 has agreement on whether it should be limited to SMTC or not. </w:t>
      </w:r>
    </w:p>
    <w:p w14:paraId="1D60163E" w14:textId="77777777" w:rsidR="00A25BCD" w:rsidRDefault="00A25BCD" w:rsidP="00DB0B5C">
      <w:pPr>
        <w:spacing w:after="120"/>
        <w:rPr>
          <w:b/>
          <w:bCs/>
          <w:sz w:val="20"/>
          <w:szCs w:val="20"/>
          <w:lang w:eastAsia="en-GB"/>
        </w:rPr>
      </w:pPr>
    </w:p>
    <w:p w14:paraId="3EAFC866" w14:textId="5E1316D7" w:rsidR="00530462" w:rsidRPr="007B7ADE" w:rsidRDefault="00530462" w:rsidP="00DB0B5C">
      <w:pPr>
        <w:spacing w:after="120"/>
        <w:rPr>
          <w:b/>
          <w:bCs/>
          <w:sz w:val="22"/>
          <w:szCs w:val="22"/>
          <w:u w:val="single"/>
          <w:lang w:eastAsia="en-GB"/>
        </w:rPr>
      </w:pPr>
      <w:r w:rsidRPr="007B7ADE">
        <w:rPr>
          <w:b/>
          <w:bCs/>
          <w:sz w:val="22"/>
          <w:szCs w:val="22"/>
          <w:u w:val="single"/>
          <w:lang w:eastAsia="en-GB"/>
        </w:rPr>
        <w:t>Measurement restriction</w:t>
      </w:r>
    </w:p>
    <w:p w14:paraId="47324213" w14:textId="5755836B" w:rsidR="00530462" w:rsidRDefault="000A1AB2" w:rsidP="00DB0B5C">
      <w:pPr>
        <w:spacing w:after="120"/>
        <w:rPr>
          <w:sz w:val="20"/>
          <w:szCs w:val="20"/>
          <w:lang w:eastAsia="en-GB"/>
        </w:rPr>
      </w:pPr>
      <w:r>
        <w:rPr>
          <w:sz w:val="20"/>
          <w:szCs w:val="20"/>
          <w:lang w:eastAsia="en-GB"/>
        </w:rPr>
        <w:t>We need to define measurement restriction on SSB based L1-RS</w:t>
      </w:r>
      <w:r w:rsidR="00B97332">
        <w:rPr>
          <w:sz w:val="20"/>
          <w:szCs w:val="20"/>
          <w:lang w:eastAsia="en-GB"/>
        </w:rPr>
        <w:t>R</w:t>
      </w:r>
      <w:r>
        <w:rPr>
          <w:sz w:val="20"/>
          <w:szCs w:val="20"/>
          <w:lang w:eastAsia="en-GB"/>
        </w:rPr>
        <w:t xml:space="preserve">P measurements, if the SSB from non-serving cell is on the same OFDM symbol as SSB or CSI-RS from serving cell for other L1 measurements as follows: </w:t>
      </w:r>
    </w:p>
    <w:p w14:paraId="50C93D3A" w14:textId="77777777" w:rsidR="000A1AB2" w:rsidRPr="000A1AB2" w:rsidRDefault="000A1AB2" w:rsidP="000A1AB2">
      <w:pPr>
        <w:spacing w:after="120"/>
        <w:rPr>
          <w:sz w:val="20"/>
          <w:szCs w:val="20"/>
          <w:lang w:eastAsia="en-GB"/>
        </w:rPr>
      </w:pPr>
      <w:r w:rsidRPr="000A1AB2">
        <w:rPr>
          <w:sz w:val="20"/>
          <w:szCs w:val="20"/>
          <w:lang w:eastAsia="en-GB"/>
        </w:rPr>
        <w:t xml:space="preserve">For FR1, when the </w:t>
      </w:r>
      <w:r w:rsidRPr="000A1AB2">
        <w:rPr>
          <w:sz w:val="20"/>
          <w:szCs w:val="20"/>
          <w:u w:val="single"/>
          <w:lang w:eastAsia="en-GB"/>
        </w:rPr>
        <w:t>SSB from neighbor cell for L1-RSRP measurement</w:t>
      </w:r>
      <w:r w:rsidRPr="000A1AB2">
        <w:rPr>
          <w:sz w:val="20"/>
          <w:szCs w:val="20"/>
          <w:lang w:eastAsia="en-GB"/>
        </w:rPr>
        <w:t xml:space="preserve"> is in the same OFDM symbol as CSI-RS from serving cell for RLM, BFD, CBD or L1-RSRP measurement, </w:t>
      </w:r>
    </w:p>
    <w:p w14:paraId="533EBB2D" w14:textId="77777777" w:rsidR="000A1AB2" w:rsidRPr="000A1AB2" w:rsidRDefault="000A1AB2" w:rsidP="000A1AB2">
      <w:pPr>
        <w:numPr>
          <w:ilvl w:val="0"/>
          <w:numId w:val="8"/>
        </w:numPr>
        <w:spacing w:after="120"/>
        <w:rPr>
          <w:sz w:val="20"/>
          <w:szCs w:val="20"/>
          <w:lang w:eastAsia="en-GB"/>
        </w:rPr>
      </w:pPr>
      <w:r w:rsidRPr="000A1AB2">
        <w:rPr>
          <w:sz w:val="20"/>
          <w:szCs w:val="20"/>
          <w:lang w:eastAsia="en-GB"/>
        </w:rPr>
        <w:t xml:space="preserve">If SSB and CSI-RS have same SCS, UE shall be able to measure the SSB for L1-RSRP measurement without any </w:t>
      </w:r>
      <w:proofErr w:type="gramStart"/>
      <w:r w:rsidRPr="000A1AB2">
        <w:rPr>
          <w:sz w:val="20"/>
          <w:szCs w:val="20"/>
          <w:lang w:eastAsia="en-GB"/>
        </w:rPr>
        <w:t>restriction;</w:t>
      </w:r>
      <w:proofErr w:type="gramEnd"/>
    </w:p>
    <w:p w14:paraId="289F96C6" w14:textId="77777777" w:rsidR="000A1AB2" w:rsidRPr="000A1AB2" w:rsidRDefault="000A1AB2" w:rsidP="000A1AB2">
      <w:pPr>
        <w:numPr>
          <w:ilvl w:val="0"/>
          <w:numId w:val="8"/>
        </w:numPr>
        <w:spacing w:after="120"/>
        <w:rPr>
          <w:sz w:val="20"/>
          <w:szCs w:val="20"/>
          <w:lang w:eastAsia="en-GB"/>
        </w:rPr>
      </w:pPr>
      <w:r w:rsidRPr="000A1AB2">
        <w:rPr>
          <w:sz w:val="20"/>
          <w:szCs w:val="20"/>
          <w:lang w:eastAsia="en-GB"/>
        </w:rPr>
        <w:t>If SSB and CSI-RS have different SCS,</w:t>
      </w:r>
    </w:p>
    <w:p w14:paraId="0D67F337" w14:textId="77777777" w:rsidR="000A1AB2" w:rsidRPr="000A1AB2" w:rsidRDefault="000A1AB2" w:rsidP="000A1AB2">
      <w:pPr>
        <w:numPr>
          <w:ilvl w:val="1"/>
          <w:numId w:val="8"/>
        </w:numPr>
        <w:spacing w:after="120"/>
        <w:rPr>
          <w:sz w:val="20"/>
          <w:szCs w:val="20"/>
          <w:lang w:eastAsia="en-GB"/>
        </w:rPr>
      </w:pPr>
      <w:r w:rsidRPr="000A1AB2">
        <w:rPr>
          <w:sz w:val="20"/>
          <w:szCs w:val="20"/>
          <w:lang w:eastAsia="en-GB"/>
        </w:rPr>
        <w:t xml:space="preserve">If UE supports </w:t>
      </w:r>
      <w:proofErr w:type="spellStart"/>
      <w:r w:rsidRPr="000A1AB2">
        <w:rPr>
          <w:i/>
          <w:iCs/>
          <w:sz w:val="20"/>
          <w:szCs w:val="20"/>
          <w:lang w:eastAsia="en-GB"/>
        </w:rPr>
        <w:t>simultaneousRxDataSSB-DiffNumerology</w:t>
      </w:r>
      <w:proofErr w:type="spellEnd"/>
      <w:r w:rsidRPr="000A1AB2">
        <w:rPr>
          <w:sz w:val="20"/>
          <w:szCs w:val="20"/>
          <w:lang w:eastAsia="en-GB"/>
        </w:rPr>
        <w:t xml:space="preserve">, UE shall be able to measure the SSB for L1-RSRP measurement without any </w:t>
      </w:r>
      <w:proofErr w:type="gramStart"/>
      <w:r w:rsidRPr="000A1AB2">
        <w:rPr>
          <w:sz w:val="20"/>
          <w:szCs w:val="20"/>
          <w:lang w:eastAsia="en-GB"/>
        </w:rPr>
        <w:t>restriction;</w:t>
      </w:r>
      <w:proofErr w:type="gramEnd"/>
    </w:p>
    <w:p w14:paraId="67EA2AD1" w14:textId="77777777" w:rsidR="000A1AB2" w:rsidRPr="000A1AB2" w:rsidRDefault="000A1AB2" w:rsidP="000A1AB2">
      <w:pPr>
        <w:numPr>
          <w:ilvl w:val="1"/>
          <w:numId w:val="8"/>
        </w:numPr>
        <w:spacing w:after="120"/>
        <w:rPr>
          <w:sz w:val="20"/>
          <w:szCs w:val="20"/>
          <w:lang w:eastAsia="en-GB"/>
        </w:rPr>
      </w:pPr>
      <w:r w:rsidRPr="000A1AB2">
        <w:rPr>
          <w:sz w:val="20"/>
          <w:szCs w:val="20"/>
          <w:lang w:eastAsia="en-GB"/>
        </w:rPr>
        <w:t xml:space="preserve">If UE does not support </w:t>
      </w:r>
      <w:proofErr w:type="spellStart"/>
      <w:r w:rsidRPr="000A1AB2">
        <w:rPr>
          <w:i/>
          <w:iCs/>
          <w:sz w:val="20"/>
          <w:szCs w:val="20"/>
          <w:lang w:eastAsia="en-GB"/>
        </w:rPr>
        <w:t>simultaneousRxDataSSB-DiffNumerology</w:t>
      </w:r>
      <w:proofErr w:type="spellEnd"/>
      <w:r w:rsidRPr="000A1AB2">
        <w:rPr>
          <w:sz w:val="20"/>
          <w:szCs w:val="20"/>
          <w:lang w:eastAsia="en-GB"/>
        </w:rPr>
        <w:t>, UE is required to measure one of but not both SSB for L1-RSRP measurement and CSI-RS. Longer measurement period for SSB based L1-RSRP measurement is expected, and no requirements are defined.</w:t>
      </w:r>
    </w:p>
    <w:p w14:paraId="657AE278" w14:textId="5D9BFD19" w:rsidR="000A1AB2" w:rsidRDefault="000A1AB2" w:rsidP="00DB0B5C">
      <w:pPr>
        <w:spacing w:after="120"/>
        <w:rPr>
          <w:sz w:val="20"/>
          <w:szCs w:val="20"/>
          <w:lang w:eastAsia="en-GB"/>
        </w:rPr>
      </w:pPr>
    </w:p>
    <w:p w14:paraId="44498B70" w14:textId="4FBB9831" w:rsidR="000A1AB2" w:rsidRDefault="000A1AB2" w:rsidP="000A1AB2">
      <w:pPr>
        <w:spacing w:after="120"/>
        <w:rPr>
          <w:sz w:val="20"/>
          <w:szCs w:val="20"/>
          <w:lang w:eastAsia="en-GB"/>
        </w:rPr>
      </w:pPr>
      <w:r w:rsidRPr="000A1AB2">
        <w:rPr>
          <w:sz w:val="20"/>
          <w:szCs w:val="20"/>
          <w:lang w:eastAsia="en-GB"/>
        </w:rPr>
        <w:t xml:space="preserve">For FR1, when the </w:t>
      </w:r>
      <w:r w:rsidRPr="000A1AB2">
        <w:rPr>
          <w:sz w:val="20"/>
          <w:szCs w:val="20"/>
          <w:u w:val="single"/>
          <w:lang w:eastAsia="en-GB"/>
        </w:rPr>
        <w:t>SSB from neighbor cell for L1-RSRP measurement</w:t>
      </w:r>
      <w:r w:rsidRPr="000A1AB2">
        <w:rPr>
          <w:sz w:val="20"/>
          <w:szCs w:val="20"/>
          <w:lang w:eastAsia="en-GB"/>
        </w:rPr>
        <w:t xml:space="preserve"> is in the same OFDM symbol as SSB from serving cell for RLM, BFD, CBD or L1-RSRP measurement, UE shall be able to measure SSB from both serving and neighbor cell without any restriction</w:t>
      </w:r>
      <w:r>
        <w:rPr>
          <w:sz w:val="20"/>
          <w:szCs w:val="20"/>
          <w:lang w:eastAsia="en-GB"/>
        </w:rPr>
        <w:t>.</w:t>
      </w:r>
    </w:p>
    <w:p w14:paraId="491D3353" w14:textId="77777777" w:rsidR="000A1AB2" w:rsidRPr="000A1AB2" w:rsidRDefault="000A1AB2" w:rsidP="000A1AB2">
      <w:pPr>
        <w:spacing w:after="120"/>
        <w:rPr>
          <w:sz w:val="20"/>
          <w:szCs w:val="20"/>
          <w:lang w:eastAsia="en-GB"/>
        </w:rPr>
      </w:pPr>
      <w:r w:rsidRPr="000A1AB2">
        <w:rPr>
          <w:sz w:val="20"/>
          <w:szCs w:val="20"/>
          <w:lang w:eastAsia="en-GB"/>
        </w:rPr>
        <w:t>For FR2, when the SSB from neighbor cell for L1-RSRP measurement on one CC is in the same OFDM symbol as CSI-RS or SSB from serving cell for RLM, BFD, CBD or L1-RSRP measurement on the same CC or different CCs in the same band, UE is required to measure one of but not both SSB for L1-RSRP measurement and CSI-RS. Longer measurement period for SSB based L1-RSRP measurement is expected, and no requirements are defined.</w:t>
      </w:r>
    </w:p>
    <w:p w14:paraId="6ACA8091" w14:textId="0BED162B" w:rsidR="000A1AB2" w:rsidRDefault="000A1AB2" w:rsidP="000A1AB2">
      <w:pPr>
        <w:spacing w:after="120"/>
        <w:rPr>
          <w:sz w:val="20"/>
          <w:szCs w:val="20"/>
          <w:lang w:eastAsia="en-GB"/>
        </w:rPr>
      </w:pPr>
      <w:r w:rsidRPr="000A1AB2">
        <w:rPr>
          <w:sz w:val="20"/>
          <w:szCs w:val="20"/>
          <w:lang w:eastAsia="en-GB"/>
        </w:rPr>
        <w:t xml:space="preserve">For FR2, there is no measurement restriction allowed when the network configures mixed numerology between SSB from neighbor cell for L1-RSRP measurement on one FR2 band and CSI-RS or SSB from serving cell for RLM, BFD, CBD, L1-RSRP or L1-SINR measurement on the other FR2 band, </w:t>
      </w:r>
      <w:proofErr w:type="gramStart"/>
      <w:r w:rsidRPr="000A1AB2">
        <w:rPr>
          <w:sz w:val="20"/>
          <w:szCs w:val="20"/>
          <w:lang w:eastAsia="en-GB"/>
        </w:rPr>
        <w:t>provided that</w:t>
      </w:r>
      <w:proofErr w:type="gramEnd"/>
      <w:r w:rsidRPr="000A1AB2">
        <w:rPr>
          <w:sz w:val="20"/>
          <w:szCs w:val="20"/>
          <w:lang w:eastAsia="en-GB"/>
        </w:rPr>
        <w:t xml:space="preserve"> UE is capable of independent beam management on this FR2 band pair.</w:t>
      </w:r>
    </w:p>
    <w:p w14:paraId="21783395" w14:textId="1B5FAB4E" w:rsidR="00B97332" w:rsidRDefault="00B97332" w:rsidP="000A1AB2">
      <w:pPr>
        <w:spacing w:after="120"/>
        <w:rPr>
          <w:sz w:val="20"/>
          <w:szCs w:val="20"/>
          <w:lang w:eastAsia="en-GB"/>
        </w:rPr>
      </w:pPr>
    </w:p>
    <w:p w14:paraId="403B9073" w14:textId="356BAACA" w:rsidR="00B97332" w:rsidRPr="00B97332" w:rsidRDefault="00B97332" w:rsidP="000A1AB2">
      <w:pPr>
        <w:spacing w:after="120"/>
        <w:rPr>
          <w:b/>
          <w:bCs/>
          <w:sz w:val="20"/>
          <w:szCs w:val="20"/>
          <w:lang w:eastAsia="en-GB"/>
        </w:rPr>
      </w:pPr>
      <w:r>
        <w:rPr>
          <w:b/>
          <w:bCs/>
          <w:sz w:val="20"/>
          <w:szCs w:val="20"/>
          <w:lang w:eastAsia="en-GB"/>
        </w:rPr>
        <w:t>Proposal #</w:t>
      </w:r>
      <w:r w:rsidR="008F1F89">
        <w:rPr>
          <w:b/>
          <w:bCs/>
          <w:sz w:val="20"/>
          <w:szCs w:val="20"/>
          <w:lang w:eastAsia="en-GB"/>
        </w:rPr>
        <w:t>7</w:t>
      </w:r>
      <w:r>
        <w:rPr>
          <w:b/>
          <w:bCs/>
          <w:sz w:val="20"/>
          <w:szCs w:val="20"/>
          <w:lang w:eastAsia="en-GB"/>
        </w:rPr>
        <w:t xml:space="preserve">: Define Measurement restriction </w:t>
      </w:r>
      <w:r w:rsidRPr="00B97332">
        <w:rPr>
          <w:b/>
          <w:bCs/>
          <w:sz w:val="20"/>
          <w:szCs w:val="20"/>
          <w:lang w:eastAsia="en-GB"/>
        </w:rPr>
        <w:t>on SSB based L1-RSRP measurements</w:t>
      </w:r>
      <w:r>
        <w:rPr>
          <w:b/>
          <w:bCs/>
          <w:sz w:val="20"/>
          <w:szCs w:val="20"/>
          <w:lang w:eastAsia="en-GB"/>
        </w:rPr>
        <w:t xml:space="preserve"> for non-serving cell</w:t>
      </w:r>
      <w:r w:rsidRPr="00B97332">
        <w:rPr>
          <w:b/>
          <w:bCs/>
          <w:sz w:val="20"/>
          <w:szCs w:val="20"/>
          <w:lang w:eastAsia="en-GB"/>
        </w:rPr>
        <w:t>, if the SSB from non-serving cell is on the same OFDM symbol as SSB or CSI-RS from serving cell for other L1 measurements</w:t>
      </w:r>
      <w:r>
        <w:rPr>
          <w:b/>
          <w:bCs/>
          <w:sz w:val="20"/>
          <w:szCs w:val="20"/>
          <w:lang w:eastAsia="en-GB"/>
        </w:rPr>
        <w:t>.</w:t>
      </w:r>
    </w:p>
    <w:p w14:paraId="012E6115" w14:textId="69C07835" w:rsidR="00530462" w:rsidRPr="007B7ADE" w:rsidRDefault="00530462" w:rsidP="00DB0B5C">
      <w:pPr>
        <w:spacing w:after="120"/>
        <w:rPr>
          <w:b/>
          <w:bCs/>
          <w:sz w:val="22"/>
          <w:szCs w:val="22"/>
          <w:u w:val="single"/>
          <w:lang w:eastAsia="en-GB"/>
        </w:rPr>
      </w:pPr>
      <w:r w:rsidRPr="007B7ADE">
        <w:rPr>
          <w:b/>
          <w:bCs/>
          <w:sz w:val="22"/>
          <w:szCs w:val="22"/>
          <w:u w:val="single"/>
          <w:lang w:eastAsia="en-GB"/>
        </w:rPr>
        <w:t xml:space="preserve">Scheduling </w:t>
      </w:r>
      <w:r w:rsidR="00AC775D" w:rsidRPr="007B7ADE">
        <w:rPr>
          <w:b/>
          <w:bCs/>
          <w:sz w:val="22"/>
          <w:szCs w:val="22"/>
          <w:u w:val="single"/>
          <w:lang w:eastAsia="en-GB"/>
        </w:rPr>
        <w:t>Restrictions</w:t>
      </w:r>
    </w:p>
    <w:p w14:paraId="49139CC1" w14:textId="2858A61D" w:rsidR="00AC775D" w:rsidRPr="007B7ADE" w:rsidRDefault="00AC775D" w:rsidP="00DB0B5C">
      <w:pPr>
        <w:spacing w:after="120"/>
        <w:rPr>
          <w:sz w:val="20"/>
          <w:szCs w:val="20"/>
          <w:lang w:eastAsia="en-GB"/>
        </w:rPr>
      </w:pPr>
      <w:r w:rsidRPr="007B7ADE">
        <w:rPr>
          <w:sz w:val="20"/>
          <w:szCs w:val="20"/>
          <w:lang w:eastAsia="en-GB"/>
        </w:rPr>
        <w:t>For SSB based L1-RSRP measurements on non-serving cell, the following scheduling ava</w:t>
      </w:r>
      <w:r w:rsidR="007B7ADE" w:rsidRPr="007B7ADE">
        <w:rPr>
          <w:sz w:val="20"/>
          <w:szCs w:val="20"/>
          <w:lang w:eastAsia="en-GB"/>
        </w:rPr>
        <w:t>ila</w:t>
      </w:r>
      <w:r w:rsidRPr="007B7ADE">
        <w:rPr>
          <w:sz w:val="20"/>
          <w:szCs w:val="20"/>
          <w:lang w:eastAsia="en-GB"/>
        </w:rPr>
        <w:t>bility need to be defined:</w:t>
      </w:r>
    </w:p>
    <w:p w14:paraId="7ACFC6F1" w14:textId="0CAF7AD7" w:rsidR="00AC775D" w:rsidRPr="00AC775D" w:rsidRDefault="00AC775D" w:rsidP="00AC775D">
      <w:pPr>
        <w:pStyle w:val="ListParagraph"/>
        <w:numPr>
          <w:ilvl w:val="0"/>
          <w:numId w:val="9"/>
        </w:numPr>
        <w:spacing w:after="120"/>
        <w:ind w:firstLineChars="0"/>
        <w:rPr>
          <w:rFonts w:ascii="Times New Roman" w:hAnsi="Times New Roman" w:cs="Times New Roman"/>
          <w:sz w:val="20"/>
          <w:szCs w:val="20"/>
          <w:lang w:eastAsia="en-GB"/>
        </w:rPr>
      </w:pPr>
      <w:r w:rsidRPr="00AC775D">
        <w:rPr>
          <w:rFonts w:ascii="Times New Roman" w:hAnsi="Times New Roman" w:cs="Times New Roman"/>
          <w:sz w:val="20"/>
          <w:szCs w:val="20"/>
          <w:lang w:val="en-GB" w:eastAsia="en-GB"/>
        </w:rPr>
        <w:t>Scheduling availability of UE performing L1-RSRP measurement on with a same subcarrier spacing as PDSCH/PDCCH on FR1</w:t>
      </w:r>
    </w:p>
    <w:p w14:paraId="16926A43" w14:textId="0C74E05B" w:rsidR="00530462" w:rsidRPr="00AC775D" w:rsidRDefault="00AC775D" w:rsidP="00AC775D">
      <w:pPr>
        <w:pStyle w:val="ListParagraph"/>
        <w:numPr>
          <w:ilvl w:val="0"/>
          <w:numId w:val="9"/>
        </w:numPr>
        <w:spacing w:after="120"/>
        <w:ind w:firstLineChars="0"/>
        <w:rPr>
          <w:rFonts w:ascii="Times New Roman" w:hAnsi="Times New Roman" w:cs="Times New Roman"/>
          <w:sz w:val="20"/>
          <w:szCs w:val="20"/>
          <w:lang w:eastAsia="en-GB"/>
        </w:rPr>
      </w:pPr>
      <w:r w:rsidRPr="00AC775D">
        <w:rPr>
          <w:rFonts w:ascii="Times New Roman" w:hAnsi="Times New Roman" w:cs="Times New Roman"/>
          <w:sz w:val="20"/>
          <w:szCs w:val="20"/>
          <w:lang w:val="en-GB" w:eastAsia="en-GB"/>
        </w:rPr>
        <w:lastRenderedPageBreak/>
        <w:t>Scheduling availability of UE performing L1-RSRP measurement with a different subcarrier spacing than PDSCH/PDCCH on FR1</w:t>
      </w:r>
    </w:p>
    <w:p w14:paraId="24A42936" w14:textId="43084A05" w:rsidR="00AC775D" w:rsidRPr="00AC775D" w:rsidRDefault="00AC775D" w:rsidP="00AC775D">
      <w:pPr>
        <w:pStyle w:val="ListParagraph"/>
        <w:numPr>
          <w:ilvl w:val="0"/>
          <w:numId w:val="9"/>
        </w:numPr>
        <w:spacing w:after="120"/>
        <w:ind w:firstLineChars="0"/>
        <w:rPr>
          <w:rFonts w:ascii="Times New Roman" w:hAnsi="Times New Roman" w:cs="Times New Roman"/>
          <w:sz w:val="20"/>
          <w:szCs w:val="20"/>
          <w:lang w:eastAsia="en-GB"/>
        </w:rPr>
      </w:pPr>
      <w:r w:rsidRPr="00AC775D">
        <w:rPr>
          <w:rFonts w:ascii="Times New Roman" w:hAnsi="Times New Roman" w:cs="Times New Roman"/>
          <w:sz w:val="20"/>
          <w:szCs w:val="20"/>
          <w:lang w:val="en-GB" w:eastAsia="en-GB"/>
        </w:rPr>
        <w:t>Scheduling availability of UE performing L1-RSRP measurement on FR2</w:t>
      </w:r>
    </w:p>
    <w:p w14:paraId="300C7955" w14:textId="6BE97E0D" w:rsidR="00AC775D" w:rsidRPr="007B7ADE" w:rsidRDefault="00AC775D" w:rsidP="00AC775D">
      <w:pPr>
        <w:pStyle w:val="ListParagraph"/>
        <w:numPr>
          <w:ilvl w:val="0"/>
          <w:numId w:val="9"/>
        </w:numPr>
        <w:spacing w:after="120"/>
        <w:ind w:firstLineChars="0"/>
        <w:rPr>
          <w:rFonts w:ascii="Times New Roman" w:hAnsi="Times New Roman" w:cs="Times New Roman"/>
          <w:sz w:val="20"/>
          <w:szCs w:val="20"/>
          <w:lang w:eastAsia="en-GB"/>
        </w:rPr>
      </w:pPr>
      <w:r w:rsidRPr="00AC775D">
        <w:rPr>
          <w:rFonts w:ascii="Times New Roman" w:hAnsi="Times New Roman" w:cs="Times New Roman"/>
          <w:sz w:val="20"/>
          <w:szCs w:val="20"/>
          <w:lang w:val="en-GB" w:eastAsia="en-GB"/>
        </w:rPr>
        <w:t>Scheduling availability of UE performing L1-RSRP measurement on FR1 or FR2 in case of FR1-FR2 inter-band CA</w:t>
      </w:r>
    </w:p>
    <w:p w14:paraId="7795988E" w14:textId="2133BE1C" w:rsidR="007B7ADE" w:rsidRDefault="007B7ADE" w:rsidP="007B7ADE">
      <w:pPr>
        <w:spacing w:after="120"/>
        <w:rPr>
          <w:b/>
          <w:bCs/>
          <w:sz w:val="20"/>
          <w:szCs w:val="20"/>
          <w:lang w:eastAsia="en-GB"/>
        </w:rPr>
      </w:pPr>
      <w:r>
        <w:rPr>
          <w:b/>
          <w:bCs/>
          <w:sz w:val="20"/>
          <w:szCs w:val="20"/>
          <w:lang w:eastAsia="en-GB"/>
        </w:rPr>
        <w:t>Proposal #</w:t>
      </w:r>
      <w:r w:rsidR="008F1F89">
        <w:rPr>
          <w:b/>
          <w:bCs/>
          <w:sz w:val="20"/>
          <w:szCs w:val="20"/>
          <w:lang w:eastAsia="en-GB"/>
        </w:rPr>
        <w:t>8</w:t>
      </w:r>
      <w:r>
        <w:rPr>
          <w:b/>
          <w:bCs/>
          <w:sz w:val="20"/>
          <w:szCs w:val="20"/>
          <w:lang w:eastAsia="en-GB"/>
        </w:rPr>
        <w:t xml:space="preserve">: Define scheduling availability for UE performing L1-RSRP measurement on neighbor cell. </w:t>
      </w:r>
    </w:p>
    <w:p w14:paraId="30D4BFE3" w14:textId="6CD22B1F" w:rsidR="00BD3076" w:rsidRDefault="00BD3076" w:rsidP="007B7ADE">
      <w:pPr>
        <w:spacing w:after="120"/>
        <w:rPr>
          <w:b/>
          <w:bCs/>
          <w:sz w:val="20"/>
          <w:szCs w:val="20"/>
          <w:lang w:eastAsia="en-GB"/>
        </w:rPr>
      </w:pPr>
    </w:p>
    <w:p w14:paraId="3EE7F9A1" w14:textId="264840DB" w:rsidR="00BD3076" w:rsidRPr="00BD3076" w:rsidRDefault="00BD3076" w:rsidP="00BD3076">
      <w:pPr>
        <w:pStyle w:val="Heading2"/>
        <w:numPr>
          <w:ilvl w:val="2"/>
          <w:numId w:val="1"/>
        </w:numPr>
        <w:rPr>
          <w:sz w:val="32"/>
          <w:szCs w:val="20"/>
          <w:lang w:val="en-US"/>
        </w:rPr>
      </w:pPr>
      <w:r>
        <w:rPr>
          <w:sz w:val="24"/>
          <w:szCs w:val="16"/>
          <w:lang w:val="en-US"/>
        </w:rPr>
        <w:t>TCI State Switch</w:t>
      </w:r>
      <w:r w:rsidR="00E86908">
        <w:rPr>
          <w:sz w:val="24"/>
          <w:szCs w:val="16"/>
          <w:lang w:val="en-US"/>
        </w:rPr>
        <w:t>ing Delay</w:t>
      </w:r>
    </w:p>
    <w:p w14:paraId="18B48F66" w14:textId="750608E9" w:rsidR="00A70963" w:rsidRDefault="00AA4B98" w:rsidP="007B7ADE">
      <w:pPr>
        <w:spacing w:after="120"/>
        <w:rPr>
          <w:sz w:val="20"/>
          <w:szCs w:val="20"/>
          <w:lang w:eastAsia="en-GB"/>
        </w:rPr>
      </w:pPr>
      <w:r w:rsidRPr="00AA4B98">
        <w:rPr>
          <w:sz w:val="20"/>
          <w:szCs w:val="20"/>
          <w:lang w:eastAsia="en-GB"/>
        </w:rPr>
        <w:t xml:space="preserve">To enable </w:t>
      </w:r>
      <w:r>
        <w:rPr>
          <w:sz w:val="20"/>
          <w:szCs w:val="20"/>
          <w:lang w:eastAsia="en-GB"/>
        </w:rPr>
        <w:t xml:space="preserve">L1/L2 based </w:t>
      </w:r>
      <w:r w:rsidRPr="00AA4B98">
        <w:rPr>
          <w:sz w:val="20"/>
          <w:szCs w:val="20"/>
          <w:lang w:eastAsia="en-GB"/>
        </w:rPr>
        <w:t>inter-cell mobility</w:t>
      </w:r>
      <w:r>
        <w:rPr>
          <w:sz w:val="20"/>
          <w:szCs w:val="20"/>
          <w:lang w:eastAsia="en-GB"/>
        </w:rPr>
        <w:t>, the UE shall be indicated a new beam</w:t>
      </w:r>
      <w:r w:rsidR="00A70963">
        <w:rPr>
          <w:sz w:val="20"/>
          <w:szCs w:val="20"/>
          <w:lang w:eastAsia="en-GB"/>
        </w:rPr>
        <w:t xml:space="preserve"> from non-serving cell via TCI state switch command. The new beam indication could be MAC C</w:t>
      </w:r>
      <w:r w:rsidR="00E67BA9">
        <w:rPr>
          <w:sz w:val="20"/>
          <w:szCs w:val="20"/>
          <w:lang w:eastAsia="en-GB"/>
        </w:rPr>
        <w:t>E</w:t>
      </w:r>
      <w:r w:rsidR="00A70963">
        <w:rPr>
          <w:sz w:val="20"/>
          <w:szCs w:val="20"/>
          <w:lang w:eastAsia="en-GB"/>
        </w:rPr>
        <w:t xml:space="preserve"> or DCI based. RAN4 should define requirements for TCI state switch for neighbor cell.</w:t>
      </w:r>
    </w:p>
    <w:p w14:paraId="39D10443" w14:textId="7C0CEFDE" w:rsidR="00A70963" w:rsidRDefault="00A70963" w:rsidP="007B7ADE">
      <w:pPr>
        <w:spacing w:after="120"/>
        <w:rPr>
          <w:b/>
          <w:bCs/>
          <w:sz w:val="20"/>
          <w:szCs w:val="20"/>
          <w:lang w:eastAsia="en-GB"/>
        </w:rPr>
      </w:pPr>
      <w:r>
        <w:rPr>
          <w:b/>
          <w:bCs/>
          <w:sz w:val="20"/>
          <w:szCs w:val="20"/>
          <w:lang w:eastAsia="en-GB"/>
        </w:rPr>
        <w:t>Proposal #</w:t>
      </w:r>
      <w:r w:rsidR="008F1F89">
        <w:rPr>
          <w:b/>
          <w:bCs/>
          <w:sz w:val="20"/>
          <w:szCs w:val="20"/>
          <w:lang w:eastAsia="en-GB"/>
        </w:rPr>
        <w:t>9</w:t>
      </w:r>
      <w:r>
        <w:rPr>
          <w:b/>
          <w:bCs/>
          <w:sz w:val="20"/>
          <w:szCs w:val="20"/>
          <w:lang w:eastAsia="en-GB"/>
        </w:rPr>
        <w:t xml:space="preserve">: RAN4 needs to define requirements for TCI state switch for neighbor cell to support L1/L2 centric inter-cell mobility. </w:t>
      </w:r>
    </w:p>
    <w:p w14:paraId="07A723BA" w14:textId="0006F7A4" w:rsidR="00A70963" w:rsidRDefault="00A70963" w:rsidP="007B7ADE">
      <w:pPr>
        <w:spacing w:after="120"/>
        <w:rPr>
          <w:sz w:val="20"/>
          <w:szCs w:val="20"/>
          <w:lang w:eastAsia="en-GB"/>
        </w:rPr>
      </w:pPr>
      <w:r w:rsidRPr="00A70963">
        <w:rPr>
          <w:sz w:val="20"/>
          <w:szCs w:val="20"/>
          <w:lang w:eastAsia="en-GB"/>
        </w:rPr>
        <w:t>For TCI state switch on serving cell, we have known condition for TCI state. The switching delay requirements are based on the type of switch (MAC-CE, DCI or RRC based), whether the TCI state is known or unknow</w:t>
      </w:r>
      <w:r>
        <w:rPr>
          <w:sz w:val="20"/>
          <w:szCs w:val="20"/>
          <w:lang w:eastAsia="en-GB"/>
        </w:rPr>
        <w:t>n</w:t>
      </w:r>
      <w:r w:rsidRPr="00A70963">
        <w:rPr>
          <w:sz w:val="20"/>
          <w:szCs w:val="20"/>
          <w:lang w:eastAsia="en-GB"/>
        </w:rPr>
        <w:t xml:space="preserve">, whether the target TCI state is in the active TCI state list monitored by the UE. </w:t>
      </w:r>
      <w:r>
        <w:rPr>
          <w:sz w:val="20"/>
          <w:szCs w:val="20"/>
          <w:lang w:eastAsia="en-GB"/>
        </w:rPr>
        <w:t xml:space="preserve">Similarly for TCI state switch on </w:t>
      </w:r>
      <w:r w:rsidR="00E67BA9">
        <w:rPr>
          <w:sz w:val="20"/>
          <w:szCs w:val="20"/>
          <w:lang w:eastAsia="en-GB"/>
        </w:rPr>
        <w:t>neighbor</w:t>
      </w:r>
      <w:r>
        <w:rPr>
          <w:sz w:val="20"/>
          <w:szCs w:val="20"/>
          <w:lang w:eastAsia="en-GB"/>
        </w:rPr>
        <w:t xml:space="preserve"> cell, we need to define known TCI state. The definition of known TCI state can be based on the existing definition for TCI state switch on serving cell.</w:t>
      </w:r>
    </w:p>
    <w:p w14:paraId="59090358" w14:textId="1E8EB98F" w:rsidR="00A70963" w:rsidRDefault="00A70963" w:rsidP="007B7ADE">
      <w:pPr>
        <w:spacing w:after="120"/>
        <w:rPr>
          <w:b/>
          <w:bCs/>
          <w:sz w:val="20"/>
          <w:szCs w:val="20"/>
          <w:lang w:eastAsia="en-GB"/>
        </w:rPr>
      </w:pPr>
      <w:r>
        <w:rPr>
          <w:b/>
          <w:bCs/>
          <w:sz w:val="20"/>
          <w:szCs w:val="20"/>
          <w:lang w:eastAsia="en-GB"/>
        </w:rPr>
        <w:t>Proposal #</w:t>
      </w:r>
      <w:r w:rsidR="008F1F89">
        <w:rPr>
          <w:b/>
          <w:bCs/>
          <w:sz w:val="20"/>
          <w:szCs w:val="20"/>
          <w:lang w:eastAsia="en-GB"/>
        </w:rPr>
        <w:t>10</w:t>
      </w:r>
      <w:r>
        <w:rPr>
          <w:b/>
          <w:bCs/>
          <w:sz w:val="20"/>
          <w:szCs w:val="20"/>
          <w:lang w:eastAsia="en-GB"/>
        </w:rPr>
        <w:t xml:space="preserve">: Define known TCI state for non-serving cell based on the definition for serving cell. </w:t>
      </w:r>
    </w:p>
    <w:p w14:paraId="7138F9F2" w14:textId="557E34F0" w:rsidR="00A70963" w:rsidRDefault="00E67BA9" w:rsidP="007B7ADE">
      <w:pPr>
        <w:spacing w:after="120"/>
        <w:rPr>
          <w:sz w:val="20"/>
          <w:szCs w:val="20"/>
          <w:lang w:eastAsia="en-GB"/>
        </w:rPr>
      </w:pPr>
      <w:r>
        <w:rPr>
          <w:sz w:val="20"/>
          <w:szCs w:val="20"/>
          <w:lang w:eastAsia="en-GB"/>
        </w:rPr>
        <w:t xml:space="preserve">The new beam </w:t>
      </w:r>
      <w:r w:rsidR="00E86908">
        <w:rPr>
          <w:sz w:val="20"/>
          <w:szCs w:val="20"/>
          <w:lang w:eastAsia="en-GB"/>
        </w:rPr>
        <w:t>indication</w:t>
      </w:r>
      <w:r>
        <w:rPr>
          <w:sz w:val="20"/>
          <w:szCs w:val="20"/>
          <w:lang w:eastAsia="en-GB"/>
        </w:rPr>
        <w:t xml:space="preserve"> could be </w:t>
      </w:r>
      <w:r w:rsidR="00E86908">
        <w:rPr>
          <w:sz w:val="20"/>
          <w:szCs w:val="20"/>
          <w:lang w:eastAsia="en-GB"/>
        </w:rPr>
        <w:t>sent</w:t>
      </w:r>
      <w:r>
        <w:rPr>
          <w:sz w:val="20"/>
          <w:szCs w:val="20"/>
          <w:lang w:eastAsia="en-GB"/>
        </w:rPr>
        <w:t xml:space="preserve"> on MAC CE or DCI. Hence, MAC</w:t>
      </w:r>
      <w:r w:rsidR="00B333C0">
        <w:rPr>
          <w:sz w:val="20"/>
          <w:szCs w:val="20"/>
          <w:lang w:eastAsia="en-GB"/>
        </w:rPr>
        <w:t>-C</w:t>
      </w:r>
      <w:r>
        <w:rPr>
          <w:sz w:val="20"/>
          <w:szCs w:val="20"/>
          <w:lang w:eastAsia="en-GB"/>
        </w:rPr>
        <w:t>E and DCI based TCI state switch for non-serving cell should be defined.</w:t>
      </w:r>
    </w:p>
    <w:p w14:paraId="223D3024" w14:textId="60597FB4" w:rsidR="00E67BA9" w:rsidRPr="00E67BA9" w:rsidRDefault="00E67BA9" w:rsidP="007B7ADE">
      <w:pPr>
        <w:spacing w:after="120"/>
        <w:rPr>
          <w:b/>
          <w:bCs/>
          <w:sz w:val="20"/>
          <w:szCs w:val="20"/>
          <w:lang w:eastAsia="en-GB"/>
        </w:rPr>
      </w:pPr>
      <w:r>
        <w:rPr>
          <w:b/>
          <w:bCs/>
          <w:sz w:val="20"/>
          <w:szCs w:val="20"/>
          <w:lang w:eastAsia="en-GB"/>
        </w:rPr>
        <w:t>Proposal #</w:t>
      </w:r>
      <w:r w:rsidR="008F1F89">
        <w:rPr>
          <w:b/>
          <w:bCs/>
          <w:sz w:val="20"/>
          <w:szCs w:val="20"/>
          <w:lang w:eastAsia="en-GB"/>
        </w:rPr>
        <w:t>11</w:t>
      </w:r>
      <w:r>
        <w:rPr>
          <w:b/>
          <w:bCs/>
          <w:sz w:val="20"/>
          <w:szCs w:val="20"/>
          <w:lang w:eastAsia="en-GB"/>
        </w:rPr>
        <w:t>: Define MAC CE and DCI based TCI state switch for non-serving cell.</w:t>
      </w:r>
    </w:p>
    <w:p w14:paraId="60D20E76" w14:textId="77777777" w:rsidR="008F1F89" w:rsidRDefault="008F1F89" w:rsidP="007B7ADE">
      <w:pPr>
        <w:spacing w:after="120"/>
        <w:rPr>
          <w:sz w:val="20"/>
          <w:szCs w:val="20"/>
          <w:lang w:eastAsia="en-GB"/>
        </w:rPr>
      </w:pPr>
    </w:p>
    <w:p w14:paraId="4491F47A" w14:textId="0F891703" w:rsidR="008F1F89" w:rsidRDefault="008F1F89" w:rsidP="007B7ADE">
      <w:pPr>
        <w:spacing w:after="120"/>
        <w:rPr>
          <w:sz w:val="20"/>
          <w:szCs w:val="20"/>
          <w:lang w:eastAsia="en-GB"/>
        </w:rPr>
      </w:pPr>
      <w:r>
        <w:rPr>
          <w:sz w:val="20"/>
          <w:szCs w:val="20"/>
          <w:lang w:eastAsia="en-GB"/>
        </w:rPr>
        <w:t>In R15, we defined TCI state switching delay for serving cell. For TCI state switch on serving cell, the components of delay were:</w:t>
      </w:r>
    </w:p>
    <w:p w14:paraId="3EF8E9E2" w14:textId="5635F286" w:rsidR="00A70963" w:rsidRPr="008F1F89" w:rsidRDefault="008F1F89" w:rsidP="008F1F89">
      <w:pPr>
        <w:pStyle w:val="ListParagraph"/>
        <w:numPr>
          <w:ilvl w:val="0"/>
          <w:numId w:val="12"/>
        </w:numPr>
        <w:spacing w:after="120"/>
        <w:ind w:firstLineChars="0"/>
        <w:rPr>
          <w:rFonts w:ascii="Times New Roman" w:hAnsi="Times New Roman" w:cs="Times New Roman"/>
          <w:sz w:val="20"/>
          <w:szCs w:val="20"/>
          <w:lang w:eastAsia="en-GB"/>
        </w:rPr>
      </w:pPr>
      <w:r w:rsidRPr="008F1F89">
        <w:rPr>
          <w:rFonts w:ascii="Times New Roman" w:hAnsi="Times New Roman" w:cs="Times New Roman"/>
          <w:sz w:val="20"/>
          <w:szCs w:val="20"/>
          <w:lang w:eastAsia="en-GB"/>
        </w:rPr>
        <w:t xml:space="preserve">MAC-CE Decoding/ RRC processing time </w:t>
      </w:r>
    </w:p>
    <w:p w14:paraId="6EA5D059" w14:textId="4AFF55FD" w:rsidR="008F1F89" w:rsidRPr="008F1F89" w:rsidRDefault="008F1F89" w:rsidP="008F1F89">
      <w:pPr>
        <w:pStyle w:val="ListParagraph"/>
        <w:numPr>
          <w:ilvl w:val="0"/>
          <w:numId w:val="12"/>
        </w:numPr>
        <w:spacing w:after="120"/>
        <w:ind w:firstLineChars="0"/>
        <w:rPr>
          <w:rFonts w:ascii="Times New Roman" w:hAnsi="Times New Roman" w:cs="Times New Roman"/>
          <w:sz w:val="20"/>
          <w:szCs w:val="20"/>
          <w:lang w:eastAsia="en-GB"/>
        </w:rPr>
      </w:pPr>
      <w:r w:rsidRPr="008F1F89">
        <w:rPr>
          <w:rFonts w:ascii="Times New Roman" w:hAnsi="Times New Roman" w:cs="Times New Roman"/>
          <w:sz w:val="20"/>
          <w:szCs w:val="20"/>
          <w:lang w:eastAsia="en-GB"/>
        </w:rPr>
        <w:t xml:space="preserve">Time acquisition </w:t>
      </w:r>
      <w:r w:rsidR="00B46531">
        <w:rPr>
          <w:rFonts w:ascii="Times New Roman" w:hAnsi="Times New Roman" w:cs="Times New Roman"/>
          <w:sz w:val="20"/>
          <w:szCs w:val="20"/>
          <w:lang w:eastAsia="en-GB"/>
        </w:rPr>
        <w:t xml:space="preserve">delay </w:t>
      </w:r>
      <w:r w:rsidRPr="008F1F89">
        <w:rPr>
          <w:rFonts w:ascii="Times New Roman" w:hAnsi="Times New Roman" w:cs="Times New Roman"/>
          <w:sz w:val="20"/>
          <w:szCs w:val="20"/>
          <w:lang w:eastAsia="en-GB"/>
        </w:rPr>
        <w:t>if target TCI was not in active TCI list monitored by UE</w:t>
      </w:r>
    </w:p>
    <w:p w14:paraId="6B9AE792" w14:textId="39600EFB" w:rsidR="008F1F89" w:rsidRPr="008F1F89" w:rsidRDefault="00B46531" w:rsidP="008F1F89">
      <w:pPr>
        <w:pStyle w:val="ListParagraph"/>
        <w:numPr>
          <w:ilvl w:val="0"/>
          <w:numId w:val="12"/>
        </w:numPr>
        <w:spacing w:after="120"/>
        <w:ind w:firstLineChars="0"/>
        <w:rPr>
          <w:rFonts w:ascii="Times New Roman" w:hAnsi="Times New Roman" w:cs="Times New Roman"/>
          <w:sz w:val="20"/>
          <w:szCs w:val="20"/>
          <w:lang w:eastAsia="en-GB"/>
        </w:rPr>
      </w:pPr>
      <w:r>
        <w:rPr>
          <w:rFonts w:ascii="Times New Roman" w:hAnsi="Times New Roman" w:cs="Times New Roman"/>
          <w:sz w:val="20"/>
          <w:szCs w:val="20"/>
          <w:lang w:eastAsia="en-GB"/>
        </w:rPr>
        <w:t xml:space="preserve">Time for </w:t>
      </w:r>
      <w:r w:rsidR="008F1F89" w:rsidRPr="008F1F89">
        <w:rPr>
          <w:rFonts w:ascii="Times New Roman" w:hAnsi="Times New Roman" w:cs="Times New Roman"/>
          <w:sz w:val="20"/>
          <w:szCs w:val="20"/>
          <w:lang w:eastAsia="en-GB"/>
        </w:rPr>
        <w:t xml:space="preserve">RX beam acquisition if target TCI state </w:t>
      </w:r>
      <w:r>
        <w:rPr>
          <w:rFonts w:ascii="Times New Roman" w:hAnsi="Times New Roman" w:cs="Times New Roman"/>
          <w:sz w:val="20"/>
          <w:szCs w:val="20"/>
          <w:lang w:eastAsia="en-GB"/>
        </w:rPr>
        <w:t>is</w:t>
      </w:r>
      <w:r w:rsidR="008F1F89" w:rsidRPr="008F1F89">
        <w:rPr>
          <w:rFonts w:ascii="Times New Roman" w:hAnsi="Times New Roman" w:cs="Times New Roman"/>
          <w:sz w:val="20"/>
          <w:szCs w:val="20"/>
          <w:lang w:eastAsia="en-GB"/>
        </w:rPr>
        <w:t xml:space="preserve"> unknown.</w:t>
      </w:r>
    </w:p>
    <w:p w14:paraId="373EB4CC" w14:textId="77777777" w:rsidR="008F1F89" w:rsidRPr="008F1F89" w:rsidRDefault="008F1F89" w:rsidP="008F1F89">
      <w:pPr>
        <w:spacing w:after="120"/>
        <w:ind w:left="360"/>
        <w:rPr>
          <w:sz w:val="20"/>
          <w:szCs w:val="20"/>
          <w:lang w:eastAsia="en-GB"/>
        </w:rPr>
      </w:pPr>
    </w:p>
    <w:p w14:paraId="7C403D99" w14:textId="59CA93E3" w:rsidR="00AD2065" w:rsidRDefault="00564027" w:rsidP="005B410D">
      <w:pPr>
        <w:spacing w:after="120"/>
        <w:rPr>
          <w:rFonts w:eastAsia="SimSun"/>
          <w:sz w:val="20"/>
          <w:szCs w:val="20"/>
          <w:lang w:eastAsia="en-GB"/>
        </w:rPr>
      </w:pPr>
      <w:r>
        <w:rPr>
          <w:rFonts w:eastAsia="SimSun"/>
          <w:sz w:val="20"/>
          <w:szCs w:val="20"/>
          <w:lang w:eastAsia="en-GB"/>
        </w:rPr>
        <w:t xml:space="preserve">The switching delay for TCI state switch for </w:t>
      </w:r>
      <w:r w:rsidR="00A7341F">
        <w:rPr>
          <w:rFonts w:eastAsia="SimSun"/>
          <w:sz w:val="20"/>
          <w:szCs w:val="20"/>
          <w:lang w:eastAsia="en-GB"/>
        </w:rPr>
        <w:t>non-serving</w:t>
      </w:r>
      <w:r>
        <w:rPr>
          <w:rFonts w:eastAsia="SimSun"/>
          <w:sz w:val="20"/>
          <w:szCs w:val="20"/>
          <w:lang w:eastAsia="en-GB"/>
        </w:rPr>
        <w:t xml:space="preserve"> cell needs to consider</w:t>
      </w:r>
      <w:r w:rsidR="00D501FD">
        <w:rPr>
          <w:rFonts w:eastAsia="SimSun"/>
          <w:sz w:val="20"/>
          <w:szCs w:val="20"/>
          <w:lang w:eastAsia="en-GB"/>
        </w:rPr>
        <w:t xml:space="preserve"> the following: </w:t>
      </w:r>
    </w:p>
    <w:p w14:paraId="3AFC11EB" w14:textId="14AC8022" w:rsidR="008F1F89" w:rsidRPr="008F1F89" w:rsidRDefault="008F1F89" w:rsidP="008F1F89">
      <w:pPr>
        <w:pStyle w:val="ListParagraph"/>
        <w:numPr>
          <w:ilvl w:val="0"/>
          <w:numId w:val="12"/>
        </w:numPr>
        <w:spacing w:after="120"/>
        <w:ind w:firstLineChars="0"/>
        <w:rPr>
          <w:rFonts w:ascii="Times New Roman" w:hAnsi="Times New Roman" w:cs="Times New Roman"/>
          <w:sz w:val="20"/>
          <w:szCs w:val="20"/>
          <w:lang w:eastAsia="en-GB"/>
        </w:rPr>
      </w:pPr>
      <w:r w:rsidRPr="008F1F89">
        <w:rPr>
          <w:rFonts w:ascii="Times New Roman" w:hAnsi="Times New Roman" w:cs="Times New Roman"/>
          <w:sz w:val="20"/>
          <w:szCs w:val="20"/>
          <w:lang w:eastAsia="en-GB"/>
        </w:rPr>
        <w:t xml:space="preserve">MAC-CE </w:t>
      </w:r>
      <w:r>
        <w:rPr>
          <w:rFonts w:ascii="Times New Roman" w:hAnsi="Times New Roman" w:cs="Times New Roman"/>
          <w:sz w:val="20"/>
          <w:szCs w:val="20"/>
          <w:lang w:eastAsia="en-GB"/>
        </w:rPr>
        <w:t xml:space="preserve">decoding </w:t>
      </w:r>
      <w:r w:rsidRPr="008F1F89">
        <w:rPr>
          <w:rFonts w:ascii="Times New Roman" w:hAnsi="Times New Roman" w:cs="Times New Roman"/>
          <w:sz w:val="20"/>
          <w:szCs w:val="20"/>
          <w:lang w:eastAsia="en-GB"/>
        </w:rPr>
        <w:t>or DCI processing time</w:t>
      </w:r>
    </w:p>
    <w:p w14:paraId="4F3C7B22" w14:textId="0895C88F" w:rsidR="00160C08" w:rsidRPr="008F1F89" w:rsidRDefault="00160C08" w:rsidP="00160C08">
      <w:pPr>
        <w:pStyle w:val="ListParagraph"/>
        <w:numPr>
          <w:ilvl w:val="0"/>
          <w:numId w:val="12"/>
        </w:numPr>
        <w:spacing w:after="120"/>
        <w:ind w:firstLineChars="0"/>
        <w:rPr>
          <w:rFonts w:ascii="Times New Roman" w:hAnsi="Times New Roman" w:cs="Times New Roman"/>
          <w:sz w:val="20"/>
          <w:szCs w:val="20"/>
          <w:lang w:eastAsia="en-GB"/>
        </w:rPr>
      </w:pPr>
      <w:r w:rsidRPr="008F1F89">
        <w:rPr>
          <w:rFonts w:ascii="Times New Roman" w:hAnsi="Times New Roman" w:cs="Times New Roman"/>
          <w:sz w:val="20"/>
          <w:szCs w:val="20"/>
          <w:lang w:eastAsia="en-GB"/>
        </w:rPr>
        <w:t xml:space="preserve">Time acquisition </w:t>
      </w:r>
      <w:r w:rsidR="00B46531">
        <w:rPr>
          <w:rFonts w:ascii="Times New Roman" w:hAnsi="Times New Roman" w:cs="Times New Roman"/>
          <w:sz w:val="20"/>
          <w:szCs w:val="20"/>
          <w:lang w:eastAsia="en-GB"/>
        </w:rPr>
        <w:t xml:space="preserve">delay </w:t>
      </w:r>
      <w:r w:rsidRPr="008F1F89">
        <w:rPr>
          <w:rFonts w:ascii="Times New Roman" w:hAnsi="Times New Roman" w:cs="Times New Roman"/>
          <w:sz w:val="20"/>
          <w:szCs w:val="20"/>
          <w:lang w:eastAsia="en-GB"/>
        </w:rPr>
        <w:t>if target TCI was not in active TCI list monitored by UE</w:t>
      </w:r>
    </w:p>
    <w:p w14:paraId="5E4C9ECB" w14:textId="12836A49" w:rsidR="00160C08" w:rsidRPr="008F1F89" w:rsidRDefault="00B46531" w:rsidP="00160C08">
      <w:pPr>
        <w:pStyle w:val="ListParagraph"/>
        <w:numPr>
          <w:ilvl w:val="0"/>
          <w:numId w:val="12"/>
        </w:numPr>
        <w:spacing w:after="120"/>
        <w:ind w:firstLineChars="0"/>
        <w:rPr>
          <w:rFonts w:ascii="Times New Roman" w:hAnsi="Times New Roman" w:cs="Times New Roman"/>
          <w:sz w:val="20"/>
          <w:szCs w:val="20"/>
          <w:lang w:eastAsia="en-GB"/>
        </w:rPr>
      </w:pPr>
      <w:r>
        <w:rPr>
          <w:rFonts w:ascii="Times New Roman" w:hAnsi="Times New Roman" w:cs="Times New Roman"/>
          <w:sz w:val="20"/>
          <w:szCs w:val="20"/>
          <w:lang w:eastAsia="en-GB"/>
        </w:rPr>
        <w:t xml:space="preserve">Time for </w:t>
      </w:r>
      <w:r w:rsidR="00160C08" w:rsidRPr="008F1F89">
        <w:rPr>
          <w:rFonts w:ascii="Times New Roman" w:hAnsi="Times New Roman" w:cs="Times New Roman"/>
          <w:sz w:val="20"/>
          <w:szCs w:val="20"/>
          <w:lang w:eastAsia="en-GB"/>
        </w:rPr>
        <w:t xml:space="preserve">RX beam acquisition if target TCI state </w:t>
      </w:r>
      <w:r>
        <w:rPr>
          <w:rFonts w:ascii="Times New Roman" w:hAnsi="Times New Roman" w:cs="Times New Roman"/>
          <w:sz w:val="20"/>
          <w:szCs w:val="20"/>
          <w:lang w:eastAsia="en-GB"/>
        </w:rPr>
        <w:t>is</w:t>
      </w:r>
      <w:r w:rsidR="00160C08" w:rsidRPr="008F1F89">
        <w:rPr>
          <w:rFonts w:ascii="Times New Roman" w:hAnsi="Times New Roman" w:cs="Times New Roman"/>
          <w:sz w:val="20"/>
          <w:szCs w:val="20"/>
          <w:lang w:eastAsia="en-GB"/>
        </w:rPr>
        <w:t xml:space="preserve"> unknown.</w:t>
      </w:r>
    </w:p>
    <w:p w14:paraId="12BB9930" w14:textId="62C20CD8" w:rsidR="008F1F89" w:rsidRDefault="008F1F89" w:rsidP="008F1F89">
      <w:pPr>
        <w:pStyle w:val="ListParagraph"/>
        <w:numPr>
          <w:ilvl w:val="0"/>
          <w:numId w:val="12"/>
        </w:numPr>
        <w:spacing w:after="120"/>
        <w:ind w:firstLineChars="0"/>
        <w:rPr>
          <w:rFonts w:ascii="Times New Roman" w:hAnsi="Times New Roman" w:cs="Times New Roman"/>
          <w:sz w:val="20"/>
          <w:szCs w:val="20"/>
          <w:lang w:eastAsia="en-GB"/>
        </w:rPr>
      </w:pPr>
      <w:r w:rsidRPr="008F1F89">
        <w:rPr>
          <w:rFonts w:ascii="Times New Roman" w:hAnsi="Times New Roman" w:cs="Times New Roman"/>
          <w:sz w:val="20"/>
          <w:szCs w:val="20"/>
          <w:lang w:eastAsia="en-GB"/>
        </w:rPr>
        <w:t>Time for Active BWP switch</w:t>
      </w:r>
    </w:p>
    <w:p w14:paraId="4973A312" w14:textId="692D04AF" w:rsidR="00160C08" w:rsidRDefault="00160C08" w:rsidP="00160C08">
      <w:pPr>
        <w:spacing w:after="120"/>
        <w:rPr>
          <w:sz w:val="20"/>
          <w:szCs w:val="20"/>
          <w:lang w:eastAsia="en-GB"/>
        </w:rPr>
      </w:pPr>
      <w:r>
        <w:rPr>
          <w:sz w:val="20"/>
          <w:szCs w:val="20"/>
          <w:lang w:eastAsia="en-GB"/>
        </w:rPr>
        <w:t xml:space="preserve">The new component of delay for TCI state switch for non-serving cell that needs to be considered is BWP switch. </w:t>
      </w:r>
      <w:r w:rsidR="00B46531">
        <w:rPr>
          <w:sz w:val="20"/>
          <w:szCs w:val="20"/>
          <w:lang w:eastAsia="en-GB"/>
        </w:rPr>
        <w:t>The SCS and BW of the non-serving cell could be different from the serving cell, and hence may require a BWP switch to receive from the non-serving cell.</w:t>
      </w:r>
    </w:p>
    <w:p w14:paraId="16BF1C01" w14:textId="7F1999EB" w:rsidR="00B46531" w:rsidRDefault="00B46531" w:rsidP="00B46531">
      <w:pPr>
        <w:spacing w:after="120"/>
        <w:rPr>
          <w:b/>
          <w:bCs/>
          <w:sz w:val="20"/>
          <w:szCs w:val="20"/>
          <w:lang w:eastAsia="en-GB"/>
        </w:rPr>
      </w:pPr>
      <w:r>
        <w:rPr>
          <w:b/>
          <w:bCs/>
          <w:sz w:val="20"/>
          <w:szCs w:val="20"/>
          <w:lang w:eastAsia="en-GB"/>
        </w:rPr>
        <w:t xml:space="preserve">Proposal #12: Components of delay for TCI state switching for non-serving cell are (1) </w:t>
      </w:r>
      <w:r w:rsidRPr="00B46531">
        <w:rPr>
          <w:b/>
          <w:bCs/>
          <w:sz w:val="20"/>
          <w:szCs w:val="20"/>
          <w:lang w:eastAsia="en-GB"/>
        </w:rPr>
        <w:t>MAC-CE decoding or DCI processing time</w:t>
      </w:r>
      <w:r>
        <w:rPr>
          <w:b/>
          <w:bCs/>
          <w:sz w:val="20"/>
          <w:szCs w:val="20"/>
          <w:lang w:eastAsia="en-GB"/>
        </w:rPr>
        <w:t xml:space="preserve">, (2) </w:t>
      </w:r>
      <w:r w:rsidRPr="00B46531">
        <w:rPr>
          <w:b/>
          <w:bCs/>
          <w:sz w:val="20"/>
          <w:szCs w:val="20"/>
          <w:lang w:eastAsia="en-GB"/>
        </w:rPr>
        <w:t>Time acquisition delay if target TCI was not in active TCI list monitored by UE</w:t>
      </w:r>
      <w:r>
        <w:rPr>
          <w:b/>
          <w:bCs/>
          <w:sz w:val="20"/>
          <w:szCs w:val="20"/>
          <w:lang w:eastAsia="en-GB"/>
        </w:rPr>
        <w:t xml:space="preserve">, (3) </w:t>
      </w:r>
      <w:r w:rsidRPr="00B46531">
        <w:rPr>
          <w:b/>
          <w:bCs/>
          <w:sz w:val="20"/>
          <w:szCs w:val="20"/>
          <w:lang w:eastAsia="en-GB"/>
        </w:rPr>
        <w:t>Time for RX beam acquisition if target TCI state is unknown</w:t>
      </w:r>
      <w:r>
        <w:rPr>
          <w:b/>
          <w:bCs/>
          <w:sz w:val="20"/>
          <w:szCs w:val="20"/>
          <w:lang w:eastAsia="en-GB"/>
        </w:rPr>
        <w:t xml:space="preserve">, (4) </w:t>
      </w:r>
      <w:r w:rsidRPr="00B46531">
        <w:rPr>
          <w:b/>
          <w:bCs/>
          <w:sz w:val="20"/>
          <w:szCs w:val="20"/>
          <w:lang w:eastAsia="en-GB"/>
        </w:rPr>
        <w:t>Time for Active BWP switch</w:t>
      </w:r>
      <w:r>
        <w:rPr>
          <w:b/>
          <w:bCs/>
          <w:sz w:val="20"/>
          <w:szCs w:val="20"/>
          <w:lang w:eastAsia="en-GB"/>
        </w:rPr>
        <w:t>.</w:t>
      </w:r>
    </w:p>
    <w:p w14:paraId="1F3F8994" w14:textId="77777777" w:rsidR="00A7341F" w:rsidRDefault="00B13BEF" w:rsidP="00B46531">
      <w:pPr>
        <w:spacing w:after="120"/>
        <w:rPr>
          <w:sz w:val="20"/>
          <w:szCs w:val="20"/>
          <w:lang w:eastAsia="en-GB"/>
        </w:rPr>
      </w:pPr>
      <w:r>
        <w:rPr>
          <w:sz w:val="20"/>
          <w:szCs w:val="20"/>
          <w:lang w:eastAsia="en-GB"/>
        </w:rPr>
        <w:t xml:space="preserve">If TCI state change involves a BWP switch, it might cause interruption to other serving CCs. Hence, we might need to also consider interruption requirements </w:t>
      </w:r>
      <w:r w:rsidR="00A7341F">
        <w:rPr>
          <w:sz w:val="20"/>
          <w:szCs w:val="20"/>
          <w:lang w:eastAsia="en-GB"/>
        </w:rPr>
        <w:t>for TCI state switch to non-serving cell.</w:t>
      </w:r>
    </w:p>
    <w:p w14:paraId="00A395CF" w14:textId="71686DFB" w:rsidR="00B13BEF" w:rsidRDefault="00A7341F" w:rsidP="00B46531">
      <w:pPr>
        <w:spacing w:after="120"/>
        <w:rPr>
          <w:sz w:val="20"/>
          <w:szCs w:val="20"/>
          <w:lang w:eastAsia="en-GB"/>
        </w:rPr>
      </w:pPr>
      <w:r>
        <w:rPr>
          <w:b/>
          <w:bCs/>
          <w:sz w:val="20"/>
          <w:szCs w:val="20"/>
          <w:lang w:eastAsia="en-GB"/>
        </w:rPr>
        <w:lastRenderedPageBreak/>
        <w:t xml:space="preserve">Proposal #13: </w:t>
      </w:r>
      <w:r w:rsidRPr="00A7341F">
        <w:rPr>
          <w:b/>
          <w:bCs/>
          <w:sz w:val="20"/>
          <w:szCs w:val="20"/>
          <w:lang w:eastAsia="en-GB"/>
        </w:rPr>
        <w:t>Discuss and define interruption requirements for TCI state switch to non-serving cell.</w:t>
      </w:r>
      <w:r>
        <w:rPr>
          <w:sz w:val="20"/>
          <w:szCs w:val="20"/>
          <w:lang w:eastAsia="en-GB"/>
        </w:rPr>
        <w:t xml:space="preserve"> </w:t>
      </w:r>
    </w:p>
    <w:p w14:paraId="1432BF3D" w14:textId="039B8756" w:rsidR="00B13BEF" w:rsidRDefault="00B13BEF" w:rsidP="00B46531">
      <w:pPr>
        <w:spacing w:after="120"/>
        <w:rPr>
          <w:sz w:val="20"/>
          <w:szCs w:val="20"/>
          <w:lang w:eastAsia="en-GB"/>
        </w:rPr>
      </w:pPr>
      <w:r>
        <w:rPr>
          <w:sz w:val="20"/>
          <w:szCs w:val="20"/>
          <w:lang w:eastAsia="en-GB"/>
        </w:rPr>
        <w:t>It is agreed to use unified TCI framework for inter-cell mobility, so any new requirements for unified TCI state switch should also consider TCI state switch to non-serving cell.</w:t>
      </w:r>
    </w:p>
    <w:p w14:paraId="188EEAC4" w14:textId="59CD6DF3" w:rsidR="00B13BEF" w:rsidRPr="00B13BEF" w:rsidRDefault="00B13BEF" w:rsidP="00B46531">
      <w:pPr>
        <w:spacing w:after="120"/>
        <w:rPr>
          <w:b/>
          <w:bCs/>
          <w:sz w:val="20"/>
          <w:szCs w:val="20"/>
          <w:lang w:eastAsia="en-GB"/>
        </w:rPr>
      </w:pPr>
      <w:r>
        <w:rPr>
          <w:b/>
          <w:bCs/>
          <w:sz w:val="20"/>
          <w:szCs w:val="20"/>
          <w:lang w:eastAsia="en-GB"/>
        </w:rPr>
        <w:t>Proposal #1</w:t>
      </w:r>
      <w:r w:rsidR="00A7341F">
        <w:rPr>
          <w:b/>
          <w:bCs/>
          <w:sz w:val="20"/>
          <w:szCs w:val="20"/>
          <w:lang w:eastAsia="en-GB"/>
        </w:rPr>
        <w:t>4</w:t>
      </w:r>
      <w:r>
        <w:rPr>
          <w:b/>
          <w:bCs/>
          <w:sz w:val="20"/>
          <w:szCs w:val="20"/>
          <w:lang w:eastAsia="en-GB"/>
        </w:rPr>
        <w:t xml:space="preserve">: Consider TCI state switch to non-serving cell in new requirements for unified TCI framework. </w:t>
      </w:r>
    </w:p>
    <w:p w14:paraId="0B3141EF" w14:textId="77777777" w:rsidR="009F52D7" w:rsidRPr="00A1061F" w:rsidRDefault="009F52D7" w:rsidP="009F52D7">
      <w:pPr>
        <w:pStyle w:val="Heading1"/>
        <w:rPr>
          <w:lang w:val="en-US"/>
        </w:rPr>
      </w:pPr>
      <w:r w:rsidRPr="00A1061F">
        <w:rPr>
          <w:lang w:val="en-US"/>
        </w:rPr>
        <w:t>3. Conclusion</w:t>
      </w:r>
    </w:p>
    <w:p w14:paraId="7BBB2F9C" w14:textId="33DEC0E9" w:rsidR="009F52D7" w:rsidRPr="00A1061F" w:rsidRDefault="009F52D7" w:rsidP="005B410D">
      <w:pPr>
        <w:spacing w:after="120"/>
        <w:rPr>
          <w:sz w:val="20"/>
          <w:szCs w:val="20"/>
        </w:rPr>
      </w:pPr>
      <w:r w:rsidRPr="00B13BEF">
        <w:rPr>
          <w:sz w:val="20"/>
          <w:szCs w:val="20"/>
        </w:rPr>
        <w:t xml:space="preserve">In this paper, we provide our </w:t>
      </w:r>
      <w:r w:rsidR="00B13BEF" w:rsidRPr="00B13BEF">
        <w:rPr>
          <w:sz w:val="20"/>
          <w:szCs w:val="20"/>
        </w:rPr>
        <w:t>views on scope and impact of RRM requirements related to L1/L2 centric mobility and unified TCI framework</w:t>
      </w:r>
      <w:r w:rsidR="00B13BEF" w:rsidRPr="00B13BEF">
        <w:rPr>
          <w:sz w:val="20"/>
          <w:szCs w:val="20"/>
        </w:rPr>
        <w:t xml:space="preserve"> </w:t>
      </w:r>
      <w:r w:rsidRPr="00B13BEF">
        <w:rPr>
          <w:sz w:val="20"/>
          <w:szCs w:val="20"/>
        </w:rPr>
        <w:t>Our observations and proposals are captured below:</w:t>
      </w:r>
    </w:p>
    <w:p w14:paraId="571E5FF1" w14:textId="37B72F94" w:rsidR="009F52D7" w:rsidRPr="00A7341F" w:rsidRDefault="00A7341F" w:rsidP="005B410D">
      <w:pPr>
        <w:spacing w:after="120"/>
        <w:rPr>
          <w:sz w:val="20"/>
          <w:szCs w:val="20"/>
          <w:u w:val="single"/>
        </w:rPr>
      </w:pPr>
      <w:r w:rsidRPr="00A7341F">
        <w:rPr>
          <w:sz w:val="20"/>
          <w:szCs w:val="20"/>
          <w:u w:val="single"/>
        </w:rPr>
        <w:t>Unified TCI for DL and UL</w:t>
      </w:r>
    </w:p>
    <w:p w14:paraId="4C9DF388" w14:textId="754748B6" w:rsidR="00A7341F" w:rsidRPr="00A7341F" w:rsidRDefault="00A7341F" w:rsidP="00A7341F">
      <w:pPr>
        <w:spacing w:after="120"/>
        <w:rPr>
          <w:rFonts w:eastAsia="SimSun"/>
          <w:sz w:val="20"/>
          <w:szCs w:val="20"/>
          <w:lang w:eastAsia="en-GB"/>
        </w:rPr>
      </w:pPr>
      <w:r>
        <w:rPr>
          <w:rFonts w:eastAsia="SimSun"/>
          <w:b/>
          <w:bCs/>
          <w:i/>
          <w:iCs/>
          <w:sz w:val="20"/>
          <w:szCs w:val="20"/>
          <w:lang w:eastAsia="en-GB"/>
        </w:rPr>
        <w:t xml:space="preserve">Observation #1: </w:t>
      </w:r>
      <w:r w:rsidRPr="004D78F5">
        <w:rPr>
          <w:rFonts w:eastAsia="SimSun"/>
          <w:i/>
          <w:iCs/>
          <w:sz w:val="20"/>
          <w:szCs w:val="20"/>
          <w:lang w:eastAsia="en-GB"/>
        </w:rPr>
        <w:t>Currently</w:t>
      </w:r>
      <w:r>
        <w:rPr>
          <w:rFonts w:eastAsia="SimSun"/>
          <w:b/>
          <w:bCs/>
          <w:i/>
          <w:iCs/>
          <w:sz w:val="20"/>
          <w:szCs w:val="20"/>
          <w:lang w:eastAsia="en-GB"/>
        </w:rPr>
        <w:t xml:space="preserve"> </w:t>
      </w:r>
      <w:r>
        <w:rPr>
          <w:rFonts w:eastAsia="SimSun"/>
          <w:i/>
          <w:iCs/>
          <w:sz w:val="20"/>
          <w:szCs w:val="20"/>
          <w:lang w:eastAsia="en-GB"/>
        </w:rPr>
        <w:t>the definition of QCL is only applicable to PDSCH and PDCCH.</w:t>
      </w:r>
      <w:r>
        <w:rPr>
          <w:rFonts w:eastAsia="SimSun"/>
          <w:sz w:val="20"/>
          <w:szCs w:val="20"/>
          <w:lang w:eastAsia="en-GB"/>
        </w:rPr>
        <w:t xml:space="preserve"> </w:t>
      </w:r>
    </w:p>
    <w:p w14:paraId="1176578D" w14:textId="3A118166" w:rsidR="00A7341F" w:rsidRPr="004D78F5" w:rsidRDefault="00A7341F" w:rsidP="00A7341F">
      <w:pPr>
        <w:spacing w:after="120"/>
        <w:rPr>
          <w:rFonts w:eastAsia="SimSun"/>
          <w:b/>
          <w:bCs/>
          <w:sz w:val="20"/>
          <w:szCs w:val="20"/>
          <w:lang w:eastAsia="en-GB"/>
        </w:rPr>
      </w:pPr>
      <w:r w:rsidRPr="004D78F5">
        <w:rPr>
          <w:rFonts w:eastAsia="SimSun"/>
          <w:b/>
          <w:bCs/>
          <w:sz w:val="20"/>
          <w:szCs w:val="20"/>
          <w:lang w:eastAsia="en-GB"/>
        </w:rPr>
        <w:t xml:space="preserve">Proposal #1: Update the definition of QCL to be applicable to PUCCH and PUSCH in Applicability of requirements for QCL. </w:t>
      </w:r>
    </w:p>
    <w:p w14:paraId="04097B3E" w14:textId="77777777" w:rsidR="00A7341F" w:rsidRDefault="00A7341F" w:rsidP="00A7341F">
      <w:pPr>
        <w:spacing w:after="120"/>
        <w:rPr>
          <w:rFonts w:eastAsia="SimSun"/>
          <w:b/>
          <w:bCs/>
          <w:sz w:val="20"/>
          <w:szCs w:val="20"/>
          <w:lang w:eastAsia="en-GB"/>
        </w:rPr>
      </w:pPr>
      <w:r>
        <w:rPr>
          <w:rFonts w:eastAsia="SimSun"/>
          <w:b/>
          <w:bCs/>
          <w:sz w:val="20"/>
          <w:szCs w:val="20"/>
          <w:lang w:eastAsia="en-GB"/>
        </w:rPr>
        <w:t>Proposal #2: Update TCI chain definition to include SRS.</w:t>
      </w:r>
    </w:p>
    <w:p w14:paraId="7AC9A3C8" w14:textId="77777777" w:rsidR="00A7341F" w:rsidRPr="007400F4" w:rsidRDefault="00A7341F" w:rsidP="00A7341F">
      <w:pPr>
        <w:spacing w:after="120"/>
        <w:rPr>
          <w:rFonts w:eastAsia="SimSun"/>
          <w:b/>
          <w:bCs/>
          <w:sz w:val="20"/>
          <w:szCs w:val="20"/>
          <w:lang w:eastAsia="en-GB"/>
        </w:rPr>
      </w:pPr>
      <w:r w:rsidRPr="007400F4">
        <w:rPr>
          <w:rFonts w:eastAsia="SimSun"/>
          <w:b/>
          <w:bCs/>
          <w:sz w:val="20"/>
          <w:szCs w:val="20"/>
          <w:lang w:eastAsia="en-GB"/>
        </w:rPr>
        <w:t>Proposal #</w:t>
      </w:r>
      <w:r>
        <w:rPr>
          <w:rFonts w:eastAsia="SimSun"/>
          <w:b/>
          <w:bCs/>
          <w:sz w:val="20"/>
          <w:szCs w:val="20"/>
          <w:lang w:eastAsia="en-GB"/>
        </w:rPr>
        <w:t>3</w:t>
      </w:r>
      <w:r w:rsidRPr="007400F4">
        <w:rPr>
          <w:rFonts w:eastAsia="SimSun"/>
          <w:b/>
          <w:bCs/>
          <w:sz w:val="20"/>
          <w:szCs w:val="20"/>
          <w:lang w:eastAsia="en-GB"/>
        </w:rPr>
        <w:t xml:space="preserve">: For the unified TCI framework, RAN4 discusses and defines </w:t>
      </w:r>
      <w:r>
        <w:rPr>
          <w:rFonts w:eastAsia="SimSun"/>
          <w:b/>
          <w:bCs/>
          <w:sz w:val="20"/>
          <w:szCs w:val="20"/>
          <w:lang w:eastAsia="en-GB"/>
        </w:rPr>
        <w:t>requirements for (1) TCI state switching delay for UL for separate TCI for UL, (2) TCI state switching delay for DL and UL for joint TCI.</w:t>
      </w:r>
    </w:p>
    <w:p w14:paraId="5FFD0A37" w14:textId="37601EA1" w:rsidR="00DF1ED2" w:rsidRDefault="00DF1ED2" w:rsidP="005B410D">
      <w:pPr>
        <w:spacing w:after="120"/>
        <w:rPr>
          <w:sz w:val="20"/>
          <w:szCs w:val="20"/>
        </w:rPr>
      </w:pPr>
    </w:p>
    <w:p w14:paraId="7D83CE1E" w14:textId="7F2C84C3" w:rsidR="00A7341F" w:rsidRDefault="00A7341F" w:rsidP="005B410D">
      <w:pPr>
        <w:spacing w:after="120"/>
        <w:rPr>
          <w:sz w:val="20"/>
          <w:szCs w:val="20"/>
          <w:u w:val="single"/>
        </w:rPr>
      </w:pPr>
      <w:r w:rsidRPr="00A7341F">
        <w:rPr>
          <w:sz w:val="20"/>
          <w:szCs w:val="20"/>
          <w:u w:val="single"/>
        </w:rPr>
        <w:t>L1/L2 Centric Mobility</w:t>
      </w:r>
    </w:p>
    <w:p w14:paraId="69EE264C" w14:textId="046A04F1" w:rsidR="00A7341F" w:rsidRDefault="00A7341F" w:rsidP="005B410D">
      <w:pPr>
        <w:spacing w:after="120"/>
        <w:rPr>
          <w:sz w:val="20"/>
          <w:szCs w:val="20"/>
          <w:u w:val="single"/>
        </w:rPr>
      </w:pPr>
      <w:r>
        <w:rPr>
          <w:sz w:val="20"/>
          <w:szCs w:val="20"/>
          <w:u w:val="single"/>
        </w:rPr>
        <w:t>L1-RSRP Measurements for non-serving cell</w:t>
      </w:r>
    </w:p>
    <w:p w14:paraId="01D7A116" w14:textId="77777777" w:rsidR="00A7341F" w:rsidRPr="00A1061F" w:rsidRDefault="00A7341F" w:rsidP="00A7341F">
      <w:pPr>
        <w:spacing w:after="120"/>
        <w:rPr>
          <w:i/>
          <w:iCs/>
          <w:sz w:val="20"/>
          <w:szCs w:val="20"/>
          <w:lang w:eastAsia="en-GB"/>
        </w:rPr>
      </w:pPr>
      <w:r w:rsidRPr="00A1061F">
        <w:rPr>
          <w:b/>
          <w:bCs/>
          <w:i/>
          <w:iCs/>
          <w:sz w:val="20"/>
          <w:szCs w:val="20"/>
          <w:lang w:eastAsia="en-GB"/>
        </w:rPr>
        <w:t>Observation #</w:t>
      </w:r>
      <w:r>
        <w:rPr>
          <w:b/>
          <w:bCs/>
          <w:i/>
          <w:iCs/>
          <w:sz w:val="20"/>
          <w:szCs w:val="20"/>
          <w:lang w:eastAsia="en-GB"/>
        </w:rPr>
        <w:t>2</w:t>
      </w:r>
      <w:r w:rsidRPr="00A1061F">
        <w:rPr>
          <w:b/>
          <w:bCs/>
          <w:i/>
          <w:iCs/>
          <w:sz w:val="20"/>
          <w:szCs w:val="20"/>
          <w:lang w:eastAsia="en-GB"/>
        </w:rPr>
        <w:t xml:space="preserve">: </w:t>
      </w:r>
      <w:r w:rsidRPr="00A1061F">
        <w:rPr>
          <w:i/>
          <w:iCs/>
          <w:sz w:val="20"/>
          <w:szCs w:val="20"/>
          <w:lang w:eastAsia="en-GB"/>
        </w:rPr>
        <w:t xml:space="preserve">Based on current agreements in RAN1 and RAN Plenary, neighbor cell measurements to support L1/L2 centric mobility are SSB based intra-frequency L1-RSRP measurements. </w:t>
      </w:r>
    </w:p>
    <w:p w14:paraId="484B8383" w14:textId="77777777" w:rsidR="00A7341F" w:rsidRDefault="00A7341F" w:rsidP="00A7341F">
      <w:pPr>
        <w:spacing w:after="120"/>
        <w:rPr>
          <w:b/>
          <w:bCs/>
          <w:sz w:val="20"/>
          <w:szCs w:val="20"/>
          <w:lang w:eastAsia="en-GB"/>
        </w:rPr>
      </w:pPr>
      <w:r>
        <w:rPr>
          <w:b/>
          <w:bCs/>
          <w:sz w:val="20"/>
          <w:szCs w:val="20"/>
          <w:lang w:eastAsia="en-GB"/>
        </w:rPr>
        <w:t xml:space="preserve">Proposal #4: RAN4 should define (1) </w:t>
      </w:r>
      <w:r w:rsidRPr="00530462">
        <w:rPr>
          <w:b/>
          <w:bCs/>
          <w:sz w:val="20"/>
          <w:szCs w:val="20"/>
          <w:lang w:eastAsia="en-GB"/>
        </w:rPr>
        <w:t>Measurement period</w:t>
      </w:r>
      <w:r>
        <w:rPr>
          <w:b/>
          <w:bCs/>
          <w:sz w:val="20"/>
          <w:szCs w:val="20"/>
          <w:lang w:eastAsia="en-GB"/>
        </w:rPr>
        <w:t xml:space="preserve">, (2) </w:t>
      </w:r>
      <w:r w:rsidRPr="00530462">
        <w:rPr>
          <w:b/>
          <w:bCs/>
          <w:sz w:val="20"/>
          <w:szCs w:val="20"/>
          <w:lang w:eastAsia="en-GB"/>
        </w:rPr>
        <w:t>Measurement restriction</w:t>
      </w:r>
      <w:r>
        <w:rPr>
          <w:b/>
          <w:bCs/>
          <w:sz w:val="20"/>
          <w:szCs w:val="20"/>
          <w:lang w:eastAsia="en-GB"/>
        </w:rPr>
        <w:t xml:space="preserve"> and (3) Scheduling restriction for </w:t>
      </w:r>
      <w:r w:rsidRPr="00530462">
        <w:rPr>
          <w:b/>
          <w:bCs/>
          <w:sz w:val="20"/>
          <w:szCs w:val="20"/>
          <w:lang w:eastAsia="en-GB"/>
        </w:rPr>
        <w:t xml:space="preserve">SSB based L1-RSRP measurements </w:t>
      </w:r>
      <w:r>
        <w:rPr>
          <w:b/>
          <w:bCs/>
          <w:sz w:val="20"/>
          <w:szCs w:val="20"/>
          <w:lang w:eastAsia="en-GB"/>
        </w:rPr>
        <w:t>on</w:t>
      </w:r>
      <w:r w:rsidRPr="00530462">
        <w:rPr>
          <w:b/>
          <w:bCs/>
          <w:sz w:val="20"/>
          <w:szCs w:val="20"/>
          <w:lang w:eastAsia="en-GB"/>
        </w:rPr>
        <w:t xml:space="preserve"> neighbor cell</w:t>
      </w:r>
      <w:r>
        <w:rPr>
          <w:b/>
          <w:bCs/>
          <w:sz w:val="20"/>
          <w:szCs w:val="20"/>
          <w:lang w:eastAsia="en-GB"/>
        </w:rPr>
        <w:t>.</w:t>
      </w:r>
    </w:p>
    <w:p w14:paraId="14010D1D" w14:textId="77777777" w:rsidR="00A7341F" w:rsidRPr="003F6B53" w:rsidRDefault="00A7341F" w:rsidP="00A7341F">
      <w:pPr>
        <w:spacing w:after="120"/>
        <w:rPr>
          <w:b/>
          <w:bCs/>
          <w:sz w:val="20"/>
          <w:szCs w:val="20"/>
          <w:lang w:eastAsia="en-GB"/>
        </w:rPr>
      </w:pPr>
      <w:r>
        <w:rPr>
          <w:b/>
          <w:bCs/>
          <w:sz w:val="20"/>
          <w:szCs w:val="20"/>
          <w:lang w:eastAsia="en-GB"/>
        </w:rPr>
        <w:t xml:space="preserve">Proposal #5: Define SSB based L1-RSRP measurement period for neighbor cell </w:t>
      </w:r>
      <w:proofErr w:type="gramStart"/>
      <w:r>
        <w:rPr>
          <w:b/>
          <w:bCs/>
          <w:sz w:val="20"/>
          <w:szCs w:val="20"/>
          <w:lang w:eastAsia="en-GB"/>
        </w:rPr>
        <w:t>similar to</w:t>
      </w:r>
      <w:proofErr w:type="gramEnd"/>
      <w:r>
        <w:rPr>
          <w:b/>
          <w:bCs/>
          <w:sz w:val="20"/>
          <w:szCs w:val="20"/>
          <w:lang w:eastAsia="en-GB"/>
        </w:rPr>
        <w:t xml:space="preserve"> existing serving cell requirements. </w:t>
      </w:r>
    </w:p>
    <w:p w14:paraId="0760D7D2" w14:textId="77777777" w:rsidR="00A7341F" w:rsidRPr="003F6B53" w:rsidRDefault="00A7341F" w:rsidP="00A7341F">
      <w:pPr>
        <w:spacing w:after="120"/>
        <w:rPr>
          <w:i/>
          <w:iCs/>
          <w:sz w:val="20"/>
          <w:szCs w:val="20"/>
          <w:lang w:eastAsia="en-GB"/>
        </w:rPr>
      </w:pPr>
      <w:r w:rsidRPr="003F6B53">
        <w:rPr>
          <w:b/>
          <w:bCs/>
          <w:i/>
          <w:iCs/>
          <w:sz w:val="20"/>
          <w:szCs w:val="20"/>
          <w:lang w:eastAsia="en-GB"/>
        </w:rPr>
        <w:t>Observation #</w:t>
      </w:r>
      <w:r>
        <w:rPr>
          <w:b/>
          <w:bCs/>
          <w:i/>
          <w:iCs/>
          <w:sz w:val="20"/>
          <w:szCs w:val="20"/>
          <w:lang w:eastAsia="en-GB"/>
        </w:rPr>
        <w:t>3</w:t>
      </w:r>
      <w:r w:rsidRPr="003F6B53">
        <w:rPr>
          <w:b/>
          <w:bCs/>
          <w:i/>
          <w:iCs/>
          <w:sz w:val="20"/>
          <w:szCs w:val="20"/>
          <w:lang w:eastAsia="en-GB"/>
        </w:rPr>
        <w:t>:</w:t>
      </w:r>
      <w:r w:rsidRPr="003F6B53">
        <w:rPr>
          <w:i/>
          <w:iCs/>
          <w:sz w:val="20"/>
          <w:szCs w:val="20"/>
          <w:lang w:eastAsia="en-GB"/>
        </w:rPr>
        <w:t xml:space="preserve"> Definition of ‘P’ in measurement period shall depend on whether L1-RSRP measurements for non-serving cell are limited to SMTC. </w:t>
      </w:r>
    </w:p>
    <w:p w14:paraId="2944554D" w14:textId="77777777" w:rsidR="00A7341F" w:rsidRPr="00A25BCD" w:rsidRDefault="00A7341F" w:rsidP="00A7341F">
      <w:pPr>
        <w:spacing w:after="120"/>
        <w:rPr>
          <w:b/>
          <w:bCs/>
          <w:sz w:val="20"/>
          <w:szCs w:val="20"/>
          <w:lang w:eastAsia="en-GB"/>
        </w:rPr>
      </w:pPr>
      <w:r>
        <w:rPr>
          <w:b/>
          <w:bCs/>
          <w:sz w:val="20"/>
          <w:szCs w:val="20"/>
          <w:lang w:eastAsia="en-GB"/>
        </w:rPr>
        <w:t xml:space="preserve">Proposal #6: RAN4 further discussed definition of P for L1-RSRP measurement on neighbor cell once RAN1 has agreement on whether it should be limited to SMTC or not. </w:t>
      </w:r>
    </w:p>
    <w:p w14:paraId="3D8945C9" w14:textId="77777777" w:rsidR="00A7341F" w:rsidRPr="00B97332" w:rsidRDefault="00A7341F" w:rsidP="00A7341F">
      <w:pPr>
        <w:spacing w:after="120"/>
        <w:rPr>
          <w:b/>
          <w:bCs/>
          <w:sz w:val="20"/>
          <w:szCs w:val="20"/>
          <w:lang w:eastAsia="en-GB"/>
        </w:rPr>
      </w:pPr>
      <w:r>
        <w:rPr>
          <w:b/>
          <w:bCs/>
          <w:sz w:val="20"/>
          <w:szCs w:val="20"/>
          <w:lang w:eastAsia="en-GB"/>
        </w:rPr>
        <w:t xml:space="preserve">Proposal #7: Define Measurement restriction </w:t>
      </w:r>
      <w:r w:rsidRPr="00B97332">
        <w:rPr>
          <w:b/>
          <w:bCs/>
          <w:sz w:val="20"/>
          <w:szCs w:val="20"/>
          <w:lang w:eastAsia="en-GB"/>
        </w:rPr>
        <w:t>on SSB based L1-RSRP measurements</w:t>
      </w:r>
      <w:r>
        <w:rPr>
          <w:b/>
          <w:bCs/>
          <w:sz w:val="20"/>
          <w:szCs w:val="20"/>
          <w:lang w:eastAsia="en-GB"/>
        </w:rPr>
        <w:t xml:space="preserve"> for non-serving cell</w:t>
      </w:r>
      <w:r w:rsidRPr="00B97332">
        <w:rPr>
          <w:b/>
          <w:bCs/>
          <w:sz w:val="20"/>
          <w:szCs w:val="20"/>
          <w:lang w:eastAsia="en-GB"/>
        </w:rPr>
        <w:t>, if the SSB from non-serving cell is on the same OFDM symbol as SSB or CSI-RS from serving cell for other L1 measurements</w:t>
      </w:r>
      <w:r>
        <w:rPr>
          <w:b/>
          <w:bCs/>
          <w:sz w:val="20"/>
          <w:szCs w:val="20"/>
          <w:lang w:eastAsia="en-GB"/>
        </w:rPr>
        <w:t>.</w:t>
      </w:r>
    </w:p>
    <w:p w14:paraId="56470F8D" w14:textId="77777777" w:rsidR="00A7341F" w:rsidRDefault="00A7341F" w:rsidP="00A7341F">
      <w:pPr>
        <w:spacing w:after="120"/>
        <w:rPr>
          <w:b/>
          <w:bCs/>
          <w:sz w:val="20"/>
          <w:szCs w:val="20"/>
          <w:lang w:eastAsia="en-GB"/>
        </w:rPr>
      </w:pPr>
      <w:r>
        <w:rPr>
          <w:b/>
          <w:bCs/>
          <w:sz w:val="20"/>
          <w:szCs w:val="20"/>
          <w:lang w:eastAsia="en-GB"/>
        </w:rPr>
        <w:t xml:space="preserve">Proposal #8: Define scheduling availability for UE performing L1-RSRP measurement on neighbor cell. </w:t>
      </w:r>
    </w:p>
    <w:p w14:paraId="7FFFA681" w14:textId="77777777" w:rsidR="00A7341F" w:rsidRDefault="00A7341F" w:rsidP="00A7341F">
      <w:pPr>
        <w:spacing w:after="120"/>
        <w:rPr>
          <w:sz w:val="20"/>
          <w:szCs w:val="20"/>
          <w:u w:val="single"/>
        </w:rPr>
      </w:pPr>
    </w:p>
    <w:p w14:paraId="5867B6E8" w14:textId="1C839BE0" w:rsidR="00A7341F" w:rsidRPr="00A7341F" w:rsidRDefault="00A7341F" w:rsidP="00A7341F">
      <w:pPr>
        <w:spacing w:after="120"/>
        <w:rPr>
          <w:sz w:val="20"/>
          <w:szCs w:val="20"/>
          <w:u w:val="single"/>
        </w:rPr>
      </w:pPr>
      <w:r>
        <w:rPr>
          <w:sz w:val="20"/>
          <w:szCs w:val="20"/>
          <w:u w:val="single"/>
        </w:rPr>
        <w:t>TCI State Switch</w:t>
      </w:r>
      <w:r>
        <w:rPr>
          <w:sz w:val="20"/>
          <w:szCs w:val="20"/>
          <w:u w:val="single"/>
        </w:rPr>
        <w:t xml:space="preserve"> for non-serving cell</w:t>
      </w:r>
    </w:p>
    <w:p w14:paraId="625EA1EE" w14:textId="351DEF07" w:rsidR="00A7341F" w:rsidRDefault="00A7341F" w:rsidP="00A7341F">
      <w:pPr>
        <w:spacing w:after="120"/>
        <w:rPr>
          <w:b/>
          <w:bCs/>
          <w:sz w:val="20"/>
          <w:szCs w:val="20"/>
          <w:lang w:eastAsia="en-GB"/>
        </w:rPr>
      </w:pPr>
      <w:r>
        <w:rPr>
          <w:b/>
          <w:bCs/>
          <w:sz w:val="20"/>
          <w:szCs w:val="20"/>
          <w:lang w:eastAsia="en-GB"/>
        </w:rPr>
        <w:t xml:space="preserve">Proposal #9: RAN4 needs to define requirements for TCI state switch for neighbor cell to support L1/L2 centric inter-cell mobility. </w:t>
      </w:r>
    </w:p>
    <w:p w14:paraId="63770FFC" w14:textId="77777777" w:rsidR="00A7341F" w:rsidRDefault="00A7341F" w:rsidP="00A7341F">
      <w:pPr>
        <w:spacing w:after="120"/>
        <w:rPr>
          <w:b/>
          <w:bCs/>
          <w:sz w:val="20"/>
          <w:szCs w:val="20"/>
          <w:lang w:eastAsia="en-GB"/>
        </w:rPr>
      </w:pPr>
      <w:r>
        <w:rPr>
          <w:b/>
          <w:bCs/>
          <w:sz w:val="20"/>
          <w:szCs w:val="20"/>
          <w:lang w:eastAsia="en-GB"/>
        </w:rPr>
        <w:t xml:space="preserve">Proposal #10: Define known TCI state for non-serving cell based on the definition for serving cell. </w:t>
      </w:r>
    </w:p>
    <w:p w14:paraId="69AD1F4B" w14:textId="77777777" w:rsidR="00A7341F" w:rsidRPr="00E67BA9" w:rsidRDefault="00A7341F" w:rsidP="00A7341F">
      <w:pPr>
        <w:spacing w:after="120"/>
        <w:rPr>
          <w:b/>
          <w:bCs/>
          <w:sz w:val="20"/>
          <w:szCs w:val="20"/>
          <w:lang w:eastAsia="en-GB"/>
        </w:rPr>
      </w:pPr>
      <w:r>
        <w:rPr>
          <w:b/>
          <w:bCs/>
          <w:sz w:val="20"/>
          <w:szCs w:val="20"/>
          <w:lang w:eastAsia="en-GB"/>
        </w:rPr>
        <w:t>Proposal #11: Define MAC CE and DCI based TCI state switch for non-serving cell.</w:t>
      </w:r>
    </w:p>
    <w:p w14:paraId="31967DE7" w14:textId="77777777" w:rsidR="00A7341F" w:rsidRDefault="00A7341F" w:rsidP="00A7341F">
      <w:pPr>
        <w:spacing w:after="120"/>
        <w:rPr>
          <w:b/>
          <w:bCs/>
          <w:sz w:val="20"/>
          <w:szCs w:val="20"/>
          <w:lang w:eastAsia="en-GB"/>
        </w:rPr>
      </w:pPr>
      <w:r>
        <w:rPr>
          <w:b/>
          <w:bCs/>
          <w:sz w:val="20"/>
          <w:szCs w:val="20"/>
          <w:lang w:eastAsia="en-GB"/>
        </w:rPr>
        <w:t xml:space="preserve">Proposal #12: Components of delay for TCI state switching for non-serving cell are (1) </w:t>
      </w:r>
      <w:r w:rsidRPr="00B46531">
        <w:rPr>
          <w:b/>
          <w:bCs/>
          <w:sz w:val="20"/>
          <w:szCs w:val="20"/>
          <w:lang w:eastAsia="en-GB"/>
        </w:rPr>
        <w:t>MAC-CE decoding or DCI processing time</w:t>
      </w:r>
      <w:r>
        <w:rPr>
          <w:b/>
          <w:bCs/>
          <w:sz w:val="20"/>
          <w:szCs w:val="20"/>
          <w:lang w:eastAsia="en-GB"/>
        </w:rPr>
        <w:t xml:space="preserve">, (2) </w:t>
      </w:r>
      <w:r w:rsidRPr="00B46531">
        <w:rPr>
          <w:b/>
          <w:bCs/>
          <w:sz w:val="20"/>
          <w:szCs w:val="20"/>
          <w:lang w:eastAsia="en-GB"/>
        </w:rPr>
        <w:t>Time acquisition delay if target TCI was not in active TCI list monitored by UE</w:t>
      </w:r>
      <w:r>
        <w:rPr>
          <w:b/>
          <w:bCs/>
          <w:sz w:val="20"/>
          <w:szCs w:val="20"/>
          <w:lang w:eastAsia="en-GB"/>
        </w:rPr>
        <w:t xml:space="preserve">, (3) </w:t>
      </w:r>
      <w:r w:rsidRPr="00B46531">
        <w:rPr>
          <w:b/>
          <w:bCs/>
          <w:sz w:val="20"/>
          <w:szCs w:val="20"/>
          <w:lang w:eastAsia="en-GB"/>
        </w:rPr>
        <w:t>Time for RX beam acquisition if target TCI state is unknown</w:t>
      </w:r>
      <w:r>
        <w:rPr>
          <w:b/>
          <w:bCs/>
          <w:sz w:val="20"/>
          <w:szCs w:val="20"/>
          <w:lang w:eastAsia="en-GB"/>
        </w:rPr>
        <w:t xml:space="preserve">, (4) </w:t>
      </w:r>
      <w:r w:rsidRPr="00B46531">
        <w:rPr>
          <w:b/>
          <w:bCs/>
          <w:sz w:val="20"/>
          <w:szCs w:val="20"/>
          <w:lang w:eastAsia="en-GB"/>
        </w:rPr>
        <w:t>Time for Active BWP switch</w:t>
      </w:r>
      <w:r>
        <w:rPr>
          <w:b/>
          <w:bCs/>
          <w:sz w:val="20"/>
          <w:szCs w:val="20"/>
          <w:lang w:eastAsia="en-GB"/>
        </w:rPr>
        <w:t>.</w:t>
      </w:r>
    </w:p>
    <w:p w14:paraId="7568D1D8" w14:textId="77777777" w:rsidR="00A7341F" w:rsidRDefault="00A7341F" w:rsidP="00A7341F">
      <w:pPr>
        <w:spacing w:after="120"/>
        <w:rPr>
          <w:sz w:val="20"/>
          <w:szCs w:val="20"/>
          <w:lang w:eastAsia="en-GB"/>
        </w:rPr>
      </w:pPr>
      <w:r>
        <w:rPr>
          <w:b/>
          <w:bCs/>
          <w:sz w:val="20"/>
          <w:szCs w:val="20"/>
          <w:lang w:eastAsia="en-GB"/>
        </w:rPr>
        <w:lastRenderedPageBreak/>
        <w:t xml:space="preserve">Proposal #13: </w:t>
      </w:r>
      <w:r w:rsidRPr="00A7341F">
        <w:rPr>
          <w:b/>
          <w:bCs/>
          <w:sz w:val="20"/>
          <w:szCs w:val="20"/>
          <w:lang w:eastAsia="en-GB"/>
        </w:rPr>
        <w:t>Discuss and define interruption requirements for TCI state switch to non-serving cell.</w:t>
      </w:r>
      <w:r>
        <w:rPr>
          <w:sz w:val="20"/>
          <w:szCs w:val="20"/>
          <w:lang w:eastAsia="en-GB"/>
        </w:rPr>
        <w:t xml:space="preserve"> </w:t>
      </w:r>
    </w:p>
    <w:p w14:paraId="51473DE2" w14:textId="77777777" w:rsidR="00A7341F" w:rsidRPr="00B13BEF" w:rsidRDefault="00A7341F" w:rsidP="00A7341F">
      <w:pPr>
        <w:spacing w:after="120"/>
        <w:rPr>
          <w:b/>
          <w:bCs/>
          <w:sz w:val="20"/>
          <w:szCs w:val="20"/>
          <w:lang w:eastAsia="en-GB"/>
        </w:rPr>
      </w:pPr>
      <w:r>
        <w:rPr>
          <w:b/>
          <w:bCs/>
          <w:sz w:val="20"/>
          <w:szCs w:val="20"/>
          <w:lang w:eastAsia="en-GB"/>
        </w:rPr>
        <w:t xml:space="preserve">Proposal #14: Consider TCI state switch to non-serving cell in new requirements for unified TCI framework. </w:t>
      </w:r>
    </w:p>
    <w:p w14:paraId="60BC8BD8" w14:textId="77777777" w:rsidR="00A7341F" w:rsidRPr="00A7341F" w:rsidRDefault="00A7341F" w:rsidP="005B410D">
      <w:pPr>
        <w:spacing w:after="120"/>
        <w:rPr>
          <w:sz w:val="20"/>
          <w:szCs w:val="20"/>
          <w:u w:val="single"/>
        </w:rPr>
      </w:pPr>
    </w:p>
    <w:p w14:paraId="43538C86" w14:textId="77777777" w:rsidR="009F52D7" w:rsidRPr="00A1061F" w:rsidRDefault="009F52D7" w:rsidP="009F52D7">
      <w:pPr>
        <w:pStyle w:val="Heading1"/>
        <w:ind w:left="432" w:hanging="432"/>
        <w:rPr>
          <w:lang w:val="en-US"/>
        </w:rPr>
      </w:pPr>
      <w:r w:rsidRPr="00A1061F">
        <w:rPr>
          <w:lang w:val="en-US"/>
        </w:rPr>
        <w:t>Reference</w:t>
      </w:r>
    </w:p>
    <w:p w14:paraId="7742C0B3" w14:textId="2F647AD7" w:rsidR="009F52D7" w:rsidRPr="00A1061F" w:rsidRDefault="009F52D7" w:rsidP="009F52D7">
      <w:pPr>
        <w:pStyle w:val="ListParagraph"/>
        <w:numPr>
          <w:ilvl w:val="0"/>
          <w:numId w:val="2"/>
        </w:numPr>
        <w:spacing w:after="120"/>
        <w:ind w:firstLineChars="0"/>
        <w:jc w:val="both"/>
        <w:rPr>
          <w:rFonts w:ascii="Times New Roman" w:hAnsi="Times New Roman" w:cs="Times New Roman"/>
          <w:sz w:val="20"/>
          <w:szCs w:val="20"/>
        </w:rPr>
      </w:pPr>
      <w:r w:rsidRPr="00A1061F">
        <w:rPr>
          <w:rFonts w:ascii="Times New Roman" w:hAnsi="Times New Roman" w:cs="Times New Roman"/>
          <w:sz w:val="20"/>
          <w:szCs w:val="20"/>
        </w:rPr>
        <w:t xml:space="preserve"> </w:t>
      </w:r>
      <w:r w:rsidR="003C40F2" w:rsidRPr="00A1061F">
        <w:rPr>
          <w:rFonts w:ascii="Times New Roman" w:hAnsi="Times New Roman" w:cs="Times New Roman"/>
          <w:sz w:val="20"/>
          <w:szCs w:val="20"/>
        </w:rPr>
        <w:t>R4-2108358</w:t>
      </w:r>
      <w:r w:rsidRPr="00A1061F">
        <w:rPr>
          <w:rFonts w:ascii="Times New Roman" w:hAnsi="Times New Roman" w:cs="Times New Roman"/>
          <w:sz w:val="20"/>
          <w:szCs w:val="20"/>
        </w:rPr>
        <w:t>, “</w:t>
      </w:r>
      <w:r w:rsidR="003C40F2" w:rsidRPr="00A1061F">
        <w:rPr>
          <w:rFonts w:ascii="Times New Roman" w:hAnsi="Times New Roman" w:cs="Times New Roman"/>
          <w:sz w:val="20"/>
          <w:szCs w:val="20"/>
        </w:rPr>
        <w:t xml:space="preserve">Work plan for Rel-17 </w:t>
      </w:r>
      <w:proofErr w:type="spellStart"/>
      <w:r w:rsidR="003C40F2" w:rsidRPr="00A1061F">
        <w:rPr>
          <w:rFonts w:ascii="Times New Roman" w:hAnsi="Times New Roman" w:cs="Times New Roman"/>
          <w:sz w:val="20"/>
          <w:szCs w:val="20"/>
        </w:rPr>
        <w:t>FeMIMO</w:t>
      </w:r>
      <w:proofErr w:type="spellEnd"/>
      <w:r w:rsidR="003C40F2" w:rsidRPr="00A1061F">
        <w:rPr>
          <w:rFonts w:ascii="Times New Roman" w:hAnsi="Times New Roman" w:cs="Times New Roman"/>
          <w:sz w:val="20"/>
          <w:szCs w:val="20"/>
        </w:rPr>
        <w:t xml:space="preserve"> RRM</w:t>
      </w:r>
      <w:r w:rsidRPr="00A1061F">
        <w:rPr>
          <w:rFonts w:ascii="Times New Roman" w:hAnsi="Times New Roman" w:cs="Times New Roman"/>
          <w:sz w:val="20"/>
          <w:szCs w:val="20"/>
        </w:rPr>
        <w:t xml:space="preserve">”, </w:t>
      </w:r>
      <w:r w:rsidR="003C40F2" w:rsidRPr="00A1061F">
        <w:rPr>
          <w:rFonts w:ascii="Times New Roman" w:hAnsi="Times New Roman" w:cs="Times New Roman"/>
          <w:sz w:val="20"/>
          <w:szCs w:val="20"/>
        </w:rPr>
        <w:t>Samsung</w:t>
      </w:r>
      <w:r w:rsidRPr="00A1061F">
        <w:rPr>
          <w:rFonts w:ascii="Times New Roman" w:hAnsi="Times New Roman" w:cs="Times New Roman"/>
          <w:sz w:val="20"/>
          <w:szCs w:val="20"/>
        </w:rPr>
        <w:t xml:space="preserve">.  </w:t>
      </w:r>
    </w:p>
    <w:p w14:paraId="3CC9649F" w14:textId="04E077EB" w:rsidR="00AD2065" w:rsidRPr="00A1061F" w:rsidRDefault="00AD2065" w:rsidP="009F52D7">
      <w:pPr>
        <w:pStyle w:val="ListParagraph"/>
        <w:numPr>
          <w:ilvl w:val="0"/>
          <w:numId w:val="2"/>
        </w:numPr>
        <w:spacing w:after="120"/>
        <w:ind w:firstLineChars="0"/>
        <w:jc w:val="both"/>
        <w:rPr>
          <w:rFonts w:ascii="Times New Roman" w:hAnsi="Times New Roman" w:cs="Times New Roman"/>
          <w:sz w:val="20"/>
          <w:szCs w:val="20"/>
        </w:rPr>
      </w:pPr>
      <w:r w:rsidRPr="00A1061F">
        <w:rPr>
          <w:rFonts w:ascii="Times New Roman" w:hAnsi="Times New Roman" w:cs="Times New Roman"/>
          <w:sz w:val="20"/>
          <w:szCs w:val="20"/>
        </w:rPr>
        <w:t xml:space="preserve">RP-211586, “Revised WID: </w:t>
      </w:r>
      <w:r w:rsidRPr="00A1061F">
        <w:rPr>
          <w:rFonts w:ascii="Times New Roman" w:hAnsi="Times New Roman" w:cs="Times New Roman"/>
          <w:bCs/>
          <w:sz w:val="20"/>
          <w:szCs w:val="20"/>
        </w:rPr>
        <w:t>Further enhancements on MIMO for NR”, Samsung</w:t>
      </w:r>
      <w:r w:rsidRPr="00A1061F">
        <w:rPr>
          <w:rFonts w:ascii="Times New Roman" w:hAnsi="Times New Roman" w:cs="Times New Roman"/>
          <w:sz w:val="20"/>
          <w:szCs w:val="20"/>
        </w:rPr>
        <w:t xml:space="preserve"> </w:t>
      </w:r>
    </w:p>
    <w:p w14:paraId="56E792EE" w14:textId="77777777" w:rsidR="009F52D7" w:rsidRPr="00A1061F" w:rsidRDefault="009F52D7" w:rsidP="009F52D7"/>
    <w:p w14:paraId="57796A25" w14:textId="77777777" w:rsidR="00924CB2" w:rsidRPr="00A1061F" w:rsidRDefault="00924CB2"/>
    <w:sectPr w:rsidR="00924CB2" w:rsidRPr="00A1061F" w:rsidSect="00B10FA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624538A"/>
    <w:multiLevelType w:val="hybridMultilevel"/>
    <w:tmpl w:val="1F7E87CC"/>
    <w:lvl w:ilvl="0" w:tplc="4AF896A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716D2F"/>
    <w:multiLevelType w:val="hybridMultilevel"/>
    <w:tmpl w:val="C89EE7C4"/>
    <w:lvl w:ilvl="0" w:tplc="4AF896A6">
      <w:start w:val="1"/>
      <w:numFmt w:val="bullet"/>
      <w:lvlText w:val="–"/>
      <w:lvlJc w:val="left"/>
      <w:pPr>
        <w:ind w:left="773" w:hanging="360"/>
      </w:pPr>
      <w:rPr>
        <w:rFonts w:ascii="Arial" w:hAnsi="Aria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 w15:restartNumberingAfterBreak="0">
    <w:nsid w:val="17670EB8"/>
    <w:multiLevelType w:val="hybridMultilevel"/>
    <w:tmpl w:val="922E6770"/>
    <w:lvl w:ilvl="0" w:tplc="C32E436E">
      <w:start w:val="1"/>
      <w:numFmt w:val="bullet"/>
      <w:lvlText w:val="•"/>
      <w:lvlJc w:val="left"/>
      <w:pPr>
        <w:tabs>
          <w:tab w:val="num" w:pos="720"/>
        </w:tabs>
        <w:ind w:left="720" w:hanging="360"/>
      </w:pPr>
      <w:rPr>
        <w:rFonts w:ascii="Arial" w:hAnsi="Arial" w:hint="default"/>
      </w:rPr>
    </w:lvl>
    <w:lvl w:ilvl="1" w:tplc="211A6CDA">
      <w:start w:val="1"/>
      <w:numFmt w:val="bullet"/>
      <w:lvlText w:val="•"/>
      <w:lvlJc w:val="left"/>
      <w:pPr>
        <w:tabs>
          <w:tab w:val="num" w:pos="1440"/>
        </w:tabs>
        <w:ind w:left="1440" w:hanging="360"/>
      </w:pPr>
      <w:rPr>
        <w:rFonts w:ascii="Arial" w:hAnsi="Arial" w:hint="default"/>
      </w:rPr>
    </w:lvl>
    <w:lvl w:ilvl="2" w:tplc="66763FCC" w:tentative="1">
      <w:start w:val="1"/>
      <w:numFmt w:val="bullet"/>
      <w:lvlText w:val="•"/>
      <w:lvlJc w:val="left"/>
      <w:pPr>
        <w:tabs>
          <w:tab w:val="num" w:pos="2160"/>
        </w:tabs>
        <w:ind w:left="2160" w:hanging="360"/>
      </w:pPr>
      <w:rPr>
        <w:rFonts w:ascii="Arial" w:hAnsi="Arial" w:hint="default"/>
      </w:rPr>
    </w:lvl>
    <w:lvl w:ilvl="3" w:tplc="E99A76EE" w:tentative="1">
      <w:start w:val="1"/>
      <w:numFmt w:val="bullet"/>
      <w:lvlText w:val="•"/>
      <w:lvlJc w:val="left"/>
      <w:pPr>
        <w:tabs>
          <w:tab w:val="num" w:pos="2880"/>
        </w:tabs>
        <w:ind w:left="2880" w:hanging="360"/>
      </w:pPr>
      <w:rPr>
        <w:rFonts w:ascii="Arial" w:hAnsi="Arial" w:hint="default"/>
      </w:rPr>
    </w:lvl>
    <w:lvl w:ilvl="4" w:tplc="289EA454" w:tentative="1">
      <w:start w:val="1"/>
      <w:numFmt w:val="bullet"/>
      <w:lvlText w:val="•"/>
      <w:lvlJc w:val="left"/>
      <w:pPr>
        <w:tabs>
          <w:tab w:val="num" w:pos="3600"/>
        </w:tabs>
        <w:ind w:left="3600" w:hanging="360"/>
      </w:pPr>
      <w:rPr>
        <w:rFonts w:ascii="Arial" w:hAnsi="Arial" w:hint="default"/>
      </w:rPr>
    </w:lvl>
    <w:lvl w:ilvl="5" w:tplc="BC84BF78" w:tentative="1">
      <w:start w:val="1"/>
      <w:numFmt w:val="bullet"/>
      <w:lvlText w:val="•"/>
      <w:lvlJc w:val="left"/>
      <w:pPr>
        <w:tabs>
          <w:tab w:val="num" w:pos="4320"/>
        </w:tabs>
        <w:ind w:left="4320" w:hanging="360"/>
      </w:pPr>
      <w:rPr>
        <w:rFonts w:ascii="Arial" w:hAnsi="Arial" w:hint="default"/>
      </w:rPr>
    </w:lvl>
    <w:lvl w:ilvl="6" w:tplc="E834B286" w:tentative="1">
      <w:start w:val="1"/>
      <w:numFmt w:val="bullet"/>
      <w:lvlText w:val="•"/>
      <w:lvlJc w:val="left"/>
      <w:pPr>
        <w:tabs>
          <w:tab w:val="num" w:pos="5040"/>
        </w:tabs>
        <w:ind w:left="5040" w:hanging="360"/>
      </w:pPr>
      <w:rPr>
        <w:rFonts w:ascii="Arial" w:hAnsi="Arial" w:hint="default"/>
      </w:rPr>
    </w:lvl>
    <w:lvl w:ilvl="7" w:tplc="3410BEC8" w:tentative="1">
      <w:start w:val="1"/>
      <w:numFmt w:val="bullet"/>
      <w:lvlText w:val="•"/>
      <w:lvlJc w:val="left"/>
      <w:pPr>
        <w:tabs>
          <w:tab w:val="num" w:pos="5760"/>
        </w:tabs>
        <w:ind w:left="5760" w:hanging="360"/>
      </w:pPr>
      <w:rPr>
        <w:rFonts w:ascii="Arial" w:hAnsi="Arial" w:hint="default"/>
      </w:rPr>
    </w:lvl>
    <w:lvl w:ilvl="8" w:tplc="8BF22E1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4E36281"/>
    <w:multiLevelType w:val="hybridMultilevel"/>
    <w:tmpl w:val="602E22E8"/>
    <w:lvl w:ilvl="0" w:tplc="4AF896A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DD15E3"/>
    <w:multiLevelType w:val="multilevel"/>
    <w:tmpl w:val="24309B34"/>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2C144587"/>
    <w:multiLevelType w:val="hybridMultilevel"/>
    <w:tmpl w:val="3DFEA67A"/>
    <w:lvl w:ilvl="0" w:tplc="4AF896A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5C394C"/>
    <w:multiLevelType w:val="hybridMultilevel"/>
    <w:tmpl w:val="C4AC8B66"/>
    <w:lvl w:ilvl="0" w:tplc="4AF896A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1F04383"/>
    <w:multiLevelType w:val="hybridMultilevel"/>
    <w:tmpl w:val="90EE82AE"/>
    <w:lvl w:ilvl="0" w:tplc="4AF896A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8B2FB3"/>
    <w:multiLevelType w:val="multilevel"/>
    <w:tmpl w:val="6A387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628B4424"/>
    <w:multiLevelType w:val="hybridMultilevel"/>
    <w:tmpl w:val="9FC019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43D5352"/>
    <w:multiLevelType w:val="hybridMultilevel"/>
    <w:tmpl w:val="8D02E70A"/>
    <w:lvl w:ilvl="0" w:tplc="4AF896A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3"/>
  </w:num>
  <w:num w:numId="4">
    <w:abstractNumId w:val="4"/>
  </w:num>
  <w:num w:numId="5">
    <w:abstractNumId w:val="1"/>
  </w:num>
  <w:num w:numId="6">
    <w:abstractNumId w:val="10"/>
  </w:num>
  <w:num w:numId="7">
    <w:abstractNumId w:val="0"/>
  </w:num>
  <w:num w:numId="8">
    <w:abstractNumId w:val="6"/>
  </w:num>
  <w:num w:numId="9">
    <w:abstractNumId w:val="2"/>
  </w:num>
  <w:num w:numId="10">
    <w:abstractNumId w:val="5"/>
  </w:num>
  <w:num w:numId="11">
    <w:abstractNumId w:val="11"/>
  </w:num>
  <w:num w:numId="12">
    <w:abstractNumId w:val="7"/>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A1AB2"/>
    <w:rsid w:val="000C6157"/>
    <w:rsid w:val="00121828"/>
    <w:rsid w:val="00157E83"/>
    <w:rsid w:val="00160C08"/>
    <w:rsid w:val="00177147"/>
    <w:rsid w:val="001B5D0A"/>
    <w:rsid w:val="001C663E"/>
    <w:rsid w:val="001E22A5"/>
    <w:rsid w:val="001E669A"/>
    <w:rsid w:val="002870EA"/>
    <w:rsid w:val="002F4FA3"/>
    <w:rsid w:val="003A7E94"/>
    <w:rsid w:val="003C40F2"/>
    <w:rsid w:val="003F6B53"/>
    <w:rsid w:val="00445310"/>
    <w:rsid w:val="004D1584"/>
    <w:rsid w:val="004D78F5"/>
    <w:rsid w:val="00530462"/>
    <w:rsid w:val="00564027"/>
    <w:rsid w:val="0057184D"/>
    <w:rsid w:val="005B410D"/>
    <w:rsid w:val="005D1B1F"/>
    <w:rsid w:val="00620B6D"/>
    <w:rsid w:val="007171BA"/>
    <w:rsid w:val="007400F4"/>
    <w:rsid w:val="007A3BE1"/>
    <w:rsid w:val="007B7ADE"/>
    <w:rsid w:val="007C626C"/>
    <w:rsid w:val="008F1F89"/>
    <w:rsid w:val="00924CB2"/>
    <w:rsid w:val="00951300"/>
    <w:rsid w:val="009D596C"/>
    <w:rsid w:val="009E2DF8"/>
    <w:rsid w:val="009F52D7"/>
    <w:rsid w:val="00A1061F"/>
    <w:rsid w:val="00A211CC"/>
    <w:rsid w:val="00A25BCD"/>
    <w:rsid w:val="00A70963"/>
    <w:rsid w:val="00A7341F"/>
    <w:rsid w:val="00A76130"/>
    <w:rsid w:val="00AA4B98"/>
    <w:rsid w:val="00AC775D"/>
    <w:rsid w:val="00AD2065"/>
    <w:rsid w:val="00B13BEF"/>
    <w:rsid w:val="00B333C0"/>
    <w:rsid w:val="00B46531"/>
    <w:rsid w:val="00B8567C"/>
    <w:rsid w:val="00B97332"/>
    <w:rsid w:val="00BC5291"/>
    <w:rsid w:val="00BD3076"/>
    <w:rsid w:val="00C31DD2"/>
    <w:rsid w:val="00CA6AA0"/>
    <w:rsid w:val="00CD0F63"/>
    <w:rsid w:val="00D501FD"/>
    <w:rsid w:val="00D864BD"/>
    <w:rsid w:val="00DB0B5C"/>
    <w:rsid w:val="00DB6943"/>
    <w:rsid w:val="00DF1ED2"/>
    <w:rsid w:val="00E5586A"/>
    <w:rsid w:val="00E67BA9"/>
    <w:rsid w:val="00E86908"/>
    <w:rsid w:val="00E9138B"/>
    <w:rsid w:val="00EF4BAC"/>
    <w:rsid w:val="00F441E8"/>
    <w:rsid w:val="00F61BBF"/>
    <w:rsid w:val="00FB7A0B"/>
    <w:rsid w:val="00FF2D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1F89"/>
    <w:pPr>
      <w:jc w:val="both"/>
    </w:pPr>
    <w:rPr>
      <w:rFonts w:ascii="Times New Roman" w:hAnsi="Times New Roman" w:cs="Times New Roman"/>
      <w:sz w:val="21"/>
      <w:szCs w:val="21"/>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jc w:val="left"/>
      <w:textAlignment w:val="baseline"/>
      <w:outlineLvl w:val="1"/>
    </w:pPr>
    <w:rPr>
      <w:rFonts w:ascii="Arial" w:eastAsia="SimSun" w:hAnsi="Arial" w:cs="Arial"/>
      <w:sz w:val="28"/>
      <w:szCs w:val="18"/>
      <w:lang w:val="en-GB"/>
    </w:rPr>
  </w:style>
  <w:style w:type="paragraph" w:styleId="Heading3">
    <w:name w:val="heading 3"/>
    <w:basedOn w:val="Normal"/>
    <w:next w:val="Normal"/>
    <w:link w:val="Heading3Char"/>
    <w:uiPriority w:val="9"/>
    <w:unhideWhenUsed/>
    <w:qFormat/>
    <w:rsid w:val="00BD3076"/>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pPr>
    <w:rPr>
      <w:rFonts w:eastAsia="MS Mincho"/>
      <w:sz w:val="20"/>
      <w:szCs w:val="20"/>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pPr>
    <w:rPr>
      <w:rFonts w:ascii="Arial" w:eastAsia="SimSun" w:hAnsi="Arial" w:cs="Arial"/>
      <w:b/>
      <w:szCs w:val="20"/>
      <w:lang w:val="en-GB"/>
    </w:rPr>
  </w:style>
  <w:style w:type="paragraph" w:styleId="ListParagraph">
    <w:name w:val="List Paragraph"/>
    <w:basedOn w:val="Normal"/>
    <w:link w:val="ListParagraphChar"/>
    <w:uiPriority w:val="34"/>
    <w:qFormat/>
    <w:rsid w:val="009F52D7"/>
    <w:pPr>
      <w:ind w:firstLineChars="200" w:firstLine="420"/>
      <w:jc w:val="left"/>
    </w:pPr>
    <w:rPr>
      <w:rFonts w:ascii="SimSun" w:eastAsia="SimSun" w:hAnsi="SimSun" w:cs="SimSun"/>
      <w:sz w:val="24"/>
      <w:szCs w:val="24"/>
      <w:lang w:eastAsia="zh-CN"/>
    </w:rPr>
  </w:style>
  <w:style w:type="character" w:customStyle="1" w:styleId="ListParagraphChar">
    <w:name w:val="List Paragraph Char"/>
    <w:link w:val="ListParagraph"/>
    <w:uiPriority w:val="34"/>
    <w:rsid w:val="009F52D7"/>
    <w:rPr>
      <w:rFonts w:ascii="SimSun" w:eastAsia="SimSun" w:hAnsi="SimSun" w:cs="SimSun"/>
      <w:lang w:eastAsia="zh-CN"/>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table" w:styleId="TableGrid">
    <w:name w:val="Table Grid"/>
    <w:basedOn w:val="TableNormal"/>
    <w:uiPriority w:val="39"/>
    <w:rsid w:val="009E2D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TAC"/>
    <w:link w:val="TAHCar"/>
    <w:qFormat/>
    <w:rsid w:val="00157E83"/>
    <w:rPr>
      <w:b/>
    </w:rPr>
  </w:style>
  <w:style w:type="paragraph" w:customStyle="1" w:styleId="TAC">
    <w:name w:val="TAC"/>
    <w:basedOn w:val="Normal"/>
    <w:link w:val="TACChar"/>
    <w:qFormat/>
    <w:rsid w:val="00157E83"/>
    <w:pPr>
      <w:keepNext/>
      <w:keepLines/>
      <w:jc w:val="center"/>
    </w:pPr>
    <w:rPr>
      <w:rFonts w:ascii="Arial" w:eastAsia="SimSun" w:hAnsi="Arial"/>
      <w:sz w:val="18"/>
      <w:szCs w:val="20"/>
      <w:lang w:val="en-GB"/>
    </w:rPr>
  </w:style>
  <w:style w:type="character" w:customStyle="1" w:styleId="TACChar">
    <w:name w:val="TAC Char"/>
    <w:link w:val="TAC"/>
    <w:qFormat/>
    <w:rsid w:val="00157E83"/>
    <w:rPr>
      <w:rFonts w:ascii="Arial" w:eastAsia="SimSun" w:hAnsi="Arial" w:cs="Times New Roman"/>
      <w:sz w:val="18"/>
      <w:szCs w:val="20"/>
      <w:lang w:val="en-GB"/>
    </w:rPr>
  </w:style>
  <w:style w:type="character" w:customStyle="1" w:styleId="TAHCar">
    <w:name w:val="TAH Car"/>
    <w:link w:val="TAH"/>
    <w:qFormat/>
    <w:rsid w:val="00157E83"/>
    <w:rPr>
      <w:rFonts w:ascii="Arial" w:eastAsia="SimSun" w:hAnsi="Arial" w:cs="Times New Roman"/>
      <w:b/>
      <w:sz w:val="18"/>
      <w:szCs w:val="20"/>
      <w:lang w:val="en-GB"/>
    </w:rPr>
  </w:style>
  <w:style w:type="paragraph" w:customStyle="1" w:styleId="TH">
    <w:name w:val="TH"/>
    <w:basedOn w:val="Normal"/>
    <w:link w:val="THChar"/>
    <w:qFormat/>
    <w:rsid w:val="00157E83"/>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157E83"/>
    <w:rPr>
      <w:rFonts w:ascii="Arial" w:eastAsia="SimSun" w:hAnsi="Arial" w:cs="Times New Roman"/>
      <w:b/>
      <w:sz w:val="20"/>
      <w:szCs w:val="20"/>
      <w:lang w:val="en-GB"/>
    </w:rPr>
  </w:style>
  <w:style w:type="paragraph" w:customStyle="1" w:styleId="TAN">
    <w:name w:val="TAN"/>
    <w:basedOn w:val="Normal"/>
    <w:link w:val="TANChar"/>
    <w:qFormat/>
    <w:rsid w:val="00157E83"/>
    <w:pPr>
      <w:keepNext/>
      <w:keepLines/>
      <w:ind w:left="851" w:hanging="851"/>
      <w:jc w:val="left"/>
    </w:pPr>
    <w:rPr>
      <w:rFonts w:ascii="Arial" w:eastAsia="SimSun" w:hAnsi="Arial"/>
      <w:sz w:val="18"/>
      <w:szCs w:val="20"/>
      <w:lang w:val="en-GB"/>
    </w:rPr>
  </w:style>
  <w:style w:type="character" w:customStyle="1" w:styleId="TANChar">
    <w:name w:val="TAN Char"/>
    <w:link w:val="TAN"/>
    <w:qFormat/>
    <w:rsid w:val="00157E83"/>
    <w:rPr>
      <w:rFonts w:ascii="Arial" w:eastAsia="SimSun" w:hAnsi="Arial" w:cs="Times New Roman"/>
      <w:sz w:val="18"/>
      <w:szCs w:val="20"/>
      <w:lang w:val="en-GB"/>
    </w:rPr>
  </w:style>
  <w:style w:type="paragraph" w:customStyle="1" w:styleId="B1">
    <w:name w:val="B1"/>
    <w:basedOn w:val="Normal"/>
    <w:link w:val="B1Char"/>
    <w:qFormat/>
    <w:rsid w:val="003F6B53"/>
    <w:pPr>
      <w:spacing w:after="180"/>
      <w:ind w:left="568" w:hanging="284"/>
      <w:jc w:val="left"/>
    </w:pPr>
    <w:rPr>
      <w:rFonts w:eastAsia="SimSun"/>
      <w:sz w:val="20"/>
      <w:szCs w:val="20"/>
      <w:lang w:val="en-GB"/>
    </w:rPr>
  </w:style>
  <w:style w:type="character" w:customStyle="1" w:styleId="B1Char">
    <w:name w:val="B1 Char"/>
    <w:link w:val="B1"/>
    <w:qFormat/>
    <w:rsid w:val="003F6B53"/>
    <w:rPr>
      <w:rFonts w:ascii="Times New Roman" w:eastAsia="SimSun" w:hAnsi="Times New Roman" w:cs="Times New Roman"/>
      <w:sz w:val="20"/>
      <w:szCs w:val="20"/>
      <w:lang w:val="en-GB"/>
    </w:rPr>
  </w:style>
  <w:style w:type="character" w:customStyle="1" w:styleId="Heading3Char">
    <w:name w:val="Heading 3 Char"/>
    <w:basedOn w:val="DefaultParagraphFont"/>
    <w:link w:val="Heading3"/>
    <w:uiPriority w:val="9"/>
    <w:rsid w:val="00BD3076"/>
    <w:rPr>
      <w:rFonts w:asciiTheme="majorHAnsi" w:eastAsiaTheme="majorEastAsia" w:hAnsiTheme="majorHAnsi" w:cstheme="majorBidi"/>
      <w:color w:val="1F3763" w:themeColor="accent1" w:themeShade="7F"/>
    </w:rPr>
  </w:style>
  <w:style w:type="character" w:styleId="CommentReference">
    <w:name w:val="annotation reference"/>
    <w:basedOn w:val="DefaultParagraphFont"/>
    <w:uiPriority w:val="99"/>
    <w:semiHidden/>
    <w:unhideWhenUsed/>
    <w:rsid w:val="00160C08"/>
    <w:rPr>
      <w:sz w:val="16"/>
      <w:szCs w:val="16"/>
    </w:rPr>
  </w:style>
  <w:style w:type="paragraph" w:styleId="CommentText">
    <w:name w:val="annotation text"/>
    <w:basedOn w:val="Normal"/>
    <w:link w:val="CommentTextChar"/>
    <w:uiPriority w:val="99"/>
    <w:semiHidden/>
    <w:unhideWhenUsed/>
    <w:rsid w:val="00160C08"/>
    <w:rPr>
      <w:sz w:val="20"/>
      <w:szCs w:val="20"/>
    </w:rPr>
  </w:style>
  <w:style w:type="character" w:customStyle="1" w:styleId="CommentTextChar">
    <w:name w:val="Comment Text Char"/>
    <w:basedOn w:val="DefaultParagraphFont"/>
    <w:link w:val="CommentText"/>
    <w:uiPriority w:val="99"/>
    <w:semiHidden/>
    <w:rsid w:val="00160C08"/>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60C08"/>
    <w:rPr>
      <w:b/>
      <w:bCs/>
    </w:rPr>
  </w:style>
  <w:style w:type="character" w:customStyle="1" w:styleId="CommentSubjectChar">
    <w:name w:val="Comment Subject Char"/>
    <w:basedOn w:val="CommentTextChar"/>
    <w:link w:val="CommentSubject"/>
    <w:uiPriority w:val="99"/>
    <w:semiHidden/>
    <w:rsid w:val="00160C08"/>
    <w:rPr>
      <w:rFonts w:ascii="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628004789">
      <w:bodyDiv w:val="1"/>
      <w:marLeft w:val="0"/>
      <w:marRight w:val="0"/>
      <w:marTop w:val="0"/>
      <w:marBottom w:val="0"/>
      <w:divBdr>
        <w:top w:val="none" w:sz="0" w:space="0" w:color="auto"/>
        <w:left w:val="none" w:sz="0" w:space="0" w:color="auto"/>
        <w:bottom w:val="none" w:sz="0" w:space="0" w:color="auto"/>
        <w:right w:val="none" w:sz="0" w:space="0" w:color="auto"/>
      </w:divBdr>
      <w:divsChild>
        <w:div w:id="164327696">
          <w:marLeft w:val="1080"/>
          <w:marRight w:val="0"/>
          <w:marTop w:val="100"/>
          <w:marBottom w:val="0"/>
          <w:divBdr>
            <w:top w:val="none" w:sz="0" w:space="0" w:color="auto"/>
            <w:left w:val="none" w:sz="0" w:space="0" w:color="auto"/>
            <w:bottom w:val="none" w:sz="0" w:space="0" w:color="auto"/>
            <w:right w:val="none" w:sz="0" w:space="0" w:color="auto"/>
          </w:divBdr>
        </w:div>
        <w:div w:id="1321690902">
          <w:marLeft w:val="1080"/>
          <w:marRight w:val="0"/>
          <w:marTop w:val="100"/>
          <w:marBottom w:val="0"/>
          <w:divBdr>
            <w:top w:val="none" w:sz="0" w:space="0" w:color="auto"/>
            <w:left w:val="none" w:sz="0" w:space="0" w:color="auto"/>
            <w:bottom w:val="none" w:sz="0" w:space="0" w:color="auto"/>
            <w:right w:val="none" w:sz="0" w:space="0" w:color="auto"/>
          </w:divBdr>
        </w:div>
        <w:div w:id="1822381431">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9</Pages>
  <Words>2474</Words>
  <Characters>13386</Characters>
  <Application>Microsoft Office Word</Application>
  <DocSecurity>0</DocSecurity>
  <Lines>1673</Lines>
  <Paragraphs>834</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15026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 (Manasa)</cp:lastModifiedBy>
  <cp:revision>2</cp:revision>
  <dcterms:created xsi:type="dcterms:W3CDTF">2021-08-06T17:26:00Z</dcterms:created>
  <dcterms:modified xsi:type="dcterms:W3CDTF">2021-08-06T17:26:00Z</dcterms:modified>
</cp:coreProperties>
</file>