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1B849" w14:textId="2888975C" w:rsidR="00F034AC" w:rsidRDefault="00F034AC" w:rsidP="00F034AC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bookmarkStart w:id="0" w:name="_Hlk2178737"/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="0038608A" w:rsidRPr="0038608A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R4-2111710</w:t>
      </w:r>
    </w:p>
    <w:p w14:paraId="4DA7BFE1" w14:textId="77777777" w:rsidR="00F034AC" w:rsidRDefault="00F034AC" w:rsidP="00F034AC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37790224" w14:textId="77777777" w:rsidR="00F034AC" w:rsidRDefault="00F034AC" w:rsidP="00F034AC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24AB64FA" w14:textId="57EBF6E1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007450">
        <w:rPr>
          <w:rFonts w:ascii="Arial" w:eastAsia="MS Mincho" w:hAnsi="Arial"/>
          <w:b/>
          <w:noProof/>
          <w:lang w:val="en-US"/>
        </w:rPr>
        <w:t>5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24C7A">
        <w:rPr>
          <w:rFonts w:ascii="Arial" w:eastAsia="MS Mincho" w:hAnsi="Arial"/>
          <w:b/>
          <w:noProof/>
          <w:lang w:val="en-US" w:eastAsia="x-none"/>
        </w:rPr>
        <w:t>0</w:t>
      </w:r>
      <w:r w:rsidR="00627191">
        <w:rPr>
          <w:rFonts w:ascii="Arial" w:eastAsia="MS Mincho" w:hAnsi="Arial"/>
          <w:b/>
          <w:noProof/>
          <w:lang w:val="en-US" w:eastAsia="x-none"/>
        </w:rPr>
        <w:t>6345</w:t>
      </w:r>
    </w:p>
    <w:p w14:paraId="5E4D9A78" w14:textId="334C2ACA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007450">
        <w:rPr>
          <w:rFonts w:ascii="Arial" w:eastAsia="Malgun Gothic" w:hAnsi="Arial" w:cs="Arial"/>
          <w:b/>
          <w:bCs/>
          <w:lang w:val="en-US"/>
        </w:rPr>
        <w:t>May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007450">
        <w:rPr>
          <w:rFonts w:ascii="Arial" w:eastAsia="Malgun Gothic" w:hAnsi="Arial" w:cs="Arial"/>
          <w:b/>
          <w:bCs/>
          <w:lang w:val="en-US"/>
        </w:rPr>
        <w:t>0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</w:t>
      </w:r>
      <w:r w:rsidR="00007450">
        <w:rPr>
          <w:rFonts w:ascii="Arial" w:eastAsia="Malgun Gothic" w:hAnsi="Arial" w:cs="Arial"/>
          <w:b/>
          <w:bCs/>
          <w:lang w:val="en-US"/>
        </w:rPr>
        <w:t>7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0F29CC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007450">
        <w:rPr>
          <w:rFonts w:ascii="Arial" w:eastAsia="MS Mincho" w:hAnsi="Arial" w:cs="Arial"/>
          <w:bCs/>
          <w:lang w:eastAsia="ja-JP"/>
        </w:rPr>
        <w:t>5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7395B3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007450">
        <w:rPr>
          <w:rFonts w:ascii="Arial" w:hAnsi="Arial" w:cs="Arial"/>
          <w:lang w:val="pt-BR"/>
        </w:rPr>
        <w:t>6160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007450">
        <w:rPr>
          <w:rFonts w:ascii="Arial" w:hAnsi="Arial" w:cs="Arial"/>
          <w:lang w:val="pt-BR"/>
        </w:rPr>
        <w:t>5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55A1B786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007450">
        <w:rPr>
          <w:rFonts w:ascii="Arial" w:eastAsia="Yu Mincho" w:hAnsi="Arial" w:cs="Arial"/>
          <w:bCs/>
          <w:iCs/>
          <w:lang w:val="en-US" w:eastAsia="ja-JP"/>
        </w:rPr>
        <w:t>5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0649398E" w:rsidR="00FA5259" w:rsidRDefault="00FA5259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agreed to add a note to FG22-10 as in the updated UE features list. RAN1 respectfully ask RAN2 to </w:t>
      </w:r>
      <w:r w:rsidRPr="00FA5259">
        <w:rPr>
          <w:rFonts w:ascii="Arial" w:eastAsia="Yu Mincho" w:hAnsi="Arial" w:cs="Arial"/>
          <w:bCs/>
          <w:iCs/>
          <w:lang w:eastAsia="ja-JP"/>
        </w:rPr>
        <w:t>update corresponding description for FG22-10 in TS 38.306 (</w:t>
      </w:r>
      <w:r w:rsidRPr="00FA5259">
        <w:rPr>
          <w:rFonts w:ascii="Arial" w:eastAsia="Yu Mincho" w:hAnsi="Arial" w:cs="Arial"/>
          <w:bCs/>
          <w:i/>
          <w:lang w:eastAsia="ja-JP"/>
        </w:rPr>
        <w:t>pdcch-MonitoringAnyOccasionsWithSpanGapCrossCarrierSch-r16</w:t>
      </w:r>
      <w:r w:rsidRPr="00FA5259">
        <w:rPr>
          <w:rFonts w:ascii="Arial" w:eastAsia="Yu Mincho" w:hAnsi="Arial" w:cs="Arial"/>
          <w:bCs/>
          <w:iCs/>
          <w:lang w:eastAsia="ja-JP"/>
        </w:rPr>
        <w:t>)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4231AC17" w14:textId="25968ED5" w:rsidR="001303D6" w:rsidRDefault="001303D6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AN1 agreed to add a</w:t>
      </w:r>
      <w:r w:rsidR="00B42AF7">
        <w:rPr>
          <w:rFonts w:ascii="Arial" w:eastAsia="Yu Mincho" w:hAnsi="Arial" w:cs="Arial"/>
          <w:bCs/>
          <w:iCs/>
          <w:lang w:eastAsia="ja-JP"/>
        </w:rPr>
        <w:t>n</w:t>
      </w:r>
      <w:r>
        <w:rPr>
          <w:rFonts w:ascii="Arial" w:eastAsia="Yu Mincho" w:hAnsi="Arial" w:cs="Arial"/>
          <w:bCs/>
          <w:iCs/>
          <w:lang w:eastAsia="ja-JP"/>
        </w:rPr>
        <w:t xml:space="preserve"> additional component description for FG22-9 as in the updated UE features list. RAN1 respectfully ask RAN2 to </w:t>
      </w:r>
      <w:r w:rsidRPr="00FA5259">
        <w:rPr>
          <w:rFonts w:ascii="Arial" w:eastAsia="Yu Mincho" w:hAnsi="Arial" w:cs="Arial"/>
          <w:bCs/>
          <w:iCs/>
          <w:lang w:eastAsia="ja-JP"/>
        </w:rPr>
        <w:t>update corresponding description for FG22-</w:t>
      </w:r>
      <w:r>
        <w:rPr>
          <w:rFonts w:ascii="Arial" w:eastAsia="Yu Mincho" w:hAnsi="Arial" w:cs="Arial"/>
          <w:bCs/>
          <w:iCs/>
          <w:lang w:eastAsia="ja-JP"/>
        </w:rPr>
        <w:t>9</w:t>
      </w:r>
      <w:r w:rsidRPr="00FA5259">
        <w:rPr>
          <w:rFonts w:ascii="Arial" w:eastAsia="Yu Mincho" w:hAnsi="Arial" w:cs="Arial"/>
          <w:bCs/>
          <w:iCs/>
          <w:lang w:eastAsia="ja-JP"/>
        </w:rPr>
        <w:t xml:space="preserve"> in TS 38.306 (</w:t>
      </w:r>
      <w:r w:rsidRPr="001303D6">
        <w:rPr>
          <w:rFonts w:ascii="Arial" w:eastAsia="Yu Mincho" w:hAnsi="Arial" w:cs="Arial"/>
          <w:bCs/>
          <w:i/>
          <w:lang w:eastAsia="ja-JP"/>
        </w:rPr>
        <w:t>partialCancellationPUCCH-PUSCH-PRACH-TX-r16</w:t>
      </w:r>
      <w:r w:rsidRPr="00FA5259">
        <w:rPr>
          <w:rFonts w:ascii="Arial" w:eastAsia="Yu Mincho" w:hAnsi="Arial" w:cs="Arial"/>
          <w:bCs/>
          <w:iCs/>
          <w:lang w:eastAsia="ja-JP"/>
        </w:rPr>
        <w:t>)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DBE4648" w14:textId="1732194E" w:rsidR="00DC657A" w:rsidRDefault="00DC657A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agreed an additional FG </w:t>
      </w:r>
      <w:r w:rsidRPr="00DC657A">
        <w:rPr>
          <w:rFonts w:ascii="Arial" w:eastAsia="Yu Mincho" w:hAnsi="Arial" w:cs="Arial"/>
          <w:bCs/>
          <w:iCs/>
          <w:lang w:eastAsia="ja-JP"/>
        </w:rPr>
        <w:t>16-2a-9</w:t>
      </w:r>
      <w:r>
        <w:rPr>
          <w:rFonts w:ascii="Arial" w:eastAsia="Yu Mincho" w:hAnsi="Arial" w:cs="Arial"/>
          <w:bCs/>
          <w:iCs/>
          <w:lang w:eastAsia="ja-JP"/>
        </w:rPr>
        <w:t xml:space="preserve"> “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Interpretation of </w:t>
      </w:r>
      <w:r w:rsidRPr="00B42AF7">
        <w:rPr>
          <w:rFonts w:ascii="Arial" w:eastAsia="Yu Mincho" w:hAnsi="Arial" w:cs="Arial"/>
          <w:bCs/>
          <w:i/>
          <w:lang w:eastAsia="ja-JP"/>
        </w:rPr>
        <w:t>maxNumberMIMO-LayersPDSCH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for multi-DCI based mTRP</w:t>
      </w:r>
      <w:r>
        <w:rPr>
          <w:rFonts w:ascii="Arial" w:eastAsia="Yu Mincho" w:hAnsi="Arial" w:cs="Arial"/>
          <w:bCs/>
          <w:iCs/>
          <w:lang w:eastAsia="ja-JP"/>
        </w:rPr>
        <w:t>” as in the updated UE features list. RAN1 respectfully asks RAN2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to check for any </w:t>
      </w:r>
      <w:r>
        <w:rPr>
          <w:rFonts w:ascii="Arial" w:eastAsia="Yu Mincho" w:hAnsi="Arial" w:cs="Arial"/>
          <w:bCs/>
          <w:iCs/>
          <w:lang w:eastAsia="ja-JP"/>
        </w:rPr>
        <w:t>backward compatibility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issues </w:t>
      </w:r>
      <w:r>
        <w:rPr>
          <w:rFonts w:ascii="Arial" w:eastAsia="Yu Mincho" w:hAnsi="Arial" w:cs="Arial"/>
          <w:bCs/>
          <w:iCs/>
          <w:lang w:eastAsia="ja-JP"/>
        </w:rPr>
        <w:t>with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Rel. 15 implementation</w:t>
      </w:r>
      <w:r>
        <w:rPr>
          <w:rFonts w:ascii="Arial" w:eastAsia="Yu Mincho" w:hAnsi="Arial" w:cs="Arial"/>
          <w:bCs/>
          <w:iCs/>
          <w:lang w:eastAsia="ja-JP"/>
        </w:rPr>
        <w:t xml:space="preserve">s </w:t>
      </w:r>
      <w:r w:rsidRPr="00DC657A">
        <w:rPr>
          <w:rFonts w:ascii="Arial" w:eastAsia="Yu Mincho" w:hAnsi="Arial" w:cs="Arial"/>
          <w:bCs/>
          <w:iCs/>
          <w:lang w:eastAsia="ja-JP"/>
        </w:rPr>
        <w:t>due to</w:t>
      </w:r>
      <w:r>
        <w:rPr>
          <w:rFonts w:ascii="Arial" w:eastAsia="Yu Mincho" w:hAnsi="Arial" w:cs="Arial"/>
          <w:bCs/>
          <w:iCs/>
          <w:lang w:eastAsia="ja-JP"/>
        </w:rPr>
        <w:t xml:space="preserve"> this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new interpretation of </w:t>
      </w:r>
      <w:r w:rsidRPr="00B42AF7">
        <w:rPr>
          <w:rFonts w:ascii="Arial" w:eastAsia="Yu Mincho" w:hAnsi="Arial" w:cs="Arial"/>
          <w:bCs/>
          <w:i/>
          <w:lang w:eastAsia="ja-JP"/>
        </w:rPr>
        <w:t>maxNumberMIMO-LayersPDSCH</w:t>
      </w:r>
      <w:r w:rsidRPr="00DC657A">
        <w:rPr>
          <w:rFonts w:ascii="Arial" w:eastAsia="Yu Mincho" w:hAnsi="Arial" w:cs="Arial"/>
          <w:bCs/>
          <w:iCs/>
          <w:lang w:eastAsia="ja-JP"/>
        </w:rPr>
        <w:t xml:space="preserve"> parameter.</w:t>
      </w:r>
    </w:p>
    <w:p w14:paraId="76367226" w14:textId="4E91FC7D" w:rsidR="00E667D1" w:rsidRPr="00E667D1" w:rsidRDefault="00E667D1" w:rsidP="00E667D1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E667D1">
        <w:rPr>
          <w:rFonts w:ascii="Arial" w:eastAsia="Yu Mincho" w:hAnsi="Arial" w:cs="Arial"/>
          <w:bCs/>
          <w:iCs/>
          <w:lang w:eastAsia="ja-JP"/>
        </w:rPr>
        <w:t>RAN1 has further discussed an issue related to half-duplex operation for TDD CA</w:t>
      </w:r>
      <w:r>
        <w:rPr>
          <w:rFonts w:ascii="Arial" w:eastAsia="Yu Mincho" w:hAnsi="Arial" w:cs="Arial"/>
          <w:bCs/>
          <w:iCs/>
          <w:lang w:eastAsia="ja-JP"/>
        </w:rPr>
        <w:t>,</w:t>
      </w:r>
      <w:r w:rsidRPr="00E667D1">
        <w:rPr>
          <w:rFonts w:ascii="Arial" w:eastAsia="Yu Mincho" w:hAnsi="Arial" w:cs="Arial"/>
          <w:bCs/>
          <w:iCs/>
          <w:lang w:eastAsia="ja-JP"/>
        </w:rPr>
        <w:t xml:space="preserve"> and concluded the following.</w:t>
      </w:r>
      <w:r>
        <w:rPr>
          <w:rFonts w:ascii="Arial" w:eastAsia="Yu Mincho" w:hAnsi="Arial" w:cs="Arial"/>
          <w:bCs/>
          <w:iCs/>
          <w:lang w:eastAsia="ja-JP"/>
        </w:rPr>
        <w:t xml:space="preserve"> RAN1 respectfully </w:t>
      </w:r>
      <w:r w:rsidRPr="00E667D1">
        <w:rPr>
          <w:rFonts w:ascii="Arial" w:eastAsia="Yu Mincho" w:hAnsi="Arial" w:cs="Arial"/>
          <w:bCs/>
          <w:iCs/>
          <w:lang w:eastAsia="ja-JP"/>
        </w:rPr>
        <w:t>ask</w:t>
      </w:r>
      <w:r>
        <w:rPr>
          <w:rFonts w:ascii="Arial" w:eastAsia="Yu Mincho" w:hAnsi="Arial" w:cs="Arial"/>
          <w:bCs/>
          <w:iCs/>
          <w:lang w:eastAsia="ja-JP"/>
        </w:rPr>
        <w:t>s</w:t>
      </w:r>
      <w:r w:rsidRPr="00E667D1">
        <w:rPr>
          <w:rFonts w:ascii="Arial" w:eastAsia="Yu Mincho" w:hAnsi="Arial" w:cs="Arial"/>
          <w:bCs/>
          <w:iCs/>
          <w:lang w:eastAsia="ja-JP"/>
        </w:rPr>
        <w:t xml:space="preserve"> RAN2 if any concern to implement the corresponding signalling changes</w:t>
      </w:r>
      <w:r>
        <w:rPr>
          <w:rFonts w:ascii="Arial" w:eastAsia="Yu Mincho" w:hAnsi="Arial" w:cs="Arial"/>
          <w:bCs/>
          <w:iCs/>
          <w:lang w:eastAsia="ja-JP"/>
        </w:rPr>
        <w:t xml:space="preserve"> to FG14-5 (</w:t>
      </w:r>
      <w:r w:rsidRPr="00E667D1">
        <w:rPr>
          <w:rFonts w:ascii="Arial" w:eastAsia="Yu Mincho" w:hAnsi="Arial" w:cs="Arial"/>
          <w:bCs/>
          <w:i/>
          <w:lang w:eastAsia="ja-JP"/>
        </w:rPr>
        <w:t>half-DuplexTDD-CA-SameSCS-r16</w:t>
      </w:r>
      <w:r>
        <w:rPr>
          <w:rFonts w:ascii="Arial" w:eastAsia="Yu Mincho" w:hAnsi="Arial" w:cs="Arial"/>
          <w:bCs/>
          <w:iCs/>
          <w:lang w:eastAsia="ja-JP"/>
        </w:rPr>
        <w:t>)</w:t>
      </w:r>
      <w:r w:rsidRPr="00E667D1">
        <w:rPr>
          <w:rFonts w:ascii="Arial" w:eastAsia="Yu Mincho" w:hAnsi="Arial" w:cs="Arial"/>
          <w:bCs/>
          <w:iCs/>
          <w:lang w:eastAsia="ja-JP"/>
        </w:rPr>
        <w:t xml:space="preserve">, if any, for the </w:t>
      </w:r>
      <w:r>
        <w:rPr>
          <w:rFonts w:ascii="Arial" w:eastAsia="Yu Mincho" w:hAnsi="Arial" w:cs="Arial"/>
          <w:bCs/>
          <w:iCs/>
          <w:lang w:eastAsia="ja-JP"/>
        </w:rPr>
        <w:t>following.</w:t>
      </w:r>
    </w:p>
    <w:p w14:paraId="21C61D82" w14:textId="22D00596" w:rsidR="00E667D1" w:rsidRPr="00E667D1" w:rsidRDefault="00E667D1" w:rsidP="00E667D1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E667D1">
        <w:rPr>
          <w:rFonts w:ascii="Arial" w:eastAsia="Yu Mincho" w:hAnsi="Arial" w:cs="Arial"/>
          <w:bCs/>
          <w:iCs/>
          <w:lang w:eastAsia="ja-JP"/>
        </w:rPr>
        <w:t>The DL/UL collision handling should be supported by a UE capable of such handling for each band within a band combination where the UE supports inter-band simultaneous transmission and reception.</w:t>
      </w:r>
    </w:p>
    <w:p w14:paraId="78018F23" w14:textId="29760552" w:rsidR="00E667D1" w:rsidRPr="00E667D1" w:rsidRDefault="00E667D1" w:rsidP="00E667D1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E667D1">
        <w:rPr>
          <w:rFonts w:ascii="Arial" w:eastAsia="Yu Mincho" w:hAnsi="Arial" w:cs="Arial"/>
          <w:bCs/>
          <w:iCs/>
          <w:lang w:eastAsia="ja-JP"/>
        </w:rPr>
        <w:t xml:space="preserve">It is RAN1 understanding that for a band combination in which the UE indicated the support of </w:t>
      </w:r>
      <w:r w:rsidRPr="00E667D1">
        <w:rPr>
          <w:rFonts w:ascii="Arial" w:eastAsia="Yu Mincho" w:hAnsi="Arial" w:cs="Arial"/>
          <w:bCs/>
          <w:i/>
          <w:lang w:eastAsia="ja-JP"/>
        </w:rPr>
        <w:t>simultaneousRxTxInterBandCA</w:t>
      </w:r>
      <w:r w:rsidRPr="00E667D1">
        <w:rPr>
          <w:rFonts w:ascii="Arial" w:eastAsia="Yu Mincho" w:hAnsi="Arial" w:cs="Arial"/>
          <w:bCs/>
          <w:iCs/>
          <w:lang w:eastAsia="ja-JP"/>
        </w:rPr>
        <w:t>, the collision resolution capability can be indicated/applied per band, for each band with intra-band CA in the band combination.</w:t>
      </w:r>
    </w:p>
    <w:p w14:paraId="0530FE2C" w14:textId="380A82FF" w:rsidR="00E67FCF" w:rsidRPr="00FA5259" w:rsidRDefault="00E67FCF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kindly would like to ask 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Yu Mincho" w:hAnsi="Arial" w:cs="Arial"/>
          <w:iCs/>
          <w:lang w:eastAsia="ja-JP"/>
        </w:rPr>
        <w:t xml:space="preserve">updated </w:t>
      </w:r>
      <w:r w:rsidRPr="00775E8C">
        <w:rPr>
          <w:rFonts w:ascii="Arial" w:eastAsia="Yu Mincho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42DE59EF" w:rsidR="007E48B6" w:rsidRPr="0047405A" w:rsidRDefault="006E653D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007450">
        <w:rPr>
          <w:rFonts w:ascii="Arial" w:eastAsia="MS Mincho" w:hAnsi="Arial" w:cs="Arial"/>
          <w:bCs/>
          <w:lang w:eastAsia="ja-JP"/>
        </w:rPr>
        <w:t>6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007450">
        <w:rPr>
          <w:rFonts w:ascii="Arial" w:eastAsia="MS Mincho" w:hAnsi="Arial" w:cs="Arial"/>
          <w:bCs/>
          <w:lang w:eastAsia="ja-JP"/>
        </w:rPr>
        <w:t>6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19715F">
        <w:rPr>
          <w:rFonts w:ascii="Arial" w:eastAsia="MS Mincho" w:hAnsi="Arial" w:cs="Arial"/>
          <w:bCs/>
          <w:lang w:eastAsia="ja-JP"/>
        </w:rPr>
        <w:t>2</w:t>
      </w:r>
      <w:r w:rsidR="0047405A">
        <w:rPr>
          <w:rFonts w:ascii="Arial" w:eastAsia="MS Mincho" w:hAnsi="Arial" w:cs="Arial"/>
          <w:bCs/>
          <w:lang w:eastAsia="ja-JP"/>
        </w:rPr>
        <w:t>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007450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6B1B2" w14:textId="77777777" w:rsidR="00205DE6" w:rsidRDefault="00205DE6">
      <w:r>
        <w:separator/>
      </w:r>
    </w:p>
  </w:endnote>
  <w:endnote w:type="continuationSeparator" w:id="0">
    <w:p w14:paraId="7E10B38E" w14:textId="77777777" w:rsidR="00205DE6" w:rsidRDefault="0020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D6D07" w14:textId="77777777" w:rsidR="00205DE6" w:rsidRDefault="00205DE6">
      <w:r>
        <w:separator/>
      </w:r>
    </w:p>
  </w:footnote>
  <w:footnote w:type="continuationSeparator" w:id="0">
    <w:p w14:paraId="41FB300F" w14:textId="77777777" w:rsidR="00205DE6" w:rsidRDefault="00205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05DE6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08A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0E55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34AC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2021-05-28T00:47:00Z</dcterms:created>
  <dcterms:modified xsi:type="dcterms:W3CDTF">2021-07-20T09:20:00Z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