
<file path=[Content_Types].xml><?xml version="1.0" encoding="utf-8"?>
<Types xmlns="http://schemas.openxmlformats.org/package/2006/content-types">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74D9" w:rsidRPr="00CF36AA" w:rsidRDefault="00A474D9" w:rsidP="00A474D9">
      <w:pPr>
        <w:pStyle w:val="NoSpacing"/>
        <w:rPr>
          <w:rFonts w:cs="Arial"/>
          <w:i/>
          <w:sz w:val="24"/>
          <w:szCs w:val="24"/>
          <w:lang w:val="de-DE"/>
        </w:rPr>
      </w:pPr>
      <w:r w:rsidRPr="00CF36AA">
        <w:rPr>
          <w:rFonts w:cs="Arial"/>
          <w:sz w:val="24"/>
          <w:szCs w:val="24"/>
          <w:lang w:val="de-DE"/>
        </w:rPr>
        <w:t>3GPP TSG-RAN WG3 #95bis</w:t>
      </w:r>
      <w:r w:rsidRPr="00CF36AA">
        <w:rPr>
          <w:rFonts w:cs="Arial"/>
          <w:sz w:val="24"/>
          <w:szCs w:val="24"/>
          <w:lang w:val="de-DE"/>
        </w:rPr>
        <w:tab/>
      </w:r>
      <w:r w:rsidRPr="00CF36AA">
        <w:rPr>
          <w:rFonts w:cs="Arial"/>
          <w:sz w:val="24"/>
          <w:szCs w:val="24"/>
          <w:lang w:val="de-DE"/>
        </w:rPr>
        <w:tab/>
      </w:r>
      <w:r w:rsidRPr="00CF36AA">
        <w:rPr>
          <w:rFonts w:cs="Arial"/>
          <w:sz w:val="24"/>
          <w:szCs w:val="24"/>
          <w:lang w:val="de-DE"/>
        </w:rPr>
        <w:tab/>
      </w:r>
      <w:r w:rsidRPr="00CF36AA">
        <w:rPr>
          <w:rFonts w:cs="Arial"/>
          <w:sz w:val="24"/>
          <w:szCs w:val="24"/>
          <w:lang w:val="de-DE"/>
        </w:rPr>
        <w:tab/>
      </w:r>
      <w:r w:rsidRPr="00CF36AA">
        <w:rPr>
          <w:rFonts w:cs="Arial"/>
          <w:sz w:val="24"/>
          <w:szCs w:val="24"/>
          <w:lang w:val="de-DE"/>
        </w:rPr>
        <w:tab/>
      </w:r>
      <w:r w:rsidR="00B9332C" w:rsidRPr="00CF36AA">
        <w:rPr>
          <w:rFonts w:cs="Arial"/>
          <w:sz w:val="24"/>
          <w:szCs w:val="24"/>
          <w:lang w:val="de-DE"/>
        </w:rPr>
        <w:tab/>
      </w:r>
      <w:r w:rsidR="00E84924">
        <w:rPr>
          <w:rFonts w:cs="Arial"/>
          <w:iCs/>
          <w:sz w:val="24"/>
          <w:szCs w:val="24"/>
          <w:lang w:val="de-DE"/>
        </w:rPr>
        <w:t>R3-171203</w:t>
      </w:r>
    </w:p>
    <w:p w:rsidR="00A474D9" w:rsidRPr="00CF36AA" w:rsidRDefault="00A474D9" w:rsidP="00A474D9">
      <w:pPr>
        <w:overflowPunct w:val="0"/>
        <w:autoSpaceDE w:val="0"/>
        <w:autoSpaceDN w:val="0"/>
        <w:adjustRightInd w:val="0"/>
        <w:spacing w:after="0" w:line="240" w:lineRule="auto"/>
        <w:textAlignment w:val="baseline"/>
        <w:rPr>
          <w:rFonts w:eastAsia="Batang" w:cs="Arial"/>
          <w:color w:val="000000"/>
          <w:sz w:val="24"/>
          <w:szCs w:val="24"/>
          <w:lang w:eastAsia="ja-JP"/>
        </w:rPr>
      </w:pPr>
      <w:r w:rsidRPr="00CF36AA">
        <w:rPr>
          <w:rFonts w:eastAsia="Batang" w:cs="Arial"/>
          <w:color w:val="000000"/>
          <w:sz w:val="24"/>
          <w:szCs w:val="24"/>
          <w:lang w:eastAsia="ja-JP"/>
        </w:rPr>
        <w:t>Spokane, Washington, USA, 3</w:t>
      </w:r>
      <w:r w:rsidRPr="00CF36AA">
        <w:rPr>
          <w:rFonts w:eastAsia="Batang" w:cs="Arial"/>
          <w:color w:val="000000"/>
          <w:sz w:val="24"/>
          <w:szCs w:val="24"/>
          <w:vertAlign w:val="superscript"/>
          <w:lang w:eastAsia="ja-JP"/>
        </w:rPr>
        <w:t>rd</w:t>
      </w:r>
      <w:r w:rsidRPr="00CF36AA">
        <w:rPr>
          <w:rFonts w:eastAsia="Batang" w:cs="Arial"/>
          <w:color w:val="000000"/>
          <w:sz w:val="24"/>
          <w:szCs w:val="24"/>
          <w:lang w:eastAsia="ja-JP"/>
        </w:rPr>
        <w:t xml:space="preserve"> – 7</w:t>
      </w:r>
      <w:r w:rsidRPr="00CF36AA">
        <w:rPr>
          <w:rFonts w:eastAsia="Batang" w:cs="Arial"/>
          <w:color w:val="000000"/>
          <w:sz w:val="24"/>
          <w:szCs w:val="24"/>
          <w:vertAlign w:val="superscript"/>
          <w:lang w:eastAsia="ja-JP"/>
        </w:rPr>
        <w:t>th</w:t>
      </w:r>
      <w:r w:rsidRPr="00CF36AA">
        <w:rPr>
          <w:rFonts w:eastAsia="Batang" w:cs="Arial"/>
          <w:color w:val="000000"/>
          <w:sz w:val="24"/>
          <w:szCs w:val="24"/>
          <w:lang w:eastAsia="ja-JP"/>
        </w:rPr>
        <w:t xml:space="preserve"> April 2017</w:t>
      </w:r>
    </w:p>
    <w:p w:rsidR="00A474D9" w:rsidRPr="00CF36AA" w:rsidRDefault="00A474D9" w:rsidP="00A474D9">
      <w:pPr>
        <w:overflowPunct w:val="0"/>
        <w:autoSpaceDE w:val="0"/>
        <w:autoSpaceDN w:val="0"/>
        <w:adjustRightInd w:val="0"/>
        <w:spacing w:after="0" w:line="240" w:lineRule="auto"/>
        <w:textAlignment w:val="baseline"/>
        <w:rPr>
          <w:rFonts w:eastAsia="Batang" w:cs="Arial"/>
          <w:color w:val="000000"/>
          <w:sz w:val="24"/>
          <w:szCs w:val="24"/>
          <w:lang w:eastAsia="ja-JP"/>
        </w:rPr>
      </w:pPr>
    </w:p>
    <w:p w:rsidR="00A474D9" w:rsidRPr="00CF36AA" w:rsidRDefault="00A474D9" w:rsidP="00A474D9">
      <w:pPr>
        <w:tabs>
          <w:tab w:val="left" w:pos="1985"/>
        </w:tabs>
        <w:spacing w:after="120"/>
        <w:rPr>
          <w:sz w:val="24"/>
          <w:szCs w:val="24"/>
        </w:rPr>
      </w:pPr>
      <w:r w:rsidRPr="00CF36AA">
        <w:rPr>
          <w:b/>
          <w:sz w:val="24"/>
          <w:szCs w:val="24"/>
        </w:rPr>
        <w:t>Agenda Item:</w:t>
      </w:r>
      <w:r w:rsidRPr="00CF36AA">
        <w:rPr>
          <w:sz w:val="24"/>
          <w:szCs w:val="24"/>
        </w:rPr>
        <w:tab/>
      </w:r>
      <w:bookmarkStart w:id="0" w:name="Source"/>
      <w:bookmarkEnd w:id="0"/>
      <w:r w:rsidR="00CF36AA">
        <w:rPr>
          <w:sz w:val="24"/>
          <w:szCs w:val="24"/>
        </w:rPr>
        <w:tab/>
      </w:r>
      <w:r w:rsidR="00E84924">
        <w:rPr>
          <w:sz w:val="24"/>
          <w:szCs w:val="24"/>
        </w:rPr>
        <w:t>10.11.1</w:t>
      </w:r>
    </w:p>
    <w:p w:rsidR="00A474D9" w:rsidRPr="00CF36AA" w:rsidRDefault="00A474D9" w:rsidP="00A474D9">
      <w:pPr>
        <w:tabs>
          <w:tab w:val="left" w:pos="1985"/>
        </w:tabs>
        <w:spacing w:after="120"/>
        <w:rPr>
          <w:sz w:val="24"/>
          <w:szCs w:val="24"/>
        </w:rPr>
      </w:pPr>
      <w:r w:rsidRPr="00CF36AA">
        <w:rPr>
          <w:b/>
          <w:sz w:val="24"/>
          <w:szCs w:val="24"/>
        </w:rPr>
        <w:t xml:space="preserve">Source: </w:t>
      </w:r>
      <w:r w:rsidRPr="00CF36AA">
        <w:rPr>
          <w:b/>
          <w:sz w:val="24"/>
          <w:szCs w:val="24"/>
        </w:rPr>
        <w:tab/>
      </w:r>
      <w:r w:rsidR="00CF36AA">
        <w:rPr>
          <w:b/>
          <w:sz w:val="24"/>
          <w:szCs w:val="24"/>
        </w:rPr>
        <w:tab/>
      </w:r>
      <w:r w:rsidRPr="00CF36AA">
        <w:rPr>
          <w:b/>
          <w:sz w:val="24"/>
          <w:szCs w:val="24"/>
        </w:rPr>
        <w:t xml:space="preserve">Vodafone </w:t>
      </w:r>
    </w:p>
    <w:p w:rsidR="00A474D9" w:rsidRPr="00CF36AA" w:rsidRDefault="00A474D9" w:rsidP="00CF36AA">
      <w:pPr>
        <w:pStyle w:val="Title"/>
        <w:rPr>
          <w:rFonts w:asciiTheme="minorHAnsi" w:hAnsiTheme="minorHAnsi"/>
        </w:rPr>
      </w:pPr>
      <w:r w:rsidRPr="00CF36AA">
        <w:rPr>
          <w:rFonts w:asciiTheme="minorHAnsi" w:hAnsiTheme="minorHAnsi"/>
          <w:b/>
          <w:color w:val="auto"/>
          <w:sz w:val="24"/>
          <w:szCs w:val="24"/>
        </w:rPr>
        <w:t>Title:</w:t>
      </w:r>
      <w:r w:rsidRPr="00CF36AA">
        <w:rPr>
          <w:rFonts w:asciiTheme="minorHAnsi" w:hAnsiTheme="minorHAnsi"/>
          <w:color w:val="auto"/>
          <w:sz w:val="24"/>
          <w:szCs w:val="24"/>
        </w:rPr>
        <w:t xml:space="preserve"> </w:t>
      </w:r>
      <w:r w:rsidRPr="00CF36AA">
        <w:rPr>
          <w:rFonts w:asciiTheme="minorHAnsi" w:hAnsiTheme="minorHAnsi"/>
          <w:color w:val="auto"/>
          <w:sz w:val="24"/>
          <w:szCs w:val="24"/>
        </w:rPr>
        <w:tab/>
      </w:r>
      <w:r w:rsidR="00CF36AA">
        <w:rPr>
          <w:rFonts w:asciiTheme="minorHAnsi" w:hAnsiTheme="minorHAnsi"/>
          <w:color w:val="auto"/>
          <w:sz w:val="24"/>
          <w:szCs w:val="24"/>
        </w:rPr>
        <w:tab/>
      </w:r>
      <w:r w:rsidR="00CF36AA">
        <w:rPr>
          <w:rFonts w:asciiTheme="minorHAnsi" w:hAnsiTheme="minorHAnsi"/>
          <w:color w:val="auto"/>
          <w:sz w:val="24"/>
          <w:szCs w:val="24"/>
        </w:rPr>
        <w:tab/>
      </w:r>
      <w:r w:rsidR="00CF36AA" w:rsidRPr="00CF36AA">
        <w:rPr>
          <w:rFonts w:asciiTheme="minorHAnsi" w:hAnsiTheme="minorHAnsi"/>
          <w:color w:val="auto"/>
          <w:sz w:val="24"/>
          <w:szCs w:val="24"/>
        </w:rPr>
        <w:t>High Layer Functional Spilt with Separated Control and User Planes</w:t>
      </w:r>
    </w:p>
    <w:p w:rsidR="00A474D9" w:rsidRPr="00CF36AA" w:rsidRDefault="00A474D9" w:rsidP="00A474D9">
      <w:pPr>
        <w:tabs>
          <w:tab w:val="left" w:pos="1985"/>
        </w:tabs>
        <w:spacing w:after="120"/>
        <w:ind w:right="-446"/>
        <w:rPr>
          <w:sz w:val="24"/>
          <w:szCs w:val="24"/>
        </w:rPr>
      </w:pPr>
      <w:r w:rsidRPr="00CF36AA">
        <w:rPr>
          <w:b/>
          <w:sz w:val="24"/>
          <w:szCs w:val="24"/>
        </w:rPr>
        <w:t>Document for:</w:t>
      </w:r>
      <w:r w:rsidRPr="00CF36AA">
        <w:rPr>
          <w:sz w:val="24"/>
          <w:szCs w:val="24"/>
        </w:rPr>
        <w:tab/>
      </w:r>
      <w:bookmarkStart w:id="1" w:name="DocumentFor"/>
      <w:bookmarkEnd w:id="1"/>
      <w:r w:rsidR="00CF36AA">
        <w:rPr>
          <w:sz w:val="24"/>
          <w:szCs w:val="24"/>
        </w:rPr>
        <w:tab/>
      </w:r>
      <w:r w:rsidRPr="00CF36AA">
        <w:rPr>
          <w:sz w:val="24"/>
          <w:szCs w:val="24"/>
        </w:rPr>
        <w:t xml:space="preserve">Discussion and Decision </w:t>
      </w:r>
    </w:p>
    <w:p w:rsidR="00A474D9" w:rsidRDefault="00A474D9" w:rsidP="00A474D9">
      <w:pPr>
        <w:tabs>
          <w:tab w:val="left" w:pos="1985"/>
        </w:tabs>
        <w:spacing w:after="120"/>
        <w:ind w:right="-446"/>
        <w:rPr>
          <w:rFonts w:ascii="Arial" w:hAnsi="Arial"/>
        </w:rPr>
      </w:pPr>
      <w:r>
        <w:rPr>
          <w:rFonts w:ascii="Arial" w:hAnsi="Arial"/>
          <w:noProof/>
          <w:lang w:eastAsia="en-GB"/>
        </w:rPr>
        <mc:AlternateContent>
          <mc:Choice Requires="wps">
            <w:drawing>
              <wp:anchor distT="0" distB="0" distL="114300" distR="114300" simplePos="0" relativeHeight="251659264" behindDoc="0" locked="0" layoutInCell="1" allowOverlap="1">
                <wp:simplePos x="0" y="0"/>
                <wp:positionH relativeFrom="column">
                  <wp:posOffset>-487680</wp:posOffset>
                </wp:positionH>
                <wp:positionV relativeFrom="paragraph">
                  <wp:posOffset>180975</wp:posOffset>
                </wp:positionV>
                <wp:extent cx="6720840" cy="30480"/>
                <wp:effectExtent l="0" t="0" r="22860" b="26670"/>
                <wp:wrapNone/>
                <wp:docPr id="3" name="Straight Connector 3"/>
                <wp:cNvGraphicFramePr/>
                <a:graphic xmlns:a="http://schemas.openxmlformats.org/drawingml/2006/main">
                  <a:graphicData uri="http://schemas.microsoft.com/office/word/2010/wordprocessingShape">
                    <wps:wsp>
                      <wps:cNvCnPr/>
                      <wps:spPr>
                        <a:xfrm flipV="1">
                          <a:off x="0" y="0"/>
                          <a:ext cx="6720840" cy="304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77635B0" id="Straight Connector 3"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8.4pt,14.25pt" to="490.8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wb8xwEAANEDAAAOAAAAZHJzL2Uyb0RvYy54bWysU02P0zAQvSPtf7B8p0nb1VJFTffQFXtB&#10;ULGwd68zbiz5S2PTpP+esdMGBGglEBcrY897M+/NZHs/WsNOgFF71/LlouYMnPSddseWf/3y/u2G&#10;s5iE64TxDlp+hsjvdzdvtkNoYOV7bzpARiQuNkNoeZ9SaKoqyh6siAsfwNGj8mhFohCPVYdiIHZr&#10;qlVd31WDxy6glxAj3T5Mj3xX+JUCmT4pFSEx03LqLZUTy/mSz2q3Fc0RRei1vLQh/qELK7SjojPV&#10;g0iCfUP9G5XVEn30Ki2kt5VXSksoGkjNsv5FzVMvAhQtZE4Ms03x/9HKj6cDMt21fM2ZE5ZG9JRQ&#10;6GOf2N47RwZ6ZOvs0xBiQ+l7d8BLFMMBs+hRoWXK6PBMK1BsIGFsLC6fZ5dhTEzS5d27Vb25pWFI&#10;elvXt5syhWqiyXQBY3oEb1n+aLnRLpsgGnH6EBOVptRrCgW5ramR8pXOBnKycZ9BkTAqOLVUVgr2&#10;BtlJ0DIIKcGlZRZGfCU7w5Q2ZgbWpeyrwEt+hkJZt78Bz4hS2bs0g612Hv9UPY3XltWUf3Vg0p0t&#10;ePHduYyoWEN7UxRedjwv5s9xgf/4E3ffAQAA//8DAFBLAwQUAAYACAAAACEAbr/rwN4AAAAJAQAA&#10;DwAAAGRycy9kb3ducmV2LnhtbEyPy07DMBRE90j8g3WR2LXOA0IIuakQpWvUQqUu3fiSBPyIbLdN&#10;/h6zguVoRjNn6tWkFTuT84M1COkyAUamtXIwHcLH+2ZRAvNBGCmUNYQwk4dVc31Vi0rai9nSeRc6&#10;FkuMrwRCH8JYce7bnrTwSzuSid6ndVqEKF3HpROXWK4Vz5Kk4FoMJi70YqSXntrv3UkjeNW9fs37&#10;2a4z6eb1xh/oLb1DvL2Znp+ABZrCXxh+8SM6NJHpaE9GeqYQFg9FRA8IWXkPLAYey7QAdkTI8xx4&#10;U/P/D5ofAAAA//8DAFBLAQItABQABgAIAAAAIQC2gziS/gAAAOEBAAATAAAAAAAAAAAAAAAAAAAA&#10;AABbQ29udGVudF9UeXBlc10ueG1sUEsBAi0AFAAGAAgAAAAhADj9If/WAAAAlAEAAAsAAAAAAAAA&#10;AAAAAAAALwEAAF9yZWxzLy5yZWxzUEsBAi0AFAAGAAgAAAAhAI8jBvzHAQAA0QMAAA4AAAAAAAAA&#10;AAAAAAAALgIAAGRycy9lMm9Eb2MueG1sUEsBAi0AFAAGAAgAAAAhAG6/68DeAAAACQEAAA8AAAAA&#10;AAAAAAAAAAAAIQQAAGRycy9kb3ducmV2LnhtbFBLBQYAAAAABAAEAPMAAAAsBQAAAAA=&#10;" strokecolor="#da0000 [3044]"/>
            </w:pict>
          </mc:Fallback>
        </mc:AlternateContent>
      </w:r>
    </w:p>
    <w:p w:rsidR="00A474D9" w:rsidRDefault="00867D2F" w:rsidP="002F1BC1">
      <w:pPr>
        <w:pStyle w:val="Title"/>
      </w:pPr>
      <w:r>
        <w:t>High Layer Functional S</w:t>
      </w:r>
      <w:r w:rsidR="002F1BC1">
        <w:t xml:space="preserve">pilt </w:t>
      </w:r>
      <w:r w:rsidR="00A81A68">
        <w:t xml:space="preserve">with Separated </w:t>
      </w:r>
      <w:r w:rsidR="002F1BC1">
        <w:t xml:space="preserve">Control and User Planes </w:t>
      </w:r>
    </w:p>
    <w:p w:rsidR="00867D2F" w:rsidRDefault="00867D2F" w:rsidP="00867D2F">
      <w:pPr>
        <w:pStyle w:val="Heading1"/>
      </w:pPr>
      <w:r>
        <w:t xml:space="preserve">Introduction </w:t>
      </w:r>
    </w:p>
    <w:p w:rsidR="000C4801" w:rsidRDefault="000C4801" w:rsidP="000C4801">
      <w:r>
        <w:t>Following on from last RAN3 meeting and discussions on CU-DU High Layer Split</w:t>
      </w:r>
      <w:r w:rsidR="005275E8">
        <w:t xml:space="preserve"> [1]</w:t>
      </w:r>
      <w:r w:rsidR="00B959CB">
        <w:t xml:space="preserve"> </w:t>
      </w:r>
      <w:r w:rsidR="005275E8">
        <w:t>[2]</w:t>
      </w:r>
      <w:r>
        <w:t>, we provide further analysis of a High</w:t>
      </w:r>
      <w:r w:rsidR="00CD3994">
        <w:t xml:space="preserve"> Layer Split </w:t>
      </w:r>
      <w:r w:rsidR="005A36A1">
        <w:t xml:space="preserve">Option 2 </w:t>
      </w:r>
      <w:r w:rsidR="00CD3994">
        <w:t>concept where the C</w:t>
      </w:r>
      <w:r>
        <w:t xml:space="preserve">ontrol and </w:t>
      </w:r>
      <w:r w:rsidR="00CD3994">
        <w:t>the U</w:t>
      </w:r>
      <w:r>
        <w:t>ser planes are separated</w:t>
      </w:r>
      <w:r w:rsidR="00900A7B">
        <w:t xml:space="preserve"> above the RLC layer</w:t>
      </w:r>
      <w:r>
        <w:t xml:space="preserve">. </w:t>
      </w:r>
    </w:p>
    <w:p w:rsidR="00A474D9" w:rsidRDefault="000C4801" w:rsidP="00011BA1">
      <w:pPr>
        <w:rPr>
          <w:color w:val="FF0000"/>
          <w:sz w:val="24"/>
        </w:rPr>
      </w:pPr>
      <w:r>
        <w:t xml:space="preserve">In this contribution we highlight a number of </w:t>
      </w:r>
      <w:r w:rsidR="005A36A1">
        <w:t>technologies</w:t>
      </w:r>
      <w:r>
        <w:t xml:space="preserve"> which </w:t>
      </w:r>
      <w:r w:rsidR="000B32C8">
        <w:t xml:space="preserve">pave the way towards an </w:t>
      </w:r>
      <w:r w:rsidR="00041B61">
        <w:t xml:space="preserve">evolved centralized RAN architecture. </w:t>
      </w:r>
    </w:p>
    <w:p w:rsidR="000C4801" w:rsidRDefault="000C4801" w:rsidP="00041B61">
      <w:pPr>
        <w:pStyle w:val="Heading1"/>
      </w:pPr>
      <w:r>
        <w:t>Radio Resource Management</w:t>
      </w:r>
    </w:p>
    <w:p w:rsidR="003568B5" w:rsidRDefault="00447824" w:rsidP="00A474D9">
      <w:r>
        <w:t xml:space="preserve">The scenario depicted in </w:t>
      </w:r>
      <w:r w:rsidR="008705F6">
        <w:fldChar w:fldCharType="begin"/>
      </w:r>
      <w:r w:rsidR="008705F6">
        <w:instrText xml:space="preserve"> REF _Ref477856826 \h </w:instrText>
      </w:r>
      <w:r w:rsidR="008705F6">
        <w:fldChar w:fldCharType="separate"/>
      </w:r>
      <w:r w:rsidR="00A81A68">
        <w:t xml:space="preserve">Figure </w:t>
      </w:r>
      <w:r w:rsidR="00A81A68">
        <w:rPr>
          <w:noProof/>
        </w:rPr>
        <w:t>1</w:t>
      </w:r>
      <w:r w:rsidR="008705F6">
        <w:fldChar w:fldCharType="end"/>
      </w:r>
      <w:r w:rsidR="008705F6">
        <w:t xml:space="preserve">, </w:t>
      </w:r>
      <w:r>
        <w:t xml:space="preserve">illustrates a typical deployment scenario where cells of different radio access technologies are geographically co-located. This is a typical heterogeneous deployment scenario </w:t>
      </w:r>
      <w:r w:rsidR="003568B5">
        <w:t xml:space="preserve">where LTE and 5G, and other technologies are integrated onto one common platform. </w:t>
      </w:r>
    </w:p>
    <w:p w:rsidR="008705F6" w:rsidRDefault="008705F6" w:rsidP="008705F6">
      <w:pPr>
        <w:keepNext/>
        <w:jc w:val="center"/>
      </w:pPr>
      <w:r>
        <w:rPr>
          <w:noProof/>
          <w:lang w:eastAsia="en-GB"/>
        </w:rPr>
        <w:drawing>
          <wp:inline distT="0" distB="0" distL="0" distR="0">
            <wp:extent cx="3632475" cy="1433512"/>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ulti-band.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663830" cy="1445886"/>
                    </a:xfrm>
                    <a:prstGeom prst="rect">
                      <a:avLst/>
                    </a:prstGeom>
                  </pic:spPr>
                </pic:pic>
              </a:graphicData>
            </a:graphic>
          </wp:inline>
        </w:drawing>
      </w:r>
    </w:p>
    <w:p w:rsidR="008705F6" w:rsidRDefault="008705F6" w:rsidP="008705F6">
      <w:pPr>
        <w:pStyle w:val="Caption"/>
        <w:jc w:val="center"/>
      </w:pPr>
      <w:bookmarkStart w:id="2" w:name="_Ref477856826"/>
      <w:r>
        <w:t xml:space="preserve">Figure </w:t>
      </w:r>
      <w:r w:rsidR="00F0110A">
        <w:fldChar w:fldCharType="begin"/>
      </w:r>
      <w:r w:rsidR="00F0110A">
        <w:instrText xml:space="preserve"> SEQ Figure \* ARABIC </w:instrText>
      </w:r>
      <w:r w:rsidR="00F0110A">
        <w:fldChar w:fldCharType="separate"/>
      </w:r>
      <w:r w:rsidR="00E71D25">
        <w:rPr>
          <w:noProof/>
        </w:rPr>
        <w:t>1</w:t>
      </w:r>
      <w:r w:rsidR="00F0110A">
        <w:rPr>
          <w:noProof/>
        </w:rPr>
        <w:fldChar w:fldCharType="end"/>
      </w:r>
      <w:bookmarkEnd w:id="2"/>
      <w:r>
        <w:t xml:space="preserve"> Multi-band Base-station example</w:t>
      </w:r>
    </w:p>
    <w:p w:rsidR="003568B5" w:rsidRDefault="003568B5" w:rsidP="00A474D9">
      <w:r>
        <w:t xml:space="preserve">In a heterogeneous architecture, radio capacity, available radio resources, interactions between RATs and service performance must be well managed to maximize the network performance and to provide enhanced user experience. </w:t>
      </w:r>
    </w:p>
    <w:p w:rsidR="003568B5" w:rsidRDefault="00041B61" w:rsidP="00A474D9">
      <w:r>
        <w:lastRenderedPageBreak/>
        <w:t xml:space="preserve">In order to enhance the overall </w:t>
      </w:r>
      <w:r w:rsidR="003568B5">
        <w:t xml:space="preserve">performance, </w:t>
      </w:r>
      <w:r>
        <w:t>the Radio Resource Management (RRM) has to be split between the Centralized and Distributed Units</w:t>
      </w:r>
      <w:r w:rsidR="005275E8">
        <w:t xml:space="preserve"> [3] [4]</w:t>
      </w:r>
      <w:r>
        <w:t xml:space="preserve">. </w:t>
      </w:r>
      <w:r w:rsidR="00B16C3F">
        <w:t xml:space="preserve"> The split RRM would have a Centralized or Common RRM and Remote or Local RRM functions. </w:t>
      </w:r>
      <w:r w:rsidR="003568B5">
        <w:t>The splitting of th</w:t>
      </w:r>
      <w:r w:rsidR="00B9332C">
        <w:t>e</w:t>
      </w:r>
      <w:r w:rsidR="003568B5">
        <w:t xml:space="preserve"> RRM has the following advantages:</w:t>
      </w:r>
    </w:p>
    <w:p w:rsidR="00B9332C" w:rsidRDefault="00B9332C" w:rsidP="00B9332C">
      <w:pPr>
        <w:pStyle w:val="ListParagraph"/>
        <w:numPr>
          <w:ilvl w:val="0"/>
          <w:numId w:val="2"/>
        </w:numPr>
      </w:pPr>
      <w:r>
        <w:t xml:space="preserve">Slow changing radio conditions and network policies can be implanted in a centralized location to relive processing load on the remote Distributed Unit. </w:t>
      </w:r>
    </w:p>
    <w:p w:rsidR="00B9332C" w:rsidRDefault="00B9332C" w:rsidP="00B9332C">
      <w:pPr>
        <w:pStyle w:val="ListParagraph"/>
        <w:numPr>
          <w:ilvl w:val="0"/>
          <w:numId w:val="2"/>
        </w:numPr>
      </w:pPr>
      <w:r>
        <w:t>Fast changing and network interference critical parameters are left to the remote unit to respond rapidly to changing radio environment</w:t>
      </w:r>
    </w:p>
    <w:p w:rsidR="00041B61" w:rsidRDefault="00B9332C" w:rsidP="00B9332C">
      <w:pPr>
        <w:pStyle w:val="ListParagraph"/>
        <w:numPr>
          <w:ilvl w:val="0"/>
          <w:numId w:val="2"/>
        </w:numPr>
      </w:pPr>
      <w:r>
        <w:t>T</w:t>
      </w:r>
      <w:r w:rsidR="00041B61">
        <w:t>he transmission resources are used more efficiently</w:t>
      </w:r>
      <w:r>
        <w:t xml:space="preserve"> and less prone to fluctuations and latencies </w:t>
      </w:r>
    </w:p>
    <w:p w:rsidR="00B16C3F" w:rsidRDefault="00B16C3F" w:rsidP="00B16C3F">
      <w:r>
        <w:t xml:space="preserve">The </w:t>
      </w:r>
      <w:r w:rsidR="00D13109">
        <w:t>proposed split RRM topology is illustra</w:t>
      </w:r>
      <w:r w:rsidR="00214E42">
        <w:t xml:space="preserve">ted in the following </w:t>
      </w:r>
      <w:r w:rsidR="00214E42">
        <w:fldChar w:fldCharType="begin"/>
      </w:r>
      <w:r w:rsidR="00214E42">
        <w:instrText xml:space="preserve"> REF _Ref477507145 \h </w:instrText>
      </w:r>
      <w:r w:rsidR="00214E42">
        <w:fldChar w:fldCharType="separate"/>
      </w:r>
      <w:r w:rsidR="00A81A68">
        <w:t xml:space="preserve">Figure </w:t>
      </w:r>
      <w:r w:rsidR="00A81A68">
        <w:rPr>
          <w:noProof/>
        </w:rPr>
        <w:t>2</w:t>
      </w:r>
      <w:r w:rsidR="00214E42">
        <w:fldChar w:fldCharType="end"/>
      </w:r>
      <w:r w:rsidR="00736172">
        <w:t>:</w:t>
      </w:r>
    </w:p>
    <w:p w:rsidR="000F712B" w:rsidRDefault="006C0380" w:rsidP="00E84924">
      <w:pPr>
        <w:keepNext/>
        <w:jc w:val="center"/>
      </w:pPr>
      <w:r>
        <w:rPr>
          <w:noProof/>
          <w:lang w:eastAsia="en-GB"/>
        </w:rPr>
        <w:drawing>
          <wp:inline distT="0" distB="0" distL="0" distR="0">
            <wp:extent cx="5731510" cy="215265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RM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2152650"/>
                    </a:xfrm>
                    <a:prstGeom prst="rect">
                      <a:avLst/>
                    </a:prstGeom>
                  </pic:spPr>
                </pic:pic>
              </a:graphicData>
            </a:graphic>
          </wp:inline>
        </w:drawing>
      </w:r>
    </w:p>
    <w:p w:rsidR="000F712B" w:rsidRDefault="000F712B" w:rsidP="000F712B">
      <w:pPr>
        <w:pStyle w:val="Caption"/>
      </w:pPr>
      <w:bookmarkStart w:id="3" w:name="_Ref477507145"/>
      <w:r>
        <w:t xml:space="preserve">Figure </w:t>
      </w:r>
      <w:r w:rsidR="00F0110A">
        <w:fldChar w:fldCharType="begin"/>
      </w:r>
      <w:r w:rsidR="00F0110A">
        <w:instrText xml:space="preserve"> SEQ Figure \* ARABIC </w:instrText>
      </w:r>
      <w:r w:rsidR="00F0110A">
        <w:fldChar w:fldCharType="separate"/>
      </w:r>
      <w:r w:rsidR="00E71D25">
        <w:rPr>
          <w:noProof/>
        </w:rPr>
        <w:t>2</w:t>
      </w:r>
      <w:r w:rsidR="00F0110A">
        <w:rPr>
          <w:noProof/>
        </w:rPr>
        <w:fldChar w:fldCharType="end"/>
      </w:r>
      <w:bookmarkEnd w:id="3"/>
      <w:r>
        <w:t xml:space="preserve"> Common and Local Radio Resource Management Concept</w:t>
      </w:r>
    </w:p>
    <w:p w:rsidR="00D13109" w:rsidRDefault="00D13109" w:rsidP="00B16C3F">
      <w:r>
        <w:t>In general, the Common RRM (CRRM) and the Local RRM (LRRM) would have two functionalities:</w:t>
      </w:r>
    </w:p>
    <w:p w:rsidR="00D13109" w:rsidRDefault="00D13109" w:rsidP="00D13109">
      <w:pPr>
        <w:pStyle w:val="ListParagraph"/>
        <w:numPr>
          <w:ilvl w:val="0"/>
          <w:numId w:val="3"/>
        </w:numPr>
      </w:pPr>
      <w:r>
        <w:t xml:space="preserve">Information reporting, </w:t>
      </w:r>
      <w:r w:rsidR="00266662">
        <w:t>where by the Local RR</w:t>
      </w:r>
      <w:r>
        <w:t>M would report cell information periodically to the Common RRM</w:t>
      </w:r>
    </w:p>
    <w:p w:rsidR="00D13109" w:rsidRDefault="00D13109" w:rsidP="00D13109">
      <w:pPr>
        <w:pStyle w:val="ListParagraph"/>
        <w:numPr>
          <w:ilvl w:val="0"/>
          <w:numId w:val="3"/>
        </w:numPr>
      </w:pPr>
      <w:r>
        <w:t xml:space="preserve"> Decision Support, where both local and centralized RRM interact dynamically to a changing </w:t>
      </w:r>
      <w:r w:rsidR="00CA4524">
        <w:t>condition</w:t>
      </w:r>
    </w:p>
    <w:p w:rsidR="00214E42" w:rsidRDefault="00214E42" w:rsidP="00214E42">
      <w:r>
        <w:t xml:space="preserve">The performance of the evolved network can be enhanced by locating </w:t>
      </w:r>
      <w:r w:rsidR="00A66681">
        <w:t xml:space="preserve">the control of the </w:t>
      </w:r>
      <w:r>
        <w:t xml:space="preserve">slow changing variants in the Common RRM and </w:t>
      </w:r>
      <w:r w:rsidR="00A66681">
        <w:t xml:space="preserve">the </w:t>
      </w:r>
      <w:r>
        <w:t xml:space="preserve">fast changing variants, such as Power </w:t>
      </w:r>
      <w:r w:rsidR="006C0380">
        <w:t>Control, in</w:t>
      </w:r>
      <w:r>
        <w:t xml:space="preserve"> the Local RRMs. </w:t>
      </w:r>
    </w:p>
    <w:p w:rsidR="006C0380" w:rsidRDefault="006C0380" w:rsidP="00214E42">
      <w:r>
        <w:t xml:space="preserve">The split RRM concept would benefit from the proposed CU-DU split architecture and separated control and user plane. </w:t>
      </w:r>
    </w:p>
    <w:p w:rsidR="00CA4524" w:rsidRDefault="00CA4524" w:rsidP="00A474D9"/>
    <w:p w:rsidR="000C4801" w:rsidRDefault="006C0380" w:rsidP="00041B61">
      <w:pPr>
        <w:pStyle w:val="Heading1"/>
      </w:pPr>
      <w:r>
        <w:t>Flow C</w:t>
      </w:r>
      <w:r w:rsidR="000C4801">
        <w:t>ontrol</w:t>
      </w:r>
    </w:p>
    <w:p w:rsidR="00A0577A" w:rsidRDefault="00A0577A" w:rsidP="006C0380">
      <w:r>
        <w:t xml:space="preserve">From dual connectivity architecture, and </w:t>
      </w:r>
      <w:r w:rsidR="00900A7B">
        <w:t xml:space="preserve">particularly </w:t>
      </w:r>
      <w:r>
        <w:t xml:space="preserve">with differing RAN capabilities, in master and secondary cells, a Flow Control mechanism is </w:t>
      </w:r>
      <w:r w:rsidR="00900A7B">
        <w:t>needed between DUs and the CU</w:t>
      </w:r>
      <w:r>
        <w:t xml:space="preserve">. </w:t>
      </w:r>
    </w:p>
    <w:p w:rsidR="00A0577A" w:rsidRDefault="00A0577A" w:rsidP="006C0380">
      <w:r>
        <w:t xml:space="preserve">With differing RAN capabilities and radio conditions, such as LTE and 5G, </w:t>
      </w:r>
      <w:r w:rsidR="00842CE6">
        <w:t xml:space="preserve">and to ensure efficient use of resources, the downlink buffers at both master and secondary </w:t>
      </w:r>
      <w:bookmarkStart w:id="4" w:name="_GoBack"/>
      <w:bookmarkEnd w:id="4"/>
      <w:r w:rsidR="00736172">
        <w:t>eNodeBs [</w:t>
      </w:r>
      <w:r w:rsidR="00BB0F31">
        <w:t xml:space="preserve">5] [6], </w:t>
      </w:r>
      <w:r w:rsidR="00842CE6">
        <w:t>must be well maintained to prevent running-on-empty or buffer-overflow conditions.</w:t>
      </w:r>
      <w:r w:rsidR="008F26F7">
        <w:t xml:space="preserve"> Furthermore, the centralized Flow Control unit, </w:t>
      </w:r>
      <w:r w:rsidR="008F26F7">
        <w:lastRenderedPageBreak/>
        <w:t xml:space="preserve">to ensure efficient packet forwarding, must be able to collect radio condition and radio resource information from the Centralized RRM unit.  </w:t>
      </w:r>
    </w:p>
    <w:p w:rsidR="00842CE6" w:rsidRDefault="00842CE6" w:rsidP="006C0380">
      <w:r>
        <w:t xml:space="preserve">Thus a robust Flow Control mechanism is required between the Central and Distributed </w:t>
      </w:r>
      <w:r w:rsidR="00900A7B">
        <w:t>U</w:t>
      </w:r>
      <w:r>
        <w:t>nits to manage a smooth transfer of the user data from base-station to the user terminal.</w:t>
      </w:r>
      <w:r w:rsidR="002979DF">
        <w:t xml:space="preserve"> The proposed Flow Control concept is illustrated in the following </w:t>
      </w:r>
      <w:r w:rsidR="00E76FB1">
        <w:fldChar w:fldCharType="begin"/>
      </w:r>
      <w:r w:rsidR="00E76FB1">
        <w:instrText xml:space="preserve"> REF _Ref477523386 \h </w:instrText>
      </w:r>
      <w:r w:rsidR="00E76FB1">
        <w:fldChar w:fldCharType="separate"/>
      </w:r>
      <w:r w:rsidR="00A81A68">
        <w:t xml:space="preserve">Figure </w:t>
      </w:r>
      <w:r w:rsidR="00A81A68">
        <w:rPr>
          <w:noProof/>
        </w:rPr>
        <w:t>3</w:t>
      </w:r>
      <w:r w:rsidR="00E76FB1">
        <w:fldChar w:fldCharType="end"/>
      </w:r>
      <w:r w:rsidR="00E76FB1">
        <w:t>.</w:t>
      </w:r>
    </w:p>
    <w:p w:rsidR="002979DF" w:rsidRDefault="00CF36AA" w:rsidP="00E84924">
      <w:pPr>
        <w:keepNext/>
        <w:jc w:val="center"/>
      </w:pPr>
      <w:r>
        <w:rPr>
          <w:noProof/>
          <w:lang w:eastAsia="en-GB"/>
        </w:rPr>
        <w:drawing>
          <wp:inline distT="0" distB="0" distL="0" distR="0">
            <wp:extent cx="5731510" cy="362331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low-control.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3623310"/>
                    </a:xfrm>
                    <a:prstGeom prst="rect">
                      <a:avLst/>
                    </a:prstGeom>
                  </pic:spPr>
                </pic:pic>
              </a:graphicData>
            </a:graphic>
          </wp:inline>
        </w:drawing>
      </w:r>
    </w:p>
    <w:p w:rsidR="002979DF" w:rsidRDefault="002979DF" w:rsidP="002979DF">
      <w:pPr>
        <w:pStyle w:val="Caption"/>
      </w:pPr>
      <w:bookmarkStart w:id="5" w:name="_Ref477523386"/>
      <w:r>
        <w:t xml:space="preserve">Figure </w:t>
      </w:r>
      <w:r w:rsidR="00F0110A">
        <w:fldChar w:fldCharType="begin"/>
      </w:r>
      <w:r w:rsidR="00F0110A">
        <w:instrText xml:space="preserve"> SEQ Figure \* ARABIC </w:instrText>
      </w:r>
      <w:r w:rsidR="00F0110A">
        <w:fldChar w:fldCharType="separate"/>
      </w:r>
      <w:r w:rsidR="00E71D25">
        <w:rPr>
          <w:noProof/>
        </w:rPr>
        <w:t>3</w:t>
      </w:r>
      <w:r w:rsidR="00F0110A">
        <w:rPr>
          <w:noProof/>
        </w:rPr>
        <w:fldChar w:fldCharType="end"/>
      </w:r>
      <w:bookmarkEnd w:id="5"/>
      <w:r>
        <w:t xml:space="preserve"> Flow Control between Central and Distributed Units</w:t>
      </w:r>
    </w:p>
    <w:p w:rsidR="00842CE6" w:rsidRPr="006C0380" w:rsidRDefault="00842CE6" w:rsidP="006C0380"/>
    <w:p w:rsidR="00A474D9" w:rsidRDefault="000C4801" w:rsidP="00E76FB1">
      <w:pPr>
        <w:pStyle w:val="Heading1"/>
      </w:pPr>
      <w:r>
        <w:t xml:space="preserve">Throughput and PDCP </w:t>
      </w:r>
      <w:r w:rsidR="00E76FB1">
        <w:t>Sequence N</w:t>
      </w:r>
      <w:r w:rsidR="00182EB8">
        <w:t>umbering</w:t>
      </w:r>
    </w:p>
    <w:p w:rsidR="00900A7B" w:rsidRDefault="00900A7B" w:rsidP="00E76FB1">
      <w:r>
        <w:t>When using dual connectivity, the PDCP Sequence Numbering allows the UE (and CU) to provide in-sequence delivery of packets to higher layers (and uplink onto the S1-U interface.</w:t>
      </w:r>
    </w:p>
    <w:p w:rsidR="00CF0C5E" w:rsidRDefault="00CF0C5E" w:rsidP="00E76FB1">
      <w:r>
        <w:t>The user plane PDCP Control PDU sequence number</w:t>
      </w:r>
      <w:r w:rsidR="00900A7B">
        <w:t xml:space="preserve"> size</w:t>
      </w:r>
      <w:r>
        <w:t xml:space="preserve"> is very important </w:t>
      </w:r>
      <w:r w:rsidR="00900A7B">
        <w:t xml:space="preserve">as it can </w:t>
      </w:r>
      <w:r w:rsidR="00CF36AA">
        <w:t>limit the throughput</w:t>
      </w:r>
      <w:r>
        <w:t>.</w:t>
      </w:r>
    </w:p>
    <w:p w:rsidR="00FD29A5" w:rsidRDefault="00FD29A5" w:rsidP="00FD29A5">
      <w:r>
        <w:t>The current PDCP Sequence Number comprises of 18 bits, see the following figure. With 18 bits, 262144 in total can be sequenced. However, to ensure no-wrap-around, the convention is to use half of the sequences, i.e. up to 131072 PDUs</w:t>
      </w:r>
      <w:r w:rsidR="004235C0">
        <w:t xml:space="preserve"> [7] [8] [9] [10]</w:t>
      </w:r>
      <w:r>
        <w:t xml:space="preserve">. </w:t>
      </w:r>
    </w:p>
    <w:p w:rsidR="008531E0" w:rsidRDefault="008531E0" w:rsidP="008531E0">
      <w:pPr>
        <w:keepNext/>
        <w:jc w:val="center"/>
      </w:pPr>
      <w:r>
        <w:object w:dxaOrig="5715" w:dyaOrig="31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35pt;height:125pt" o:ole="">
            <v:imagedata r:id="rId11" o:title=""/>
          </v:shape>
          <o:OLEObject Type="Embed" ProgID="Visio.Drawing.11" ShapeID="_x0000_i1025" DrawAspect="Content" ObjectID="_1551883901" r:id="rId12"/>
        </w:object>
      </w:r>
    </w:p>
    <w:p w:rsidR="008531E0" w:rsidRDefault="008531E0" w:rsidP="008531E0">
      <w:pPr>
        <w:pStyle w:val="Caption"/>
        <w:jc w:val="center"/>
      </w:pPr>
      <w:r>
        <w:t xml:space="preserve">Figure </w:t>
      </w:r>
      <w:r w:rsidR="00F0110A">
        <w:fldChar w:fldCharType="begin"/>
      </w:r>
      <w:r w:rsidR="00F0110A">
        <w:instrText xml:space="preserve"> SEQ Figure \* ARABIC </w:instrText>
      </w:r>
      <w:r w:rsidR="00F0110A">
        <w:fldChar w:fldCharType="separate"/>
      </w:r>
      <w:r w:rsidR="00E71D25">
        <w:rPr>
          <w:noProof/>
        </w:rPr>
        <w:t>4</w:t>
      </w:r>
      <w:r w:rsidR="00F0110A">
        <w:rPr>
          <w:noProof/>
        </w:rPr>
        <w:fldChar w:fldCharType="end"/>
      </w:r>
      <w:r>
        <w:t xml:space="preserve"> </w:t>
      </w:r>
      <w:r w:rsidRPr="00267E34">
        <w:t>PDCP Data PDU fo</w:t>
      </w:r>
      <w:r>
        <w:t xml:space="preserve">rmat for DRBs using an 18 bit Sequence Numbering [36.323 Section 6.2.11] </w:t>
      </w:r>
    </w:p>
    <w:p w:rsidR="00FD29A5" w:rsidRDefault="00FD29A5" w:rsidP="00FD29A5"/>
    <w:p w:rsidR="00C81D20" w:rsidRDefault="00FD29A5" w:rsidP="00FD29A5">
      <w:r>
        <w:t>By taking into account the network</w:t>
      </w:r>
      <w:r w:rsidR="00C81D20">
        <w:t xml:space="preserve"> round trip </w:t>
      </w:r>
      <w:r>
        <w:t>latencies</w:t>
      </w:r>
      <w:r w:rsidR="005A36A1">
        <w:t>,</w:t>
      </w:r>
      <w:r>
        <w:t xml:space="preserve"> </w:t>
      </w:r>
      <w:r w:rsidR="00736444">
        <w:t>a general throughput calculation can be carried out as sho</w:t>
      </w:r>
      <w:r w:rsidR="00DF7FBE">
        <w:t>wn in the following table:</w:t>
      </w:r>
    </w:p>
    <w:p w:rsidR="0015262F" w:rsidRDefault="0015262F" w:rsidP="0015262F">
      <w:pPr>
        <w:pStyle w:val="Caption"/>
        <w:keepNext/>
      </w:pPr>
      <w:r>
        <w:t xml:space="preserve">Table </w:t>
      </w:r>
      <w:r w:rsidR="00F0110A">
        <w:fldChar w:fldCharType="begin"/>
      </w:r>
      <w:r w:rsidR="00F0110A">
        <w:instrText xml:space="preserve"> SEQ Table \* ARABIC </w:instrText>
      </w:r>
      <w:r w:rsidR="00F0110A">
        <w:fldChar w:fldCharType="separate"/>
      </w:r>
      <w:r w:rsidR="00AC15DB">
        <w:rPr>
          <w:noProof/>
        </w:rPr>
        <w:t>1</w:t>
      </w:r>
      <w:r w:rsidR="00F0110A">
        <w:rPr>
          <w:noProof/>
        </w:rPr>
        <w:fldChar w:fldCharType="end"/>
      </w:r>
      <w:r>
        <w:t xml:space="preserve"> PDCP Sequence Numbering and Throughput Calculations with Maximum Network and Re-transmission Latencies </w:t>
      </w:r>
    </w:p>
    <w:tbl>
      <w:tblPr>
        <w:tblStyle w:val="TableGrid"/>
        <w:tblW w:w="5000" w:type="pct"/>
        <w:tblLook w:val="04A0" w:firstRow="1" w:lastRow="0" w:firstColumn="1" w:lastColumn="0" w:noHBand="0" w:noVBand="1"/>
      </w:tblPr>
      <w:tblGrid>
        <w:gridCol w:w="582"/>
        <w:gridCol w:w="727"/>
        <w:gridCol w:w="1010"/>
        <w:gridCol w:w="1024"/>
        <w:gridCol w:w="1017"/>
        <w:gridCol w:w="1598"/>
        <w:gridCol w:w="727"/>
        <w:gridCol w:w="1307"/>
        <w:gridCol w:w="1024"/>
        <w:tblGridChange w:id="6">
          <w:tblGrid>
            <w:gridCol w:w="582"/>
            <w:gridCol w:w="727"/>
            <w:gridCol w:w="1010"/>
            <w:gridCol w:w="1024"/>
            <w:gridCol w:w="1017"/>
            <w:gridCol w:w="1598"/>
            <w:gridCol w:w="727"/>
            <w:gridCol w:w="1307"/>
            <w:gridCol w:w="1024"/>
          </w:tblGrid>
        </w:tblGridChange>
      </w:tblGrid>
      <w:tr w:rsidR="00AC15DB" w:rsidRPr="0015262F" w:rsidTr="00AC15DB">
        <w:trPr>
          <w:cantSplit/>
          <w:trHeight w:val="1134"/>
        </w:trPr>
        <w:tc>
          <w:tcPr>
            <w:tcW w:w="322" w:type="pct"/>
            <w:noWrap/>
            <w:textDirection w:val="tbRl"/>
            <w:hideMark/>
          </w:tcPr>
          <w:p w:rsidR="00AC15DB" w:rsidRPr="0015262F" w:rsidRDefault="00AC15DB" w:rsidP="0015262F">
            <w:pPr>
              <w:ind w:left="113" w:right="113"/>
              <w:rPr>
                <w:sz w:val="18"/>
              </w:rPr>
            </w:pPr>
            <w:r>
              <w:rPr>
                <w:sz w:val="18"/>
              </w:rPr>
              <w:t xml:space="preserve">Row </w:t>
            </w:r>
            <w:r w:rsidRPr="0015262F">
              <w:rPr>
                <w:sz w:val="18"/>
              </w:rPr>
              <w:t xml:space="preserve">Number </w:t>
            </w:r>
          </w:p>
        </w:tc>
        <w:tc>
          <w:tcPr>
            <w:tcW w:w="403" w:type="pct"/>
            <w:noWrap/>
            <w:textDirection w:val="tbRl"/>
            <w:hideMark/>
          </w:tcPr>
          <w:p w:rsidR="00AC15DB" w:rsidRPr="0015262F" w:rsidRDefault="00AC15DB" w:rsidP="0015262F">
            <w:pPr>
              <w:ind w:left="113" w:right="113"/>
              <w:rPr>
                <w:sz w:val="18"/>
              </w:rPr>
            </w:pPr>
            <w:r w:rsidRPr="0015262F">
              <w:rPr>
                <w:sz w:val="18"/>
              </w:rPr>
              <w:t>Sequence number</w:t>
            </w:r>
          </w:p>
        </w:tc>
        <w:tc>
          <w:tcPr>
            <w:tcW w:w="560" w:type="pct"/>
            <w:noWrap/>
            <w:textDirection w:val="tbRl"/>
            <w:hideMark/>
          </w:tcPr>
          <w:p w:rsidR="00AC15DB" w:rsidRPr="0015262F" w:rsidRDefault="00AC15DB" w:rsidP="0015262F">
            <w:pPr>
              <w:ind w:left="113" w:right="113"/>
              <w:rPr>
                <w:sz w:val="18"/>
              </w:rPr>
            </w:pPr>
            <w:r w:rsidRPr="0015262F">
              <w:rPr>
                <w:sz w:val="18"/>
              </w:rPr>
              <w:t xml:space="preserve">Maximum Sequence number </w:t>
            </w:r>
          </w:p>
        </w:tc>
        <w:tc>
          <w:tcPr>
            <w:tcW w:w="568" w:type="pct"/>
            <w:textDirection w:val="tbRl"/>
            <w:hideMark/>
          </w:tcPr>
          <w:p w:rsidR="00AC15DB" w:rsidRPr="0015262F" w:rsidRDefault="00AC15DB" w:rsidP="0015262F">
            <w:pPr>
              <w:ind w:left="113" w:right="113"/>
              <w:rPr>
                <w:sz w:val="18"/>
              </w:rPr>
            </w:pPr>
            <w:r w:rsidRPr="0015262F">
              <w:rPr>
                <w:sz w:val="18"/>
              </w:rPr>
              <w:t xml:space="preserve">Half of the sequences </w:t>
            </w:r>
            <w:r w:rsidRPr="0015262F">
              <w:rPr>
                <w:sz w:val="18"/>
              </w:rPr>
              <w:br/>
              <w:t>(to avoid wrap around)</w:t>
            </w:r>
          </w:p>
        </w:tc>
        <w:tc>
          <w:tcPr>
            <w:tcW w:w="564" w:type="pct"/>
            <w:noWrap/>
            <w:textDirection w:val="tbRl"/>
            <w:hideMark/>
          </w:tcPr>
          <w:p w:rsidR="00AC15DB" w:rsidRPr="0015262F" w:rsidRDefault="00AC15DB" w:rsidP="00AC15DB">
            <w:pPr>
              <w:ind w:left="113" w:right="113"/>
              <w:rPr>
                <w:sz w:val="18"/>
              </w:rPr>
            </w:pPr>
            <w:r>
              <w:rPr>
                <w:sz w:val="18"/>
              </w:rPr>
              <w:t xml:space="preserve">One-way </w:t>
            </w:r>
            <w:r w:rsidRPr="0015262F">
              <w:rPr>
                <w:sz w:val="18"/>
              </w:rPr>
              <w:t xml:space="preserve">Network Latency  (ms) </w:t>
            </w:r>
          </w:p>
        </w:tc>
        <w:tc>
          <w:tcPr>
            <w:tcW w:w="886" w:type="pct"/>
            <w:textDirection w:val="tbRl"/>
            <w:hideMark/>
          </w:tcPr>
          <w:p w:rsidR="00AC15DB" w:rsidRPr="0015262F" w:rsidRDefault="00AC15DB" w:rsidP="0015262F">
            <w:pPr>
              <w:ind w:left="113" w:right="113"/>
              <w:rPr>
                <w:sz w:val="18"/>
              </w:rPr>
            </w:pPr>
            <w:r w:rsidRPr="0015262F">
              <w:rPr>
                <w:sz w:val="18"/>
              </w:rPr>
              <w:t>Radio Latency with 2 HARQ  and 4 ARQ Retransmissions</w:t>
            </w:r>
          </w:p>
        </w:tc>
        <w:tc>
          <w:tcPr>
            <w:tcW w:w="403" w:type="pct"/>
            <w:noWrap/>
            <w:textDirection w:val="tbRl"/>
            <w:hideMark/>
          </w:tcPr>
          <w:p w:rsidR="00AC15DB" w:rsidRPr="0015262F" w:rsidRDefault="00AC15DB" w:rsidP="0015262F">
            <w:pPr>
              <w:ind w:left="113" w:right="113"/>
              <w:rPr>
                <w:sz w:val="18"/>
              </w:rPr>
            </w:pPr>
            <w:r w:rsidRPr="0015262F">
              <w:rPr>
                <w:sz w:val="18"/>
              </w:rPr>
              <w:t xml:space="preserve">MTU size (Bytes) </w:t>
            </w:r>
          </w:p>
        </w:tc>
        <w:tc>
          <w:tcPr>
            <w:tcW w:w="725" w:type="pct"/>
            <w:noWrap/>
            <w:textDirection w:val="tbRl"/>
            <w:hideMark/>
          </w:tcPr>
          <w:p w:rsidR="00AC15DB" w:rsidRPr="0015262F" w:rsidRDefault="00AC15DB" w:rsidP="0015262F">
            <w:pPr>
              <w:ind w:left="113" w:right="113"/>
              <w:rPr>
                <w:sz w:val="18"/>
              </w:rPr>
            </w:pPr>
            <w:r w:rsidRPr="0015262F">
              <w:rPr>
                <w:sz w:val="18"/>
              </w:rPr>
              <w:t xml:space="preserve">Throughput </w:t>
            </w:r>
          </w:p>
        </w:tc>
        <w:tc>
          <w:tcPr>
            <w:tcW w:w="568" w:type="pct"/>
            <w:noWrap/>
            <w:textDirection w:val="tbRl"/>
            <w:hideMark/>
          </w:tcPr>
          <w:p w:rsidR="00AC15DB" w:rsidRPr="0015262F" w:rsidRDefault="00AC15DB" w:rsidP="0015262F">
            <w:pPr>
              <w:ind w:left="113" w:right="113"/>
              <w:rPr>
                <w:sz w:val="18"/>
              </w:rPr>
            </w:pPr>
            <w:r w:rsidRPr="0015262F">
              <w:rPr>
                <w:sz w:val="18"/>
              </w:rPr>
              <w:t>Throughput in Gbps</w:t>
            </w:r>
          </w:p>
        </w:tc>
      </w:tr>
      <w:tr w:rsidR="00AC15DB" w:rsidRPr="0015262F" w:rsidTr="00AC15DB">
        <w:trPr>
          <w:trHeight w:val="288"/>
        </w:trPr>
        <w:tc>
          <w:tcPr>
            <w:tcW w:w="322" w:type="pct"/>
            <w:noWrap/>
            <w:hideMark/>
          </w:tcPr>
          <w:p w:rsidR="00AC15DB" w:rsidRPr="0015262F" w:rsidRDefault="00AC15DB" w:rsidP="0015262F">
            <w:pPr>
              <w:jc w:val="center"/>
            </w:pPr>
            <w:r w:rsidRPr="0015262F">
              <w:t>1</w:t>
            </w:r>
          </w:p>
        </w:tc>
        <w:tc>
          <w:tcPr>
            <w:tcW w:w="403" w:type="pct"/>
            <w:noWrap/>
            <w:hideMark/>
          </w:tcPr>
          <w:p w:rsidR="00AC15DB" w:rsidRPr="0015262F" w:rsidRDefault="00AC15DB" w:rsidP="0015262F">
            <w:pPr>
              <w:jc w:val="center"/>
            </w:pPr>
            <w:r w:rsidRPr="0015262F">
              <w:t>18</w:t>
            </w:r>
          </w:p>
        </w:tc>
        <w:tc>
          <w:tcPr>
            <w:tcW w:w="560" w:type="pct"/>
            <w:noWrap/>
            <w:hideMark/>
          </w:tcPr>
          <w:p w:rsidR="00AC15DB" w:rsidRPr="0015262F" w:rsidRDefault="00AC15DB" w:rsidP="0015262F">
            <w:pPr>
              <w:jc w:val="center"/>
            </w:pPr>
            <w:r w:rsidRPr="0015262F">
              <w:t>262144</w:t>
            </w:r>
          </w:p>
        </w:tc>
        <w:tc>
          <w:tcPr>
            <w:tcW w:w="568" w:type="pct"/>
            <w:noWrap/>
            <w:hideMark/>
          </w:tcPr>
          <w:p w:rsidR="00AC15DB" w:rsidRPr="0015262F" w:rsidRDefault="00AC15DB" w:rsidP="0015262F">
            <w:pPr>
              <w:jc w:val="center"/>
            </w:pPr>
            <w:r w:rsidRPr="0015262F">
              <w:t>131072</w:t>
            </w:r>
          </w:p>
        </w:tc>
        <w:tc>
          <w:tcPr>
            <w:tcW w:w="564" w:type="pct"/>
            <w:noWrap/>
            <w:hideMark/>
          </w:tcPr>
          <w:p w:rsidR="00AC15DB" w:rsidRPr="0015262F" w:rsidRDefault="00AC15DB" w:rsidP="0015262F">
            <w:pPr>
              <w:jc w:val="center"/>
            </w:pPr>
            <w:r w:rsidRPr="0015262F">
              <w:t>5</w:t>
            </w:r>
          </w:p>
        </w:tc>
        <w:tc>
          <w:tcPr>
            <w:tcW w:w="886" w:type="pct"/>
            <w:noWrap/>
            <w:hideMark/>
          </w:tcPr>
          <w:p w:rsidR="00AC15DB" w:rsidRPr="002C23CB" w:rsidRDefault="00AC15DB" w:rsidP="0015262F">
            <w:pPr>
              <w:jc w:val="center"/>
            </w:pPr>
            <w:r w:rsidRPr="002C23CB">
              <w:t>40</w:t>
            </w:r>
          </w:p>
        </w:tc>
        <w:tc>
          <w:tcPr>
            <w:tcW w:w="403" w:type="pct"/>
            <w:noWrap/>
            <w:hideMark/>
          </w:tcPr>
          <w:p w:rsidR="00AC15DB" w:rsidRPr="0015262F" w:rsidRDefault="00AC15DB" w:rsidP="0015262F">
            <w:pPr>
              <w:jc w:val="center"/>
            </w:pPr>
            <w:r w:rsidRPr="0015262F">
              <w:t>1500</w:t>
            </w:r>
          </w:p>
        </w:tc>
        <w:tc>
          <w:tcPr>
            <w:tcW w:w="725" w:type="pct"/>
            <w:noWrap/>
            <w:hideMark/>
          </w:tcPr>
          <w:p w:rsidR="00AC15DB" w:rsidRPr="0015262F" w:rsidRDefault="00AC15DB" w:rsidP="0015262F">
            <w:pPr>
              <w:jc w:val="center"/>
            </w:pPr>
            <w:r w:rsidRPr="0015262F">
              <w:t>3.4953E+10</w:t>
            </w:r>
          </w:p>
        </w:tc>
        <w:tc>
          <w:tcPr>
            <w:tcW w:w="568" w:type="pct"/>
            <w:noWrap/>
            <w:hideMark/>
          </w:tcPr>
          <w:p w:rsidR="00AC15DB" w:rsidRPr="0015262F" w:rsidRDefault="00AC15DB" w:rsidP="0015262F">
            <w:pPr>
              <w:jc w:val="center"/>
            </w:pPr>
            <w:r w:rsidRPr="0015262F">
              <w:t>34.95</w:t>
            </w:r>
          </w:p>
        </w:tc>
      </w:tr>
      <w:tr w:rsidR="00AC15DB" w:rsidRPr="0015262F" w:rsidTr="00AC15DB">
        <w:trPr>
          <w:trHeight w:val="288"/>
        </w:trPr>
        <w:tc>
          <w:tcPr>
            <w:tcW w:w="322" w:type="pct"/>
            <w:noWrap/>
            <w:hideMark/>
          </w:tcPr>
          <w:p w:rsidR="00AC15DB" w:rsidRPr="0015262F" w:rsidRDefault="00AC15DB" w:rsidP="0015262F">
            <w:pPr>
              <w:jc w:val="center"/>
            </w:pPr>
            <w:r w:rsidRPr="0015262F">
              <w:t>2</w:t>
            </w:r>
          </w:p>
        </w:tc>
        <w:tc>
          <w:tcPr>
            <w:tcW w:w="403" w:type="pct"/>
            <w:noWrap/>
            <w:hideMark/>
          </w:tcPr>
          <w:p w:rsidR="00AC15DB" w:rsidRPr="0015262F" w:rsidRDefault="00AC15DB" w:rsidP="0015262F">
            <w:pPr>
              <w:jc w:val="center"/>
            </w:pPr>
            <w:r w:rsidRPr="0015262F">
              <w:t>18</w:t>
            </w:r>
          </w:p>
        </w:tc>
        <w:tc>
          <w:tcPr>
            <w:tcW w:w="560" w:type="pct"/>
            <w:noWrap/>
            <w:hideMark/>
          </w:tcPr>
          <w:p w:rsidR="00AC15DB" w:rsidRPr="0015262F" w:rsidRDefault="00AC15DB" w:rsidP="0015262F">
            <w:pPr>
              <w:jc w:val="center"/>
            </w:pPr>
            <w:r w:rsidRPr="0015262F">
              <w:t>262144</w:t>
            </w:r>
          </w:p>
        </w:tc>
        <w:tc>
          <w:tcPr>
            <w:tcW w:w="568" w:type="pct"/>
            <w:noWrap/>
            <w:hideMark/>
          </w:tcPr>
          <w:p w:rsidR="00AC15DB" w:rsidRPr="0015262F" w:rsidRDefault="00AC15DB" w:rsidP="0015262F">
            <w:pPr>
              <w:jc w:val="center"/>
            </w:pPr>
            <w:r w:rsidRPr="0015262F">
              <w:t>131072</w:t>
            </w:r>
          </w:p>
        </w:tc>
        <w:tc>
          <w:tcPr>
            <w:tcW w:w="564" w:type="pct"/>
            <w:noWrap/>
            <w:hideMark/>
          </w:tcPr>
          <w:p w:rsidR="00AC15DB" w:rsidRPr="0015262F" w:rsidRDefault="00AC15DB" w:rsidP="0015262F">
            <w:pPr>
              <w:jc w:val="center"/>
            </w:pPr>
            <w:r w:rsidRPr="0015262F">
              <w:t>10</w:t>
            </w:r>
          </w:p>
        </w:tc>
        <w:tc>
          <w:tcPr>
            <w:tcW w:w="886" w:type="pct"/>
            <w:noWrap/>
            <w:hideMark/>
          </w:tcPr>
          <w:p w:rsidR="00AC15DB" w:rsidRPr="002C23CB" w:rsidRDefault="00AC15DB" w:rsidP="0015262F">
            <w:pPr>
              <w:jc w:val="center"/>
            </w:pPr>
            <w:r w:rsidRPr="002C23CB">
              <w:t>40</w:t>
            </w:r>
          </w:p>
        </w:tc>
        <w:tc>
          <w:tcPr>
            <w:tcW w:w="403" w:type="pct"/>
            <w:noWrap/>
            <w:hideMark/>
          </w:tcPr>
          <w:p w:rsidR="00AC15DB" w:rsidRPr="0015262F" w:rsidRDefault="00AC15DB" w:rsidP="0015262F">
            <w:pPr>
              <w:jc w:val="center"/>
            </w:pPr>
            <w:r w:rsidRPr="0015262F">
              <w:t>1500</w:t>
            </w:r>
          </w:p>
        </w:tc>
        <w:tc>
          <w:tcPr>
            <w:tcW w:w="725" w:type="pct"/>
            <w:noWrap/>
            <w:hideMark/>
          </w:tcPr>
          <w:p w:rsidR="00AC15DB" w:rsidRPr="0015262F" w:rsidRDefault="00AC15DB" w:rsidP="0015262F">
            <w:pPr>
              <w:jc w:val="center"/>
            </w:pPr>
            <w:r w:rsidRPr="0015262F">
              <w:t>3.1457E+10</w:t>
            </w:r>
          </w:p>
        </w:tc>
        <w:tc>
          <w:tcPr>
            <w:tcW w:w="568" w:type="pct"/>
            <w:noWrap/>
            <w:hideMark/>
          </w:tcPr>
          <w:p w:rsidR="00AC15DB" w:rsidRPr="0015262F" w:rsidRDefault="00AC15DB" w:rsidP="0015262F">
            <w:pPr>
              <w:jc w:val="center"/>
            </w:pPr>
            <w:r w:rsidRPr="0015262F">
              <w:t>31.45</w:t>
            </w:r>
          </w:p>
        </w:tc>
      </w:tr>
      <w:tr w:rsidR="00AC15DB" w:rsidRPr="0015262F" w:rsidTr="00AC15DB">
        <w:trPr>
          <w:trHeight w:val="288"/>
        </w:trPr>
        <w:tc>
          <w:tcPr>
            <w:tcW w:w="322" w:type="pct"/>
            <w:noWrap/>
            <w:hideMark/>
          </w:tcPr>
          <w:p w:rsidR="00AC15DB" w:rsidRPr="0015262F" w:rsidRDefault="00AC15DB" w:rsidP="0015262F">
            <w:pPr>
              <w:jc w:val="center"/>
            </w:pPr>
            <w:r w:rsidRPr="0015262F">
              <w:t>3</w:t>
            </w:r>
          </w:p>
        </w:tc>
        <w:tc>
          <w:tcPr>
            <w:tcW w:w="403" w:type="pct"/>
            <w:noWrap/>
            <w:hideMark/>
          </w:tcPr>
          <w:p w:rsidR="00AC15DB" w:rsidRPr="0015262F" w:rsidRDefault="00AC15DB" w:rsidP="0015262F">
            <w:pPr>
              <w:jc w:val="center"/>
            </w:pPr>
            <w:r w:rsidRPr="0015262F">
              <w:t>18</w:t>
            </w:r>
          </w:p>
        </w:tc>
        <w:tc>
          <w:tcPr>
            <w:tcW w:w="560" w:type="pct"/>
            <w:noWrap/>
            <w:hideMark/>
          </w:tcPr>
          <w:p w:rsidR="00AC15DB" w:rsidRPr="0015262F" w:rsidRDefault="00AC15DB" w:rsidP="0015262F">
            <w:pPr>
              <w:jc w:val="center"/>
            </w:pPr>
            <w:r w:rsidRPr="0015262F">
              <w:t>262144</w:t>
            </w:r>
          </w:p>
        </w:tc>
        <w:tc>
          <w:tcPr>
            <w:tcW w:w="568" w:type="pct"/>
            <w:noWrap/>
            <w:hideMark/>
          </w:tcPr>
          <w:p w:rsidR="00AC15DB" w:rsidRPr="0015262F" w:rsidRDefault="00AC15DB" w:rsidP="0015262F">
            <w:pPr>
              <w:jc w:val="center"/>
            </w:pPr>
            <w:r w:rsidRPr="0015262F">
              <w:t>131072</w:t>
            </w:r>
          </w:p>
        </w:tc>
        <w:tc>
          <w:tcPr>
            <w:tcW w:w="564" w:type="pct"/>
            <w:noWrap/>
            <w:hideMark/>
          </w:tcPr>
          <w:p w:rsidR="00AC15DB" w:rsidRPr="0015262F" w:rsidRDefault="00AC15DB" w:rsidP="0015262F">
            <w:pPr>
              <w:jc w:val="center"/>
            </w:pPr>
            <w:r w:rsidRPr="0015262F">
              <w:t>20</w:t>
            </w:r>
          </w:p>
        </w:tc>
        <w:tc>
          <w:tcPr>
            <w:tcW w:w="886" w:type="pct"/>
            <w:noWrap/>
            <w:hideMark/>
          </w:tcPr>
          <w:p w:rsidR="00AC15DB" w:rsidRPr="002C23CB" w:rsidRDefault="00AC15DB" w:rsidP="0015262F">
            <w:pPr>
              <w:jc w:val="center"/>
            </w:pPr>
            <w:r w:rsidRPr="002C23CB">
              <w:t>40</w:t>
            </w:r>
          </w:p>
        </w:tc>
        <w:tc>
          <w:tcPr>
            <w:tcW w:w="403" w:type="pct"/>
            <w:noWrap/>
            <w:hideMark/>
          </w:tcPr>
          <w:p w:rsidR="00AC15DB" w:rsidRPr="0015262F" w:rsidRDefault="00AC15DB" w:rsidP="0015262F">
            <w:pPr>
              <w:jc w:val="center"/>
            </w:pPr>
            <w:r w:rsidRPr="0015262F">
              <w:t>1500</w:t>
            </w:r>
          </w:p>
        </w:tc>
        <w:tc>
          <w:tcPr>
            <w:tcW w:w="725" w:type="pct"/>
            <w:noWrap/>
            <w:hideMark/>
          </w:tcPr>
          <w:p w:rsidR="00AC15DB" w:rsidRPr="0015262F" w:rsidRDefault="00AC15DB" w:rsidP="0015262F">
            <w:pPr>
              <w:jc w:val="center"/>
            </w:pPr>
            <w:r w:rsidRPr="0015262F">
              <w:t>2.6214E+10</w:t>
            </w:r>
          </w:p>
        </w:tc>
        <w:tc>
          <w:tcPr>
            <w:tcW w:w="568" w:type="pct"/>
            <w:noWrap/>
            <w:hideMark/>
          </w:tcPr>
          <w:p w:rsidR="00AC15DB" w:rsidRPr="0015262F" w:rsidRDefault="00AC15DB" w:rsidP="0015262F">
            <w:pPr>
              <w:jc w:val="center"/>
            </w:pPr>
            <w:r w:rsidRPr="0015262F">
              <w:t>26.21</w:t>
            </w:r>
          </w:p>
        </w:tc>
      </w:tr>
      <w:tr w:rsidR="00AC15DB" w:rsidRPr="0015262F" w:rsidTr="00AC15DB">
        <w:trPr>
          <w:trHeight w:val="288"/>
        </w:trPr>
        <w:tc>
          <w:tcPr>
            <w:tcW w:w="322" w:type="pct"/>
            <w:noWrap/>
            <w:hideMark/>
          </w:tcPr>
          <w:p w:rsidR="00AC15DB" w:rsidRPr="0015262F" w:rsidRDefault="00AC15DB" w:rsidP="0015262F">
            <w:pPr>
              <w:jc w:val="center"/>
            </w:pPr>
            <w:r w:rsidRPr="0015262F">
              <w:t>4</w:t>
            </w:r>
          </w:p>
        </w:tc>
        <w:tc>
          <w:tcPr>
            <w:tcW w:w="403" w:type="pct"/>
            <w:noWrap/>
            <w:hideMark/>
          </w:tcPr>
          <w:p w:rsidR="00AC15DB" w:rsidRPr="0015262F" w:rsidRDefault="00AC15DB" w:rsidP="0015262F">
            <w:pPr>
              <w:jc w:val="center"/>
            </w:pPr>
            <w:r w:rsidRPr="0015262F">
              <w:t>18</w:t>
            </w:r>
          </w:p>
        </w:tc>
        <w:tc>
          <w:tcPr>
            <w:tcW w:w="560" w:type="pct"/>
            <w:noWrap/>
            <w:hideMark/>
          </w:tcPr>
          <w:p w:rsidR="00AC15DB" w:rsidRPr="0015262F" w:rsidRDefault="00AC15DB" w:rsidP="0015262F">
            <w:pPr>
              <w:jc w:val="center"/>
            </w:pPr>
            <w:r w:rsidRPr="0015262F">
              <w:t>262144</w:t>
            </w:r>
          </w:p>
        </w:tc>
        <w:tc>
          <w:tcPr>
            <w:tcW w:w="568" w:type="pct"/>
            <w:noWrap/>
            <w:hideMark/>
          </w:tcPr>
          <w:p w:rsidR="00AC15DB" w:rsidRPr="0015262F" w:rsidRDefault="00AC15DB" w:rsidP="0015262F">
            <w:pPr>
              <w:jc w:val="center"/>
            </w:pPr>
            <w:r w:rsidRPr="0015262F">
              <w:t>131072</w:t>
            </w:r>
          </w:p>
        </w:tc>
        <w:tc>
          <w:tcPr>
            <w:tcW w:w="564" w:type="pct"/>
            <w:noWrap/>
            <w:hideMark/>
          </w:tcPr>
          <w:p w:rsidR="00AC15DB" w:rsidRPr="0015262F" w:rsidRDefault="00AC15DB" w:rsidP="0015262F">
            <w:pPr>
              <w:jc w:val="center"/>
            </w:pPr>
            <w:r w:rsidRPr="0015262F">
              <w:t>50</w:t>
            </w:r>
          </w:p>
        </w:tc>
        <w:tc>
          <w:tcPr>
            <w:tcW w:w="886" w:type="pct"/>
            <w:noWrap/>
            <w:hideMark/>
          </w:tcPr>
          <w:p w:rsidR="00AC15DB" w:rsidRPr="002C23CB" w:rsidRDefault="00AC15DB" w:rsidP="0015262F">
            <w:pPr>
              <w:jc w:val="center"/>
            </w:pPr>
            <w:r w:rsidRPr="002C23CB">
              <w:t>40</w:t>
            </w:r>
          </w:p>
        </w:tc>
        <w:tc>
          <w:tcPr>
            <w:tcW w:w="403" w:type="pct"/>
            <w:noWrap/>
            <w:hideMark/>
          </w:tcPr>
          <w:p w:rsidR="00AC15DB" w:rsidRPr="0015262F" w:rsidRDefault="00AC15DB" w:rsidP="0015262F">
            <w:pPr>
              <w:jc w:val="center"/>
            </w:pPr>
            <w:r w:rsidRPr="0015262F">
              <w:t>1500</w:t>
            </w:r>
          </w:p>
        </w:tc>
        <w:tc>
          <w:tcPr>
            <w:tcW w:w="725" w:type="pct"/>
            <w:noWrap/>
            <w:hideMark/>
          </w:tcPr>
          <w:p w:rsidR="00AC15DB" w:rsidRPr="0015262F" w:rsidRDefault="00AC15DB" w:rsidP="0015262F">
            <w:pPr>
              <w:jc w:val="center"/>
            </w:pPr>
            <w:r w:rsidRPr="0015262F">
              <w:t>1.7476E+10</w:t>
            </w:r>
          </w:p>
        </w:tc>
        <w:tc>
          <w:tcPr>
            <w:tcW w:w="568" w:type="pct"/>
            <w:noWrap/>
            <w:hideMark/>
          </w:tcPr>
          <w:p w:rsidR="00AC15DB" w:rsidRPr="0015262F" w:rsidRDefault="00AC15DB" w:rsidP="0015262F">
            <w:pPr>
              <w:jc w:val="center"/>
            </w:pPr>
            <w:r w:rsidRPr="0015262F">
              <w:t>17.47</w:t>
            </w:r>
          </w:p>
        </w:tc>
      </w:tr>
    </w:tbl>
    <w:p w:rsidR="0015262F" w:rsidRDefault="0015262F" w:rsidP="00FD29A5"/>
    <w:p w:rsidR="00CF36AA" w:rsidRDefault="002C23CB" w:rsidP="00FD29A5">
      <w:r>
        <w:t xml:space="preserve">Please note: </w:t>
      </w:r>
      <w:r w:rsidR="00F91454">
        <w:t xml:space="preserve">Rows 1 illustrate typical </w:t>
      </w:r>
      <w:r>
        <w:t>one-way</w:t>
      </w:r>
      <w:r w:rsidR="00F91454">
        <w:t xml:space="preserve"> delays in a modern network deployed in dense urban environments.  </w:t>
      </w:r>
      <w:r>
        <w:t>Rows 2-4, illustrate the robustness of this approach e.g. for</w:t>
      </w:r>
      <w:r w:rsidR="00CF36AA">
        <w:t xml:space="preserve"> sub-urban and rural environments. </w:t>
      </w:r>
      <w:r>
        <w:t xml:space="preserve"> </w:t>
      </w:r>
    </w:p>
    <w:p w:rsidR="00AC15DB" w:rsidRDefault="00C81D20" w:rsidP="00FD29A5">
      <w:r>
        <w:t xml:space="preserve">The results of the above figure </w:t>
      </w:r>
      <w:r w:rsidR="008531E0">
        <w:t>illustrate</w:t>
      </w:r>
      <w:r>
        <w:t xml:space="preserve"> that</w:t>
      </w:r>
      <w:r w:rsidR="008531E0">
        <w:t>,</w:t>
      </w:r>
      <w:r>
        <w:t xml:space="preserve"> provided that the current network </w:t>
      </w:r>
      <w:r w:rsidR="009D3CA3">
        <w:t>and radio latencies do</w:t>
      </w:r>
      <w:r>
        <w:t xml:space="preserve"> not deviate further above 50ms</w:t>
      </w:r>
      <w:r w:rsidR="009D3CA3">
        <w:t xml:space="preserve"> and </w:t>
      </w:r>
      <w:r w:rsidR="00AC15DB" w:rsidRPr="00AC15DB">
        <w:t>40ms</w:t>
      </w:r>
      <w:r w:rsidR="0098581C" w:rsidRPr="0098581C">
        <w:rPr>
          <w:color w:val="E60000" w:themeColor="accent1"/>
        </w:rPr>
        <w:t xml:space="preserve"> </w:t>
      </w:r>
      <w:r w:rsidR="009D3CA3">
        <w:t>respectively</w:t>
      </w:r>
      <w:r>
        <w:t>, the throughput</w:t>
      </w:r>
      <w:r w:rsidR="008531E0">
        <w:t>s</w:t>
      </w:r>
      <w:r>
        <w:t xml:space="preserve"> </w:t>
      </w:r>
      <w:r w:rsidR="008531E0">
        <w:t>observed, with 18-bit sequence numbering, are sufficient l</w:t>
      </w:r>
      <w:r w:rsidR="00AC15DB">
        <w:t xml:space="preserve">arge to provide more than adequate throughput for 5G downlink data throughput </w:t>
      </w:r>
    </w:p>
    <w:p w:rsidR="00736444" w:rsidRDefault="00736444" w:rsidP="00FD29A5"/>
    <w:p w:rsidR="00FD29A5" w:rsidRDefault="00E60EF7" w:rsidP="00E60EF7">
      <w:pPr>
        <w:pStyle w:val="Heading1"/>
      </w:pPr>
      <w:r>
        <w:t xml:space="preserve">User Plane </w:t>
      </w:r>
    </w:p>
    <w:p w:rsidR="00E60EF7" w:rsidRDefault="00E60EF7" w:rsidP="00FD29A5">
      <w:r>
        <w:t xml:space="preserve">The separated user plane </w:t>
      </w:r>
      <w:r w:rsidR="0022635B">
        <w:t>connects</w:t>
      </w:r>
      <w:r>
        <w:t xml:space="preserve"> the centralised PDCP through the user plane to the remote DUs. See the following figure.</w:t>
      </w:r>
    </w:p>
    <w:p w:rsidR="00011BA1" w:rsidRDefault="00CF36AA" w:rsidP="00E84924">
      <w:pPr>
        <w:keepNext/>
        <w:jc w:val="center"/>
      </w:pPr>
      <w:r>
        <w:rPr>
          <w:noProof/>
          <w:lang w:eastAsia="en-GB"/>
        </w:rPr>
        <w:lastRenderedPageBreak/>
        <w:drawing>
          <wp:inline distT="0" distB="0" distL="0" distR="0">
            <wp:extent cx="5731510" cy="5060950"/>
            <wp:effectExtent l="0" t="0" r="254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DCP-U.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5060950"/>
                    </a:xfrm>
                    <a:prstGeom prst="rect">
                      <a:avLst/>
                    </a:prstGeom>
                  </pic:spPr>
                </pic:pic>
              </a:graphicData>
            </a:graphic>
          </wp:inline>
        </w:drawing>
      </w:r>
    </w:p>
    <w:p w:rsidR="00266662" w:rsidRDefault="00011BA1" w:rsidP="00011BA1">
      <w:pPr>
        <w:pStyle w:val="Caption"/>
      </w:pPr>
      <w:r>
        <w:t xml:space="preserve">Figure </w:t>
      </w:r>
      <w:r w:rsidR="00F0110A">
        <w:fldChar w:fldCharType="begin"/>
      </w:r>
      <w:r w:rsidR="00F0110A">
        <w:instrText xml:space="preserve"> SEQ Figure \* ARABIC </w:instrText>
      </w:r>
      <w:r w:rsidR="00F0110A">
        <w:fldChar w:fldCharType="separate"/>
      </w:r>
      <w:r w:rsidR="00E71D25">
        <w:rPr>
          <w:noProof/>
        </w:rPr>
        <w:t>5</w:t>
      </w:r>
      <w:r w:rsidR="00F0110A">
        <w:rPr>
          <w:noProof/>
        </w:rPr>
        <w:fldChar w:fldCharType="end"/>
      </w:r>
      <w:r>
        <w:t xml:space="preserve"> Evolved architecture, illustrating user planes</w:t>
      </w:r>
    </w:p>
    <w:p w:rsidR="00E60EF7" w:rsidRDefault="00E60EF7" w:rsidP="00FD29A5">
      <w:r>
        <w:t xml:space="preserve">Based on the </w:t>
      </w:r>
      <w:r w:rsidR="00900A7B">
        <w:t xml:space="preserve">flow control information </w:t>
      </w:r>
      <w:r>
        <w:t xml:space="preserve">received </w:t>
      </w:r>
      <w:r w:rsidR="0022635B">
        <w:t>from</w:t>
      </w:r>
      <w:r>
        <w:t xml:space="preserve"> </w:t>
      </w:r>
      <w:r w:rsidR="00900A7B">
        <w:t xml:space="preserve">each </w:t>
      </w:r>
      <w:r w:rsidR="00A66681">
        <w:t>cell</w:t>
      </w:r>
      <w:r>
        <w:t xml:space="preserve"> and UE </w:t>
      </w:r>
      <w:r w:rsidR="0022635B">
        <w:t xml:space="preserve">capabilities, the centralised PDCP-U </w:t>
      </w:r>
      <w:r w:rsidR="00900A7B">
        <w:t>routes</w:t>
      </w:r>
      <w:r w:rsidR="0022635B">
        <w:t xml:space="preserve"> the </w:t>
      </w:r>
      <w:r w:rsidR="00900A7B">
        <w:t xml:space="preserve">downlink </w:t>
      </w:r>
      <w:r w:rsidR="0022635B">
        <w:t>data PDUs towards the master and secondary cells. Cell</w:t>
      </w:r>
      <w:r w:rsidR="00A66681">
        <w:t>s</w:t>
      </w:r>
      <w:r w:rsidR="0022635B">
        <w:t xml:space="preserve"> with higher throughput capabilities will receiver greater number of user packets. </w:t>
      </w:r>
    </w:p>
    <w:p w:rsidR="0022635B" w:rsidRDefault="002B4DCC" w:rsidP="00FD29A5">
      <w:r>
        <w:t>A</w:t>
      </w:r>
      <w:r w:rsidR="0022635B">
        <w:t xml:space="preserve"> conventional GTP tunnel is proposed</w:t>
      </w:r>
      <w:r w:rsidRPr="002B4DCC">
        <w:t xml:space="preserve"> </w:t>
      </w:r>
      <w:r>
        <w:t>for the user-plane portion of the architecture</w:t>
      </w:r>
      <w:r w:rsidR="0022635B">
        <w:t xml:space="preserve">. GTP tunnels have been well established in the core network and RAN environment and are equally advantageous to transport user packets. </w:t>
      </w:r>
      <w:r w:rsidR="00164DE5">
        <w:t xml:space="preserve"> The GTP tunnel connect the centralised User Plane Entity to the distributed units. </w:t>
      </w:r>
      <w:r w:rsidR="00A66681">
        <w:t>Moreover,</w:t>
      </w:r>
      <w:r>
        <w:t xml:space="preserve"> GTP Extension Headers will carry the PDCP Sequence Numbering from the CU, to DU and onto the UE. </w:t>
      </w:r>
    </w:p>
    <w:p w:rsidR="0022635B" w:rsidRDefault="0022635B" w:rsidP="00FD29A5"/>
    <w:p w:rsidR="00E60EF7" w:rsidRDefault="00E60EF7" w:rsidP="00E60EF7">
      <w:pPr>
        <w:pStyle w:val="Heading1"/>
      </w:pPr>
      <w:r>
        <w:t xml:space="preserve">Control Plane </w:t>
      </w:r>
    </w:p>
    <w:p w:rsidR="00164DE5" w:rsidRDefault="00164DE5" w:rsidP="00164DE5">
      <w:r>
        <w:t>The separated control plane portion of the architecture, connect the centralised Control Entity to remote Distributed Units. The control plane carries the control data signalling and controlling information between the centralised and remote units. See the following figure</w:t>
      </w:r>
      <w:r w:rsidR="00EE0803">
        <w:t>:</w:t>
      </w:r>
    </w:p>
    <w:p w:rsidR="00011BA1" w:rsidRDefault="00CF36AA" w:rsidP="00E84924">
      <w:pPr>
        <w:keepNext/>
        <w:jc w:val="center"/>
      </w:pPr>
      <w:r>
        <w:rPr>
          <w:noProof/>
          <w:lang w:eastAsia="en-GB"/>
        </w:rPr>
        <w:lastRenderedPageBreak/>
        <w:drawing>
          <wp:inline distT="0" distB="0" distL="0" distR="0">
            <wp:extent cx="5731510" cy="4886325"/>
            <wp:effectExtent l="0" t="0" r="254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DCP-C.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4886325"/>
                    </a:xfrm>
                    <a:prstGeom prst="rect">
                      <a:avLst/>
                    </a:prstGeom>
                  </pic:spPr>
                </pic:pic>
              </a:graphicData>
            </a:graphic>
          </wp:inline>
        </w:drawing>
      </w:r>
    </w:p>
    <w:p w:rsidR="00EE0803" w:rsidRDefault="00011BA1" w:rsidP="00011BA1">
      <w:pPr>
        <w:pStyle w:val="Caption"/>
      </w:pPr>
      <w:r>
        <w:t xml:space="preserve">Figure </w:t>
      </w:r>
      <w:r w:rsidR="00F0110A">
        <w:fldChar w:fldCharType="begin"/>
      </w:r>
      <w:r w:rsidR="00F0110A">
        <w:instrText xml:space="preserve"> SEQ Figure \* ARABIC </w:instrText>
      </w:r>
      <w:r w:rsidR="00F0110A">
        <w:fldChar w:fldCharType="separate"/>
      </w:r>
      <w:r w:rsidR="00E71D25">
        <w:rPr>
          <w:noProof/>
        </w:rPr>
        <w:t>6</w:t>
      </w:r>
      <w:r w:rsidR="00F0110A">
        <w:rPr>
          <w:noProof/>
        </w:rPr>
        <w:fldChar w:fldCharType="end"/>
      </w:r>
      <w:r>
        <w:t xml:space="preserve"> Evolved architecture illustrating control planes</w:t>
      </w:r>
    </w:p>
    <w:p w:rsidR="00EE0803" w:rsidRDefault="00164DE5" w:rsidP="00164DE5">
      <w:r>
        <w:t xml:space="preserve">To connect the control portion of the architecture a SCTP transport mechanism is proposed. SCTP is currently being used for S1 and X2 LTE signalling protocol and has proven to be a robust mechanism to transport signalling information. The main advantages of the SCTP over other signalling transport such as TCP </w:t>
      </w:r>
      <w:r w:rsidR="00EE0803">
        <w:t>are:</w:t>
      </w:r>
    </w:p>
    <w:p w:rsidR="00EE0803" w:rsidRDefault="00EE0803" w:rsidP="00EE0803">
      <w:pPr>
        <w:pStyle w:val="ListParagraph"/>
        <w:numPr>
          <w:ilvl w:val="0"/>
          <w:numId w:val="4"/>
        </w:numPr>
      </w:pPr>
      <w:r>
        <w:t>M</w:t>
      </w:r>
      <w:r w:rsidR="00164DE5">
        <w:t>ulti-</w:t>
      </w:r>
      <w:r>
        <w:t>H</w:t>
      </w:r>
      <w:r w:rsidR="00164DE5">
        <w:t>omin</w:t>
      </w:r>
      <w:r>
        <w:t xml:space="preserve">g: central and distributed nodes can </w:t>
      </w:r>
      <w:r w:rsidR="00AB0686">
        <w:t>be connected through a number of nodes</w:t>
      </w:r>
      <w:r>
        <w:t xml:space="preserve"> and IP </w:t>
      </w:r>
      <w:r w:rsidR="00AB0686">
        <w:t>addresses</w:t>
      </w:r>
      <w:r>
        <w:t xml:space="preserve">. In case of failure on the primary route the signalling would flow over </w:t>
      </w:r>
      <w:r w:rsidR="00AB0686">
        <w:t>another</w:t>
      </w:r>
      <w:r>
        <w:t xml:space="preserve"> route</w:t>
      </w:r>
    </w:p>
    <w:p w:rsidR="00164DE5" w:rsidRDefault="00EE0803" w:rsidP="00EE0803">
      <w:pPr>
        <w:pStyle w:val="ListParagraph"/>
        <w:numPr>
          <w:ilvl w:val="0"/>
          <w:numId w:val="4"/>
        </w:numPr>
      </w:pPr>
      <w:r>
        <w:t xml:space="preserve">Multi-Streaming: SCTP would allow multiple data streams per connection </w:t>
      </w:r>
    </w:p>
    <w:p w:rsidR="00164DE5" w:rsidRDefault="00900A7B" w:rsidP="00164DE5">
      <w:r>
        <w:t>NAS signalling and RRC signalling are unsuitable for transmission over GTP-U as they have requirements on in-sequence delivery, and, they can have message sizes &gt; Ethernet MTUs which may be problematic.</w:t>
      </w:r>
    </w:p>
    <w:p w:rsidR="0022635B" w:rsidRDefault="008569F0" w:rsidP="008569F0">
      <w:pPr>
        <w:pStyle w:val="Heading1"/>
      </w:pPr>
      <w:r>
        <w:t>Security</w:t>
      </w:r>
      <w:r w:rsidR="00E71D25">
        <w:t xml:space="preserve"> </w:t>
      </w:r>
      <w:r w:rsidR="00E84924">
        <w:t>S</w:t>
      </w:r>
      <w:r w:rsidR="00E71D25">
        <w:t>olution</w:t>
      </w:r>
      <w:r>
        <w:t xml:space="preserve"> </w:t>
      </w:r>
    </w:p>
    <w:p w:rsidR="00900A7B" w:rsidRDefault="00E71D25" w:rsidP="008569F0">
      <w:r>
        <w:t>The following</w:t>
      </w:r>
      <w:r w:rsidR="008569F0">
        <w:t xml:space="preserve"> </w:t>
      </w:r>
      <w:r w:rsidR="008569F0">
        <w:fldChar w:fldCharType="begin"/>
      </w:r>
      <w:r w:rsidR="008569F0">
        <w:instrText xml:space="preserve"> REF _Ref477963325 \h </w:instrText>
      </w:r>
      <w:r w:rsidR="008569F0">
        <w:fldChar w:fldCharType="separate"/>
      </w:r>
      <w:r w:rsidR="008569F0">
        <w:t xml:space="preserve">Figure </w:t>
      </w:r>
      <w:r w:rsidR="008569F0">
        <w:rPr>
          <w:noProof/>
        </w:rPr>
        <w:t>7</w:t>
      </w:r>
      <w:r w:rsidR="008569F0">
        <w:fldChar w:fldCharType="end"/>
      </w:r>
      <w:r>
        <w:t xml:space="preserve"> illustrates security implementation on the User Plane. As in the LTE procedure, </w:t>
      </w:r>
      <w:r w:rsidR="008569F0">
        <w:t xml:space="preserve">the Security Keys are derived at the UE from the authentication run. The </w:t>
      </w:r>
      <w:r w:rsidR="00900A7B">
        <w:t xml:space="preserve">master </w:t>
      </w:r>
      <w:r w:rsidR="008569F0">
        <w:t>eNodeB</w:t>
      </w:r>
      <w:r w:rsidR="00900A7B">
        <w:t>/</w:t>
      </w:r>
      <w:r w:rsidR="008569F0">
        <w:t xml:space="preserve">gNB obtains its keys from the MME. </w:t>
      </w:r>
      <w:r>
        <w:t>Furthermore,</w:t>
      </w:r>
      <w:r w:rsidR="008569F0">
        <w:t xml:space="preserve"> an encrypted PDCP </w:t>
      </w:r>
      <w:r w:rsidR="00900A7B">
        <w:t>link</w:t>
      </w:r>
      <w:r w:rsidR="008569F0">
        <w:t xml:space="preserve"> is established in the User Plane between the UE and PDCP-U.</w:t>
      </w:r>
      <w:r>
        <w:t xml:space="preserve"> </w:t>
      </w:r>
    </w:p>
    <w:p w:rsidR="008569F0" w:rsidRDefault="00CF36AA" w:rsidP="00E84924">
      <w:pPr>
        <w:keepNext/>
        <w:jc w:val="center"/>
      </w:pPr>
      <w:r>
        <w:rPr>
          <w:noProof/>
          <w:lang w:eastAsia="en-GB"/>
        </w:rPr>
        <w:lastRenderedPageBreak/>
        <w:drawing>
          <wp:inline distT="0" distB="0" distL="0" distR="0">
            <wp:extent cx="4284819" cy="6346052"/>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ec-UP.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89917" cy="6353602"/>
                    </a:xfrm>
                    <a:prstGeom prst="rect">
                      <a:avLst/>
                    </a:prstGeom>
                  </pic:spPr>
                </pic:pic>
              </a:graphicData>
            </a:graphic>
          </wp:inline>
        </w:drawing>
      </w:r>
    </w:p>
    <w:p w:rsidR="008569F0" w:rsidRDefault="008569F0" w:rsidP="008569F0">
      <w:pPr>
        <w:pStyle w:val="Caption"/>
      </w:pPr>
      <w:bookmarkStart w:id="7" w:name="_Ref477963325"/>
      <w:bookmarkStart w:id="8" w:name="_Ref477963321"/>
      <w:r>
        <w:t xml:space="preserve">Figure </w:t>
      </w:r>
      <w:r w:rsidR="00F0110A">
        <w:fldChar w:fldCharType="begin"/>
      </w:r>
      <w:r w:rsidR="00F0110A">
        <w:instrText xml:space="preserve"> SEQ Figure \* ARABIC </w:instrText>
      </w:r>
      <w:r w:rsidR="00F0110A">
        <w:fldChar w:fldCharType="separate"/>
      </w:r>
      <w:r w:rsidR="00E71D25">
        <w:rPr>
          <w:noProof/>
        </w:rPr>
        <w:t>7</w:t>
      </w:r>
      <w:r w:rsidR="00F0110A">
        <w:rPr>
          <w:noProof/>
        </w:rPr>
        <w:fldChar w:fldCharType="end"/>
      </w:r>
      <w:bookmarkEnd w:id="7"/>
      <w:r>
        <w:t xml:space="preserve"> User Plane Security Solution</w:t>
      </w:r>
      <w:bookmarkEnd w:id="8"/>
    </w:p>
    <w:p w:rsidR="009560EF" w:rsidRPr="009560EF" w:rsidRDefault="009560EF" w:rsidP="009560EF">
      <w:r>
        <w:t xml:space="preserve">The Encrypted PDCP </w:t>
      </w:r>
      <w:r w:rsidR="00900A7B">
        <w:t>link</w:t>
      </w:r>
      <w:r>
        <w:t xml:space="preserve"> setup between the UE and the Central Unit, alleviates the need to have IPSec Tunnels that is conventionally setup between the eNodeB and </w:t>
      </w:r>
      <w:r w:rsidR="00900A7B">
        <w:t xml:space="preserve">IP </w:t>
      </w:r>
      <w:r>
        <w:t>Se</w:t>
      </w:r>
      <w:r w:rsidR="00900A7B">
        <w:t>c</w:t>
      </w:r>
      <w:r>
        <w:t xml:space="preserve"> Gateway. This has added advantage of simplifying the overall RAN/Core solution. </w:t>
      </w:r>
    </w:p>
    <w:p w:rsidR="008569F0" w:rsidRDefault="00E71D25" w:rsidP="008569F0">
      <w:r>
        <w:t>The</w:t>
      </w:r>
      <w:r w:rsidR="008569F0">
        <w:t xml:space="preserve"> Control plane </w:t>
      </w:r>
      <w:r>
        <w:t xml:space="preserve">security is shown in the following </w:t>
      </w:r>
      <w:r>
        <w:fldChar w:fldCharType="begin"/>
      </w:r>
      <w:r>
        <w:instrText xml:space="preserve"> REF _Ref477964028 \h </w:instrText>
      </w:r>
      <w:r>
        <w:fldChar w:fldCharType="separate"/>
      </w:r>
      <w:r>
        <w:t xml:space="preserve">Figure </w:t>
      </w:r>
      <w:r>
        <w:rPr>
          <w:noProof/>
        </w:rPr>
        <w:t>8</w:t>
      </w:r>
      <w:r>
        <w:fldChar w:fldCharType="end"/>
      </w:r>
      <w:r w:rsidR="00CF36AA">
        <w:t xml:space="preserve">. </w:t>
      </w:r>
      <w:r>
        <w:t>The</w:t>
      </w:r>
      <w:r w:rsidR="008569F0">
        <w:t xml:space="preserve"> </w:t>
      </w:r>
      <w:r w:rsidR="00900A7B">
        <w:t xml:space="preserve">RRC </w:t>
      </w:r>
      <w:r>
        <w:t xml:space="preserve">Control Plane </w:t>
      </w:r>
      <w:r w:rsidR="008569F0">
        <w:t xml:space="preserve">security is between the UE and the </w:t>
      </w:r>
      <w:r w:rsidR="00900A7B">
        <w:t>PDCP-C</w:t>
      </w:r>
      <w:r w:rsidR="008569F0">
        <w:t>.</w:t>
      </w:r>
      <w:r>
        <w:t xml:space="preserve"> Integrity protection is mandatory and Cyphering is optional.</w:t>
      </w:r>
    </w:p>
    <w:p w:rsidR="00E71D25" w:rsidRDefault="00CF36AA" w:rsidP="00E84924">
      <w:pPr>
        <w:keepNext/>
        <w:jc w:val="center"/>
      </w:pPr>
      <w:r>
        <w:rPr>
          <w:noProof/>
          <w:lang w:eastAsia="en-GB"/>
        </w:rPr>
        <w:lastRenderedPageBreak/>
        <w:drawing>
          <wp:inline distT="0" distB="0" distL="0" distR="0">
            <wp:extent cx="4188314" cy="6033288"/>
            <wp:effectExtent l="0" t="0" r="317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ec-CP.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193008" cy="6040049"/>
                    </a:xfrm>
                    <a:prstGeom prst="rect">
                      <a:avLst/>
                    </a:prstGeom>
                  </pic:spPr>
                </pic:pic>
              </a:graphicData>
            </a:graphic>
          </wp:inline>
        </w:drawing>
      </w:r>
    </w:p>
    <w:p w:rsidR="008569F0" w:rsidRPr="008569F0" w:rsidRDefault="00E71D25" w:rsidP="00E71D25">
      <w:pPr>
        <w:pStyle w:val="Caption"/>
      </w:pPr>
      <w:bookmarkStart w:id="9" w:name="_Ref477964028"/>
      <w:r>
        <w:t xml:space="preserve">Figure </w:t>
      </w:r>
      <w:r w:rsidR="00F0110A">
        <w:fldChar w:fldCharType="begin"/>
      </w:r>
      <w:r w:rsidR="00F0110A">
        <w:instrText xml:space="preserve"> SEQ Figure \* ARABIC </w:instrText>
      </w:r>
      <w:r w:rsidR="00F0110A">
        <w:fldChar w:fldCharType="separate"/>
      </w:r>
      <w:r>
        <w:rPr>
          <w:noProof/>
        </w:rPr>
        <w:t>8</w:t>
      </w:r>
      <w:r w:rsidR="00F0110A">
        <w:rPr>
          <w:noProof/>
        </w:rPr>
        <w:fldChar w:fldCharType="end"/>
      </w:r>
      <w:bookmarkEnd w:id="9"/>
      <w:r>
        <w:t xml:space="preserve"> Control Plane Security Solution</w:t>
      </w:r>
    </w:p>
    <w:p w:rsidR="00FD29A5" w:rsidRDefault="00266662" w:rsidP="00266662">
      <w:pPr>
        <w:pStyle w:val="Heading1"/>
      </w:pPr>
      <w:r>
        <w:t>Overall Architecture</w:t>
      </w:r>
    </w:p>
    <w:p w:rsidR="00FD29A5" w:rsidRDefault="00266662" w:rsidP="00E76FB1">
      <w:r>
        <w:t>The</w:t>
      </w:r>
      <w:r w:rsidR="00BC7646">
        <w:t xml:space="preserve"> combined</w:t>
      </w:r>
      <w:r>
        <w:t xml:space="preserve"> overall architecture with separated control and use</w:t>
      </w:r>
      <w:r w:rsidR="00011BA1">
        <w:t>r plane</w:t>
      </w:r>
      <w:r>
        <w:t xml:space="preserve"> split, decentralised RRM and Flow Control is illustrated in the following figure:</w:t>
      </w:r>
    </w:p>
    <w:p w:rsidR="00011BA1" w:rsidRDefault="00CF36AA" w:rsidP="00E84924">
      <w:pPr>
        <w:keepNext/>
        <w:jc w:val="center"/>
      </w:pPr>
      <w:r>
        <w:rPr>
          <w:noProof/>
          <w:lang w:eastAsia="en-GB"/>
        </w:rPr>
        <w:lastRenderedPageBreak/>
        <w:drawing>
          <wp:inline distT="0" distB="0" distL="0" distR="0">
            <wp:extent cx="5731510" cy="4224020"/>
            <wp:effectExtent l="0" t="0" r="254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rchitectur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4224020"/>
                    </a:xfrm>
                    <a:prstGeom prst="rect">
                      <a:avLst/>
                    </a:prstGeom>
                  </pic:spPr>
                </pic:pic>
              </a:graphicData>
            </a:graphic>
          </wp:inline>
        </w:drawing>
      </w:r>
    </w:p>
    <w:p w:rsidR="00EF7AD5" w:rsidRDefault="00011BA1" w:rsidP="00011BA1">
      <w:pPr>
        <w:pStyle w:val="Caption"/>
      </w:pPr>
      <w:bookmarkStart w:id="10" w:name="_Ref477964022"/>
      <w:r>
        <w:t xml:space="preserve">Figure </w:t>
      </w:r>
      <w:r w:rsidR="00F0110A">
        <w:fldChar w:fldCharType="begin"/>
      </w:r>
      <w:r w:rsidR="00F0110A">
        <w:instrText xml:space="preserve"> SEQ Figure \* ARABIC </w:instrText>
      </w:r>
      <w:r w:rsidR="00F0110A">
        <w:fldChar w:fldCharType="separate"/>
      </w:r>
      <w:r w:rsidR="00E71D25">
        <w:rPr>
          <w:noProof/>
        </w:rPr>
        <w:t>9</w:t>
      </w:r>
      <w:r w:rsidR="00F0110A">
        <w:rPr>
          <w:noProof/>
        </w:rPr>
        <w:fldChar w:fldCharType="end"/>
      </w:r>
      <w:bookmarkEnd w:id="10"/>
      <w:r>
        <w:t xml:space="preserve"> Overall combined architecture</w:t>
      </w:r>
    </w:p>
    <w:p w:rsidR="005A36A1" w:rsidRDefault="005A36A1" w:rsidP="00E76FB1">
      <w:r>
        <w:t>The evolved architecture, which is based on Option 2 Functional Split Architecture, provides:</w:t>
      </w:r>
    </w:p>
    <w:p w:rsidR="005A36A1" w:rsidRDefault="005A36A1" w:rsidP="005A36A1">
      <w:pPr>
        <w:pStyle w:val="ListParagraph"/>
        <w:numPr>
          <w:ilvl w:val="0"/>
          <w:numId w:val="5"/>
        </w:numPr>
      </w:pPr>
      <w:r>
        <w:t xml:space="preserve">Separated Control and User entities  </w:t>
      </w:r>
    </w:p>
    <w:p w:rsidR="005A36A1" w:rsidRDefault="005A36A1" w:rsidP="005A36A1">
      <w:pPr>
        <w:pStyle w:val="ListParagraph"/>
        <w:numPr>
          <w:ilvl w:val="0"/>
          <w:numId w:val="5"/>
        </w:numPr>
      </w:pPr>
      <w:r>
        <w:t xml:space="preserve">Separated Control and </w:t>
      </w:r>
      <w:r w:rsidR="00900A7B">
        <w:t>U</w:t>
      </w:r>
      <w:r>
        <w:t xml:space="preserve">ser Plane </w:t>
      </w:r>
    </w:p>
    <w:p w:rsidR="005A36A1" w:rsidRDefault="005A36A1" w:rsidP="005A36A1">
      <w:pPr>
        <w:pStyle w:val="ListParagraph"/>
        <w:numPr>
          <w:ilvl w:val="0"/>
          <w:numId w:val="5"/>
        </w:numPr>
      </w:pPr>
      <w:r>
        <w:t>Flow control between CU and DUs</w:t>
      </w:r>
    </w:p>
    <w:p w:rsidR="005A36A1" w:rsidRDefault="005A36A1" w:rsidP="005A36A1">
      <w:pPr>
        <w:pStyle w:val="ListParagraph"/>
        <w:numPr>
          <w:ilvl w:val="0"/>
          <w:numId w:val="5"/>
        </w:numPr>
      </w:pPr>
      <w:r>
        <w:t xml:space="preserve">Decentralised RRM </w:t>
      </w:r>
    </w:p>
    <w:p w:rsidR="00266662" w:rsidRDefault="00266662" w:rsidP="00266662">
      <w:pPr>
        <w:pStyle w:val="Heading1"/>
      </w:pPr>
      <w:r>
        <w:t>Conclusion</w:t>
      </w:r>
      <w:r w:rsidR="00AC15DB">
        <w:t xml:space="preserve"> and Proposals</w:t>
      </w:r>
    </w:p>
    <w:p w:rsidR="005A36A1" w:rsidRDefault="005A36A1" w:rsidP="00266662">
      <w:r>
        <w:t>By using the Option 2 Functional Split Architecture, an evolved architecture, with separated control and user planes have been presented in this contributions.</w:t>
      </w:r>
    </w:p>
    <w:p w:rsidR="00266662" w:rsidRDefault="005A36A1" w:rsidP="00266662">
      <w:r>
        <w:t>The separated control and user plane and separated CU and DU would require decentralised RRM to enhance the overall performance of the RAN. Furthermore, to ensure smooth delivery of user data and efficient use of resources, a robust Flow Control would be required between CU and DU.</w:t>
      </w:r>
    </w:p>
    <w:p w:rsidR="007B27EA" w:rsidRDefault="007B27EA" w:rsidP="00266662">
      <w:r>
        <w:t>The security solution of this evolved architecture, can also benefit from separated control and user planes where security features can be implemented on separate planes independently.</w:t>
      </w:r>
      <w:r w:rsidR="009560EF">
        <w:t xml:space="preserve"> With encrypted PDCP tunnel, expensive IPSec solution would not be required and the design of the network is further simplified. </w:t>
      </w:r>
    </w:p>
    <w:p w:rsidR="005A36A1" w:rsidRDefault="00011BA1" w:rsidP="00266662">
      <w:r>
        <w:t>At this stage we believe that the PDCP PDU sequence numbering of 18 bits are sufficiently large to support high user data throughput between CU and DU.</w:t>
      </w:r>
      <w:r w:rsidR="00A66681">
        <w:t xml:space="preserve"> Moreover, the data flow, i.e. the flow of PDCP-U</w:t>
      </w:r>
      <w:r w:rsidR="00F91454">
        <w:t>s</w:t>
      </w:r>
      <w:r w:rsidR="00A66681">
        <w:t xml:space="preserve"> are resilient to network </w:t>
      </w:r>
      <w:r w:rsidR="00F91454">
        <w:t xml:space="preserve">latencies of up to 50ms and RAN latencies of 18ms. This illustrates that Option 2 Functional </w:t>
      </w:r>
      <w:r w:rsidR="00F91454">
        <w:lastRenderedPageBreak/>
        <w:t xml:space="preserve">Split would perform better in real network environment than other functional split which would require tight network latencies.   </w:t>
      </w:r>
    </w:p>
    <w:p w:rsidR="002C23CB" w:rsidRPr="002C23CB" w:rsidRDefault="00AC15DB" w:rsidP="00266662">
      <w:pPr>
        <w:rPr>
          <w:b/>
        </w:rPr>
      </w:pPr>
      <w:r w:rsidRPr="002C23CB">
        <w:rPr>
          <w:b/>
        </w:rPr>
        <w:t xml:space="preserve">Proposal 1: </w:t>
      </w:r>
      <w:r w:rsidR="002C23CB">
        <w:rPr>
          <w:b/>
        </w:rPr>
        <w:t xml:space="preserve"> For signalling, </w:t>
      </w:r>
      <w:r w:rsidRPr="002C23CB">
        <w:rPr>
          <w:b/>
        </w:rPr>
        <w:t xml:space="preserve">SCTP to be adopted for lower layer </w:t>
      </w:r>
      <w:r w:rsidR="002C23CB">
        <w:rPr>
          <w:b/>
        </w:rPr>
        <w:t>transport</w:t>
      </w:r>
      <w:r w:rsidRPr="002C23CB">
        <w:rPr>
          <w:b/>
        </w:rPr>
        <w:t xml:space="preserve"> protocol, between the PDCP-C and DU</w:t>
      </w:r>
      <w:r w:rsidR="002C23CB" w:rsidRPr="002C23CB">
        <w:rPr>
          <w:b/>
        </w:rPr>
        <w:t xml:space="preserve"> (</w:t>
      </w:r>
      <w:r w:rsidRPr="002C23CB">
        <w:rPr>
          <w:b/>
        </w:rPr>
        <w:t xml:space="preserve">this aligns with the working assumption for the </w:t>
      </w:r>
      <w:r w:rsidR="006902B4" w:rsidRPr="002C23CB">
        <w:rPr>
          <w:b/>
        </w:rPr>
        <w:t>N2 interface to the NGCN and the implementation of S1-MME</w:t>
      </w:r>
      <w:r w:rsidR="002C23CB" w:rsidRPr="002C23CB">
        <w:rPr>
          <w:b/>
        </w:rPr>
        <w:t>)</w:t>
      </w:r>
    </w:p>
    <w:p w:rsidR="00011BA1" w:rsidRPr="002C23CB" w:rsidRDefault="002C23CB" w:rsidP="00266662">
      <w:pPr>
        <w:rPr>
          <w:b/>
        </w:rPr>
      </w:pPr>
      <w:r w:rsidRPr="002C23CB">
        <w:rPr>
          <w:b/>
        </w:rPr>
        <w:t xml:space="preserve">Proposal 2: </w:t>
      </w:r>
      <w:r>
        <w:rPr>
          <w:b/>
        </w:rPr>
        <w:t>For user data, a</w:t>
      </w:r>
      <w:r w:rsidRPr="002C23CB">
        <w:rPr>
          <w:b/>
        </w:rPr>
        <w:t>dopt GTP-U for lower layer transport</w:t>
      </w:r>
      <w:r w:rsidR="00AC15DB" w:rsidRPr="002C23CB">
        <w:rPr>
          <w:b/>
        </w:rPr>
        <w:t xml:space="preserve"> </w:t>
      </w:r>
      <w:r w:rsidRPr="002C23CB">
        <w:rPr>
          <w:b/>
        </w:rPr>
        <w:t>protocol, between the PDCP-U and DU (this aligns with Release 12 Dual Connectivity)</w:t>
      </w:r>
    </w:p>
    <w:p w:rsidR="002C23CB" w:rsidRDefault="002C23CB" w:rsidP="00266662"/>
    <w:p w:rsidR="00266662" w:rsidRDefault="00266662" w:rsidP="00266662">
      <w:pPr>
        <w:pStyle w:val="Heading1"/>
      </w:pPr>
      <w:r>
        <w:t xml:space="preserve">References </w:t>
      </w:r>
    </w:p>
    <w:p w:rsidR="00011BA1" w:rsidRDefault="005275E8" w:rsidP="00011BA1">
      <w:r>
        <w:t>[1] R3-170843</w:t>
      </w:r>
    </w:p>
    <w:p w:rsidR="005275E8" w:rsidRDefault="005275E8" w:rsidP="00011BA1">
      <w:r>
        <w:t>[2] R3-170906</w:t>
      </w:r>
    </w:p>
    <w:p w:rsidR="005275E8" w:rsidRDefault="005275E8" w:rsidP="005275E8">
      <w:r w:rsidRPr="002C23CB">
        <w:rPr>
          <w:lang w:val="de-DE"/>
        </w:rPr>
        <w:t xml:space="preserve">[3] J. Pérez-Romero et al. </w:t>
      </w:r>
      <w:r>
        <w:t>“Common</w:t>
      </w:r>
      <w:r w:rsidRPr="005275E8">
        <w:t xml:space="preserve"> R</w:t>
      </w:r>
      <w:r>
        <w:t xml:space="preserve">adio </w:t>
      </w:r>
      <w:r w:rsidRPr="005275E8">
        <w:t>R</w:t>
      </w:r>
      <w:r>
        <w:t>esource</w:t>
      </w:r>
      <w:r w:rsidRPr="005275E8">
        <w:t>, M</w:t>
      </w:r>
      <w:r>
        <w:t>anagement</w:t>
      </w:r>
      <w:r w:rsidRPr="005275E8">
        <w:t>: F</w:t>
      </w:r>
      <w:r>
        <w:t>unctional</w:t>
      </w:r>
      <w:r w:rsidRPr="005275E8">
        <w:t xml:space="preserve"> M</w:t>
      </w:r>
      <w:r>
        <w:t>odel</w:t>
      </w:r>
      <w:r w:rsidRPr="005275E8">
        <w:t xml:space="preserve">, </w:t>
      </w:r>
      <w:r>
        <w:t>and</w:t>
      </w:r>
      <w:r w:rsidRPr="005275E8">
        <w:t xml:space="preserve"> I</w:t>
      </w:r>
      <w:r>
        <w:t>mplementation Requirements”; 2005 IEEE 16</w:t>
      </w:r>
      <w:r w:rsidRPr="005275E8">
        <w:rPr>
          <w:vertAlign w:val="superscript"/>
        </w:rPr>
        <w:t>th</w:t>
      </w:r>
      <w:r>
        <w:t xml:space="preserve"> International symposium on Personal Indoor and Mobile Radio </w:t>
      </w:r>
      <w:r w:rsidR="000F23BB">
        <w:t>communications, IEEE</w:t>
      </w:r>
      <w:r>
        <w:t xml:space="preserve"> conference Publication 2005; Vol3 pp2067-2071</w:t>
      </w:r>
    </w:p>
    <w:p w:rsidR="000F23BB" w:rsidRDefault="000F23BB" w:rsidP="000F23BB">
      <w:r>
        <w:t>[4</w:t>
      </w:r>
      <w:r w:rsidRPr="000F23BB">
        <w:t xml:space="preserve">] </w:t>
      </w:r>
      <w:hyperlink r:id="rId18" w:history="1">
        <w:r w:rsidRPr="000F23BB">
          <w:t>Leijia Wu</w:t>
        </w:r>
      </w:hyperlink>
      <w:r w:rsidRPr="000F23BB">
        <w:t xml:space="preserve">; </w:t>
      </w:r>
      <w:hyperlink r:id="rId19" w:history="1">
        <w:r w:rsidRPr="000F23BB">
          <w:t>Kumbesan Sandrasegaran</w:t>
        </w:r>
      </w:hyperlink>
      <w:r>
        <w:t>;</w:t>
      </w:r>
      <w:r w:rsidRPr="000F23BB">
        <w:t xml:space="preserve"> </w:t>
      </w:r>
      <w:hyperlink r:id="rId20" w:history="1">
        <w:r w:rsidRPr="000F23BB">
          <w:t>The 2nd International Conference on Wireless Broadband and Ultra Wideband Communications (AusWireless 2007)</w:t>
        </w:r>
      </w:hyperlink>
      <w:r w:rsidRPr="000F23BB">
        <w:t xml:space="preserve"> , IEEE Conference Publications, pp66-70.</w:t>
      </w:r>
    </w:p>
    <w:p w:rsidR="000F23BB" w:rsidRDefault="000F23BB" w:rsidP="000F23BB">
      <w:r>
        <w:t xml:space="preserve">[5] Inter-eNB Flow Control for Heterogeneous Networks with Dual Connectivity   Hua </w:t>
      </w:r>
      <w:r w:rsidR="004235C0">
        <w:t>Wang; Claudio</w:t>
      </w:r>
      <w:r>
        <w:t xml:space="preserve"> </w:t>
      </w:r>
      <w:r w:rsidR="004235C0">
        <w:t>Rosa; Klaus</w:t>
      </w:r>
      <w:r>
        <w:t xml:space="preserve"> I. </w:t>
      </w:r>
      <w:r w:rsidR="004235C0">
        <w:t>Pedersen 2015</w:t>
      </w:r>
      <w:r>
        <w:t xml:space="preserve"> IEEE 81st Vehicular Technology Conference (VTC </w:t>
      </w:r>
      <w:r w:rsidR="004235C0">
        <w:t>Spring) Year</w:t>
      </w:r>
      <w:r>
        <w:t>: 2015, pp1-5</w:t>
      </w:r>
    </w:p>
    <w:p w:rsidR="000F23BB" w:rsidRDefault="000F23BB" w:rsidP="000F23BB">
      <w:r>
        <w:t xml:space="preserve">[6] Configuration of Dual Connectivity with Flow Control in a Realistic Urban </w:t>
      </w:r>
      <w:r w:rsidR="004235C0">
        <w:t>Scenario; Hua</w:t>
      </w:r>
      <w:r>
        <w:t xml:space="preserve"> </w:t>
      </w:r>
      <w:r w:rsidR="004235C0">
        <w:t>Wang; Guillermo</w:t>
      </w:r>
      <w:r>
        <w:t xml:space="preserve"> Pocovi; Claudio Rosa; Klaus I. Pedersen 2015 IEEE 82nd Vehicular Technology Conference (VTC2015-Fall) Year: 2015</w:t>
      </w:r>
    </w:p>
    <w:p w:rsidR="004235C0" w:rsidRDefault="004235C0" w:rsidP="000F23BB">
      <w:r>
        <w:t>[7] R2-111352</w:t>
      </w:r>
    </w:p>
    <w:p w:rsidR="004235C0" w:rsidRDefault="004235C0" w:rsidP="000F23BB">
      <w:r>
        <w:t>[8] R2-151345</w:t>
      </w:r>
    </w:p>
    <w:p w:rsidR="004235C0" w:rsidRDefault="004235C0" w:rsidP="000F23BB">
      <w:r>
        <w:t>[9] R2- 154326</w:t>
      </w:r>
    </w:p>
    <w:p w:rsidR="004235C0" w:rsidRDefault="004235C0" w:rsidP="000F23BB">
      <w:r>
        <w:t>[10] 3GPP TS 36.323, Release 14.1.0 Section 6.2.11</w:t>
      </w:r>
    </w:p>
    <w:p w:rsidR="000F23BB" w:rsidRPr="000F23BB" w:rsidRDefault="000F23BB" w:rsidP="000F23BB">
      <w:pPr>
        <w:rPr>
          <w:rFonts w:ascii="Times New Roman" w:eastAsia="Times New Roman" w:hAnsi="Times New Roman"/>
          <w:sz w:val="24"/>
          <w:szCs w:val="24"/>
          <w:lang w:val="en-US" w:eastAsia="en-GB"/>
        </w:rPr>
      </w:pPr>
    </w:p>
    <w:p w:rsidR="000F23BB" w:rsidRDefault="000F23BB" w:rsidP="000F23BB"/>
    <w:p w:rsidR="000F23BB" w:rsidRDefault="000F23BB" w:rsidP="000F23BB"/>
    <w:p w:rsidR="00CD3994" w:rsidRPr="00E76FB1" w:rsidRDefault="00CD3994" w:rsidP="00E76FB1"/>
    <w:sectPr w:rsidR="00CD3994" w:rsidRPr="00E76FB1" w:rsidSect="00A474D9">
      <w:footerReference w:type="default" r:id="rId21"/>
      <w:headerReference w:type="first" r:id="rId22"/>
      <w:footerReference w:type="first" r:id="rId23"/>
      <w:pgSz w:w="11906" w:h="16838"/>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0110A" w:rsidRDefault="00F0110A" w:rsidP="00E2249A">
      <w:pPr>
        <w:spacing w:after="0" w:line="240" w:lineRule="auto"/>
      </w:pPr>
      <w:r>
        <w:separator/>
      </w:r>
    </w:p>
  </w:endnote>
  <w:endnote w:type="continuationSeparator" w:id="0">
    <w:p w:rsidR="00F0110A" w:rsidRDefault="00F0110A" w:rsidP="00E224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dafone Rg">
    <w:panose1 w:val="020B0606080202020204"/>
    <w:charset w:val="00"/>
    <w:family w:val="swiss"/>
    <w:pitch w:val="variable"/>
    <w:sig w:usb0="800002AF" w:usb1="4000204B" w:usb2="00000000" w:usb3="00000000" w:csb0="0000009F" w:csb1="00000000"/>
    <w:embedRegular r:id="rId1" w:fontKey="{091AE65C-0856-40A0-AD99-CA3559B54E86}"/>
    <w:embedBold r:id="rId2" w:fontKey="{4588776E-9175-461A-9419-E5C51C1B5133}"/>
    <w:embedItalic r:id="rId3" w:fontKey="{165DD05E-41DE-45F3-A2B5-AFA933BB5547}"/>
  </w:font>
  <w:font w:name="Calibri">
    <w:panose1 w:val="020F0502020204030204"/>
    <w:charset w:val="00"/>
    <w:family w:val="swiss"/>
    <w:pitch w:val="variable"/>
    <w:sig w:usb0="E00002FF" w:usb1="4000ACFF" w:usb2="00000001" w:usb3="00000000" w:csb0="0000019F" w:csb1="00000000"/>
    <w:embedRegular r:id="rId4" w:fontKey="{8899D93C-A248-4543-B259-17EA0F04152A}"/>
    <w:embedBold r:id="rId5" w:fontKey="{F926A8FC-92C4-4254-A167-BC2C7A901CDA}"/>
    <w:embedItalic r:id="rId6" w:fontKey="{11AA12D2-AB46-4CC7-A11A-12310B1675FB}"/>
  </w:font>
  <w:font w:name="Vodafone Lt">
    <w:panose1 w:val="020B0606040202020204"/>
    <w:charset w:val="00"/>
    <w:family w:val="swiss"/>
    <w:pitch w:val="variable"/>
    <w:sig w:usb0="800002AF" w:usb1="4000204B" w:usb2="00000000" w:usb3="00000000" w:csb0="0000009F" w:csb1="00000000"/>
    <w:embedRegular r:id="rId7" w:fontKey="{EA400EDE-E901-4C8D-8AE1-559B07729484}"/>
    <w:embedBold r:id="rId8" w:fontKey="{1477F79D-46BE-47E0-A993-65E9645EBAB0}"/>
    <w:embedItalic r:id="rId9" w:fontKey="{616B0D70-7A47-46A7-B554-B596E9FD1277}"/>
  </w:font>
  <w:font w:name="Tahoma">
    <w:panose1 w:val="020B0604030504040204"/>
    <w:charset w:val="00"/>
    <w:family w:val="swiss"/>
    <w:pitch w:val="variable"/>
    <w:sig w:usb0="E1002EFF" w:usb1="C000605B" w:usb2="00000029" w:usb3="00000000" w:csb0="000101FF" w:csb1="00000000"/>
    <w:embedRegular r:id="rId10" w:fontKey="{9358E4C4-4823-4CF6-91CA-49645DA04195}"/>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6C1" w:rsidRDefault="00E84924">
    <w:pPr>
      <w:pStyle w:val="Footer"/>
    </w:pPr>
    <w:r>
      <w:rPr>
        <w:color w:val="645C54" w:themeColor="text2"/>
      </w:rPr>
      <w:t>R3-171203</w:t>
    </w:r>
    <w:r w:rsidR="005136C1">
      <w:rPr>
        <w:color w:val="645C54" w:themeColor="text2"/>
      </w:rPr>
      <w:tab/>
    </w:r>
    <w:r w:rsidR="005136C1">
      <w:rPr>
        <w:color w:val="645C54" w:themeColor="text2"/>
      </w:rPr>
      <w:tab/>
    </w:r>
    <w:r w:rsidR="005136C1" w:rsidRPr="001943CB">
      <w:rPr>
        <w:color w:val="645C54" w:themeColor="text2"/>
      </w:rPr>
      <w:t xml:space="preserve">Page </w:t>
    </w:r>
    <w:r w:rsidR="005136C1" w:rsidRPr="001943CB">
      <w:rPr>
        <w:color w:val="645C54" w:themeColor="text2"/>
      </w:rPr>
      <w:fldChar w:fldCharType="begin"/>
    </w:r>
    <w:r w:rsidR="005136C1" w:rsidRPr="001943CB">
      <w:rPr>
        <w:color w:val="645C54" w:themeColor="text2"/>
      </w:rPr>
      <w:instrText xml:space="preserve"> PAGE  \* Arabic  \* MERGEFORMAT </w:instrText>
    </w:r>
    <w:r w:rsidR="005136C1" w:rsidRPr="001943CB">
      <w:rPr>
        <w:color w:val="645C54" w:themeColor="text2"/>
      </w:rPr>
      <w:fldChar w:fldCharType="separate"/>
    </w:r>
    <w:r w:rsidR="00055212">
      <w:rPr>
        <w:noProof/>
        <w:color w:val="645C54" w:themeColor="text2"/>
      </w:rPr>
      <w:t>10</w:t>
    </w:r>
    <w:r w:rsidR="005136C1" w:rsidRPr="001943CB">
      <w:rPr>
        <w:color w:val="645C54" w:themeColor="text2"/>
      </w:rPr>
      <w:fldChar w:fldCharType="end"/>
    </w:r>
    <w:r w:rsidR="005136C1" w:rsidRPr="001943CB">
      <w:rPr>
        <w:color w:val="645C54" w:themeColor="text2"/>
      </w:rPr>
      <w:t xml:space="preserve"> of </w:t>
    </w:r>
    <w:r w:rsidR="005136C1" w:rsidRPr="001943CB">
      <w:rPr>
        <w:color w:val="645C54" w:themeColor="text2"/>
      </w:rPr>
      <w:fldChar w:fldCharType="begin"/>
    </w:r>
    <w:r w:rsidR="005136C1" w:rsidRPr="001943CB">
      <w:rPr>
        <w:color w:val="645C54" w:themeColor="text2"/>
      </w:rPr>
      <w:instrText xml:space="preserve"> NUMPAGES  \* Arabic  \* MERGEFORMAT </w:instrText>
    </w:r>
    <w:r w:rsidR="005136C1" w:rsidRPr="001943CB">
      <w:rPr>
        <w:color w:val="645C54" w:themeColor="text2"/>
      </w:rPr>
      <w:fldChar w:fldCharType="separate"/>
    </w:r>
    <w:r w:rsidR="00055212">
      <w:rPr>
        <w:noProof/>
        <w:color w:val="645C54" w:themeColor="text2"/>
      </w:rPr>
      <w:t>10</w:t>
    </w:r>
    <w:r w:rsidR="005136C1" w:rsidRPr="001943CB">
      <w:rPr>
        <w:color w:val="645C54" w:themeColor="tex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43CB" w:rsidRDefault="001943CB">
    <w:pPr>
      <w:pStyle w:val="Foote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0110A" w:rsidRDefault="00F0110A" w:rsidP="00E2249A">
      <w:pPr>
        <w:spacing w:after="0" w:line="240" w:lineRule="auto"/>
      </w:pPr>
      <w:r>
        <w:separator/>
      </w:r>
    </w:p>
  </w:footnote>
  <w:footnote w:type="continuationSeparator" w:id="0">
    <w:p w:rsidR="00F0110A" w:rsidRDefault="00F0110A" w:rsidP="00E224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249A" w:rsidRPr="00E2249A" w:rsidRDefault="00E2249A" w:rsidP="001943CB">
    <w:pPr>
      <w:pStyle w:val="Title"/>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D65BBF"/>
    <w:multiLevelType w:val="hybridMultilevel"/>
    <w:tmpl w:val="D9D430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D032566"/>
    <w:multiLevelType w:val="hybridMultilevel"/>
    <w:tmpl w:val="096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2026D7D"/>
    <w:multiLevelType w:val="hybridMultilevel"/>
    <w:tmpl w:val="57E8E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4E27B9E"/>
    <w:multiLevelType w:val="multilevel"/>
    <w:tmpl w:val="6DD4D48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6B695970"/>
    <w:multiLevelType w:val="hybridMultilevel"/>
    <w:tmpl w:val="E67CC182"/>
    <w:lvl w:ilvl="0" w:tplc="A3C07E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removePersonalInformation/>
  <w:removeDateAndTime/>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74D9"/>
    <w:rsid w:val="00011BA1"/>
    <w:rsid w:val="000206AF"/>
    <w:rsid w:val="00041B61"/>
    <w:rsid w:val="00055212"/>
    <w:rsid w:val="000B32C8"/>
    <w:rsid w:val="000C0F0D"/>
    <w:rsid w:val="000C4801"/>
    <w:rsid w:val="000C7EAB"/>
    <w:rsid w:val="000F23BB"/>
    <w:rsid w:val="000F712B"/>
    <w:rsid w:val="0015262F"/>
    <w:rsid w:val="00164DE5"/>
    <w:rsid w:val="00182EB8"/>
    <w:rsid w:val="001943CB"/>
    <w:rsid w:val="00214E42"/>
    <w:rsid w:val="0022635B"/>
    <w:rsid w:val="00266662"/>
    <w:rsid w:val="002979DF"/>
    <w:rsid w:val="002A0810"/>
    <w:rsid w:val="002B36C6"/>
    <w:rsid w:val="002B4DCC"/>
    <w:rsid w:val="002C23CB"/>
    <w:rsid w:val="002F1BC1"/>
    <w:rsid w:val="003011B8"/>
    <w:rsid w:val="00315FE9"/>
    <w:rsid w:val="00350CF2"/>
    <w:rsid w:val="003568B5"/>
    <w:rsid w:val="00366736"/>
    <w:rsid w:val="004235C0"/>
    <w:rsid w:val="00447824"/>
    <w:rsid w:val="004574F3"/>
    <w:rsid w:val="004632CF"/>
    <w:rsid w:val="004A77C8"/>
    <w:rsid w:val="005136C1"/>
    <w:rsid w:val="005275E8"/>
    <w:rsid w:val="005A36A1"/>
    <w:rsid w:val="00666055"/>
    <w:rsid w:val="006902B4"/>
    <w:rsid w:val="006966E3"/>
    <w:rsid w:val="006C0380"/>
    <w:rsid w:val="00736172"/>
    <w:rsid w:val="00736444"/>
    <w:rsid w:val="007540AF"/>
    <w:rsid w:val="007B27EA"/>
    <w:rsid w:val="00842CE6"/>
    <w:rsid w:val="008531E0"/>
    <w:rsid w:val="008569F0"/>
    <w:rsid w:val="00867D2F"/>
    <w:rsid w:val="008705F6"/>
    <w:rsid w:val="008F26F7"/>
    <w:rsid w:val="00900A7B"/>
    <w:rsid w:val="0091508E"/>
    <w:rsid w:val="00931757"/>
    <w:rsid w:val="009560EF"/>
    <w:rsid w:val="0098581C"/>
    <w:rsid w:val="009D3CA3"/>
    <w:rsid w:val="009E5ADA"/>
    <w:rsid w:val="00A0577A"/>
    <w:rsid w:val="00A474D9"/>
    <w:rsid w:val="00A503D6"/>
    <w:rsid w:val="00A66681"/>
    <w:rsid w:val="00A74657"/>
    <w:rsid w:val="00A81A68"/>
    <w:rsid w:val="00AB0686"/>
    <w:rsid w:val="00AC15DB"/>
    <w:rsid w:val="00AE0D17"/>
    <w:rsid w:val="00B16C3F"/>
    <w:rsid w:val="00B5457B"/>
    <w:rsid w:val="00B9332C"/>
    <w:rsid w:val="00B959CB"/>
    <w:rsid w:val="00BB0F31"/>
    <w:rsid w:val="00BC7646"/>
    <w:rsid w:val="00BD63DF"/>
    <w:rsid w:val="00BD72BD"/>
    <w:rsid w:val="00C073C5"/>
    <w:rsid w:val="00C1259C"/>
    <w:rsid w:val="00C34795"/>
    <w:rsid w:val="00C40234"/>
    <w:rsid w:val="00C81D20"/>
    <w:rsid w:val="00CA4524"/>
    <w:rsid w:val="00CD3994"/>
    <w:rsid w:val="00CF0C5E"/>
    <w:rsid w:val="00CF36AA"/>
    <w:rsid w:val="00D13109"/>
    <w:rsid w:val="00D85226"/>
    <w:rsid w:val="00D9222E"/>
    <w:rsid w:val="00DF7FBE"/>
    <w:rsid w:val="00E2249A"/>
    <w:rsid w:val="00E30824"/>
    <w:rsid w:val="00E52AEB"/>
    <w:rsid w:val="00E60EF7"/>
    <w:rsid w:val="00E71D25"/>
    <w:rsid w:val="00E76FB1"/>
    <w:rsid w:val="00E84924"/>
    <w:rsid w:val="00EB193F"/>
    <w:rsid w:val="00EC77E8"/>
    <w:rsid w:val="00EE0803"/>
    <w:rsid w:val="00EF7AD5"/>
    <w:rsid w:val="00F0110A"/>
    <w:rsid w:val="00F44310"/>
    <w:rsid w:val="00F50199"/>
    <w:rsid w:val="00F91454"/>
    <w:rsid w:val="00F952FA"/>
    <w:rsid w:val="00FD29A5"/>
    <w:rsid w:val="00FE63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1B1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474D9"/>
    <w:pPr>
      <w:jc w:val="both"/>
    </w:pPr>
    <w:rPr>
      <w:rFonts w:eastAsia="Calibri" w:cs="Times New Roman"/>
    </w:rPr>
  </w:style>
  <w:style w:type="paragraph" w:styleId="Heading1">
    <w:name w:val="heading 1"/>
    <w:basedOn w:val="Normal"/>
    <w:next w:val="Normal"/>
    <w:link w:val="Heading1Char"/>
    <w:uiPriority w:val="9"/>
    <w:qFormat/>
    <w:rsid w:val="001943CB"/>
    <w:pPr>
      <w:keepNext/>
      <w:keepLines/>
      <w:numPr>
        <w:numId w:val="1"/>
      </w:numPr>
      <w:spacing w:before="480" w:after="0"/>
      <w:outlineLvl w:val="0"/>
    </w:pPr>
    <w:rPr>
      <w:rFonts w:asciiTheme="majorHAnsi" w:eastAsiaTheme="majorEastAsia" w:hAnsiTheme="majorHAnsi" w:cstheme="majorBidi"/>
      <w:b/>
      <w:bCs/>
      <w:color w:val="E60000" w:themeColor="accent1"/>
      <w:sz w:val="40"/>
      <w:szCs w:val="28"/>
    </w:rPr>
  </w:style>
  <w:style w:type="paragraph" w:styleId="Heading2">
    <w:name w:val="heading 2"/>
    <w:basedOn w:val="Normal"/>
    <w:next w:val="Normal"/>
    <w:link w:val="Heading2Char"/>
    <w:uiPriority w:val="9"/>
    <w:unhideWhenUsed/>
    <w:qFormat/>
    <w:rsid w:val="001943CB"/>
    <w:pPr>
      <w:keepNext/>
      <w:keepLines/>
      <w:numPr>
        <w:ilvl w:val="1"/>
        <w:numId w:val="1"/>
      </w:numPr>
      <w:spacing w:before="200" w:after="0"/>
      <w:outlineLvl w:val="1"/>
    </w:pPr>
    <w:rPr>
      <w:rFonts w:asciiTheme="majorHAnsi" w:eastAsiaTheme="majorEastAsia" w:hAnsiTheme="majorHAnsi" w:cstheme="majorBidi"/>
      <w:bCs/>
      <w:color w:val="E60000" w:themeColor="accent1"/>
      <w:sz w:val="36"/>
      <w:szCs w:val="26"/>
    </w:rPr>
  </w:style>
  <w:style w:type="paragraph" w:styleId="Heading3">
    <w:name w:val="heading 3"/>
    <w:basedOn w:val="Normal"/>
    <w:next w:val="Normal"/>
    <w:link w:val="Heading3Char"/>
    <w:uiPriority w:val="9"/>
    <w:semiHidden/>
    <w:unhideWhenUsed/>
    <w:qFormat/>
    <w:rsid w:val="00A474D9"/>
    <w:pPr>
      <w:keepNext/>
      <w:keepLines/>
      <w:numPr>
        <w:ilvl w:val="2"/>
        <w:numId w:val="1"/>
      </w:numPr>
      <w:spacing w:before="40" w:after="0"/>
      <w:outlineLvl w:val="2"/>
    </w:pPr>
    <w:rPr>
      <w:rFonts w:asciiTheme="majorHAnsi" w:eastAsiaTheme="majorEastAsia" w:hAnsiTheme="majorHAnsi" w:cstheme="majorBidi"/>
      <w:color w:val="720000" w:themeColor="accent1" w:themeShade="7F"/>
      <w:sz w:val="24"/>
      <w:szCs w:val="24"/>
    </w:rPr>
  </w:style>
  <w:style w:type="paragraph" w:styleId="Heading4">
    <w:name w:val="heading 4"/>
    <w:basedOn w:val="Normal"/>
    <w:next w:val="Normal"/>
    <w:link w:val="Heading4Char"/>
    <w:uiPriority w:val="9"/>
    <w:unhideWhenUsed/>
    <w:qFormat/>
    <w:rsid w:val="00A474D9"/>
    <w:pPr>
      <w:keepNext/>
      <w:keepLines/>
      <w:numPr>
        <w:ilvl w:val="3"/>
        <w:numId w:val="1"/>
      </w:numPr>
      <w:spacing w:before="40" w:after="0"/>
      <w:outlineLvl w:val="3"/>
    </w:pPr>
    <w:rPr>
      <w:rFonts w:asciiTheme="majorHAnsi" w:eastAsiaTheme="majorEastAsia" w:hAnsiTheme="majorHAnsi" w:cstheme="majorBidi"/>
      <w:i/>
      <w:iCs/>
      <w:color w:val="AC0000"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24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E2249A"/>
  </w:style>
  <w:style w:type="paragraph" w:styleId="Footer">
    <w:name w:val="footer"/>
    <w:basedOn w:val="Normal"/>
    <w:link w:val="FooterChar"/>
    <w:uiPriority w:val="99"/>
    <w:unhideWhenUsed/>
    <w:rsid w:val="00E2249A"/>
    <w:pPr>
      <w:tabs>
        <w:tab w:val="center" w:pos="4513"/>
        <w:tab w:val="right" w:pos="9026"/>
      </w:tabs>
      <w:spacing w:after="0" w:line="240" w:lineRule="auto"/>
    </w:pPr>
  </w:style>
  <w:style w:type="character" w:customStyle="1" w:styleId="FooterChar">
    <w:name w:val="Footer Char"/>
    <w:basedOn w:val="DefaultParagraphFont"/>
    <w:link w:val="Footer"/>
    <w:uiPriority w:val="99"/>
    <w:rsid w:val="00E2249A"/>
  </w:style>
  <w:style w:type="paragraph" w:styleId="BalloonText">
    <w:name w:val="Balloon Text"/>
    <w:basedOn w:val="Normal"/>
    <w:link w:val="BalloonTextChar"/>
    <w:uiPriority w:val="99"/>
    <w:semiHidden/>
    <w:unhideWhenUsed/>
    <w:rsid w:val="00E224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249A"/>
    <w:rPr>
      <w:rFonts w:ascii="Tahoma" w:hAnsi="Tahoma" w:cs="Tahoma"/>
      <w:sz w:val="16"/>
      <w:szCs w:val="16"/>
    </w:rPr>
  </w:style>
  <w:style w:type="character" w:customStyle="1" w:styleId="Heading1Char">
    <w:name w:val="Heading 1 Char"/>
    <w:basedOn w:val="DefaultParagraphFont"/>
    <w:link w:val="Heading1"/>
    <w:uiPriority w:val="9"/>
    <w:rsid w:val="001943CB"/>
    <w:rPr>
      <w:rFonts w:asciiTheme="majorHAnsi" w:eastAsiaTheme="majorEastAsia" w:hAnsiTheme="majorHAnsi" w:cstheme="majorBidi"/>
      <w:b/>
      <w:bCs/>
      <w:color w:val="E60000" w:themeColor="accent1"/>
      <w:kern w:val="22"/>
      <w:sz w:val="40"/>
      <w:szCs w:val="28"/>
      <w14:cntxtAlts/>
    </w:rPr>
  </w:style>
  <w:style w:type="character" w:customStyle="1" w:styleId="Heading2Char">
    <w:name w:val="Heading 2 Char"/>
    <w:basedOn w:val="DefaultParagraphFont"/>
    <w:link w:val="Heading2"/>
    <w:uiPriority w:val="9"/>
    <w:rsid w:val="001943CB"/>
    <w:rPr>
      <w:rFonts w:asciiTheme="majorHAnsi" w:eastAsiaTheme="majorEastAsia" w:hAnsiTheme="majorHAnsi" w:cstheme="majorBidi"/>
      <w:bCs/>
      <w:color w:val="E60000" w:themeColor="accent1"/>
      <w:kern w:val="22"/>
      <w:sz w:val="36"/>
      <w:szCs w:val="26"/>
      <w14:cntxtAlts/>
    </w:rPr>
  </w:style>
  <w:style w:type="paragraph" w:styleId="Title">
    <w:name w:val="Title"/>
    <w:basedOn w:val="Normal"/>
    <w:next w:val="Normal"/>
    <w:link w:val="TitleChar"/>
    <w:uiPriority w:val="10"/>
    <w:qFormat/>
    <w:rsid w:val="00867D2F"/>
    <w:pPr>
      <w:spacing w:after="300" w:line="240" w:lineRule="auto"/>
      <w:contextualSpacing/>
    </w:pPr>
    <w:rPr>
      <w:rFonts w:asciiTheme="majorHAnsi" w:eastAsiaTheme="majorEastAsia" w:hAnsiTheme="majorHAnsi" w:cstheme="majorBidi"/>
      <w:color w:val="E60000" w:themeColor="accent1"/>
      <w:spacing w:val="5"/>
      <w:kern w:val="28"/>
      <w:sz w:val="52"/>
      <w:szCs w:val="52"/>
    </w:rPr>
  </w:style>
  <w:style w:type="character" w:customStyle="1" w:styleId="TitleChar">
    <w:name w:val="Title Char"/>
    <w:basedOn w:val="DefaultParagraphFont"/>
    <w:link w:val="Title"/>
    <w:uiPriority w:val="10"/>
    <w:rsid w:val="00867D2F"/>
    <w:rPr>
      <w:rFonts w:asciiTheme="majorHAnsi" w:eastAsiaTheme="majorEastAsia" w:hAnsiTheme="majorHAnsi" w:cstheme="majorBidi"/>
      <w:color w:val="E60000" w:themeColor="accent1"/>
      <w:spacing w:val="5"/>
      <w:kern w:val="28"/>
      <w:sz w:val="52"/>
      <w:szCs w:val="52"/>
      <w:lang w:val="en-US"/>
    </w:rPr>
  </w:style>
  <w:style w:type="paragraph" w:styleId="Subtitle">
    <w:name w:val="Subtitle"/>
    <w:basedOn w:val="Normal"/>
    <w:next w:val="Normal"/>
    <w:link w:val="SubtitleChar"/>
    <w:uiPriority w:val="11"/>
    <w:qFormat/>
    <w:rsid w:val="001943CB"/>
    <w:pPr>
      <w:numPr>
        <w:ilvl w:val="1"/>
      </w:numPr>
    </w:pPr>
    <w:rPr>
      <w:rFonts w:asciiTheme="majorHAnsi" w:eastAsiaTheme="majorEastAsia" w:hAnsiTheme="majorHAnsi" w:cstheme="majorBidi"/>
      <w:b/>
      <w:iCs/>
      <w:color w:val="645C54" w:themeColor="text2"/>
      <w:spacing w:val="15"/>
      <w:sz w:val="28"/>
      <w:szCs w:val="24"/>
    </w:rPr>
  </w:style>
  <w:style w:type="character" w:customStyle="1" w:styleId="SubtitleChar">
    <w:name w:val="Subtitle Char"/>
    <w:basedOn w:val="DefaultParagraphFont"/>
    <w:link w:val="Subtitle"/>
    <w:uiPriority w:val="11"/>
    <w:rsid w:val="001943CB"/>
    <w:rPr>
      <w:rFonts w:asciiTheme="majorHAnsi" w:eastAsiaTheme="majorEastAsia" w:hAnsiTheme="majorHAnsi" w:cstheme="majorBidi"/>
      <w:b/>
      <w:iCs/>
      <w:color w:val="645C54" w:themeColor="text2"/>
      <w:spacing w:val="15"/>
      <w:kern w:val="22"/>
      <w:sz w:val="28"/>
      <w:szCs w:val="24"/>
      <w14:cntxtAlts/>
    </w:rPr>
  </w:style>
  <w:style w:type="paragraph" w:styleId="NoSpacing">
    <w:name w:val="No Spacing"/>
    <w:basedOn w:val="Normal"/>
    <w:uiPriority w:val="1"/>
    <w:qFormat/>
    <w:rsid w:val="00A474D9"/>
    <w:pPr>
      <w:spacing w:after="0" w:line="240" w:lineRule="auto"/>
    </w:pPr>
    <w:rPr>
      <w:lang w:eastAsia="en-GB"/>
    </w:rPr>
  </w:style>
  <w:style w:type="paragraph" w:styleId="ListParagraph">
    <w:name w:val="List Paragraph"/>
    <w:basedOn w:val="Normal"/>
    <w:uiPriority w:val="34"/>
    <w:qFormat/>
    <w:rsid w:val="00A474D9"/>
    <w:pPr>
      <w:ind w:left="720"/>
      <w:contextualSpacing/>
    </w:pPr>
  </w:style>
  <w:style w:type="character" w:customStyle="1" w:styleId="Heading3Char">
    <w:name w:val="Heading 3 Char"/>
    <w:basedOn w:val="DefaultParagraphFont"/>
    <w:link w:val="Heading3"/>
    <w:uiPriority w:val="9"/>
    <w:semiHidden/>
    <w:rsid w:val="00A474D9"/>
    <w:rPr>
      <w:rFonts w:asciiTheme="majorHAnsi" w:eastAsiaTheme="majorEastAsia" w:hAnsiTheme="majorHAnsi" w:cstheme="majorBidi"/>
      <w:color w:val="720000" w:themeColor="accent1" w:themeShade="7F"/>
      <w:sz w:val="24"/>
      <w:szCs w:val="24"/>
      <w:lang w:val="en-US"/>
    </w:rPr>
  </w:style>
  <w:style w:type="character" w:customStyle="1" w:styleId="Heading4Char">
    <w:name w:val="Heading 4 Char"/>
    <w:basedOn w:val="DefaultParagraphFont"/>
    <w:link w:val="Heading4"/>
    <w:uiPriority w:val="9"/>
    <w:rsid w:val="00A474D9"/>
    <w:rPr>
      <w:rFonts w:asciiTheme="majorHAnsi" w:eastAsiaTheme="majorEastAsia" w:hAnsiTheme="majorHAnsi" w:cstheme="majorBidi"/>
      <w:i/>
      <w:iCs/>
      <w:color w:val="AC0000" w:themeColor="accent1" w:themeShade="BF"/>
      <w:lang w:val="en-US"/>
    </w:rPr>
  </w:style>
  <w:style w:type="paragraph" w:styleId="Caption">
    <w:name w:val="caption"/>
    <w:basedOn w:val="Normal"/>
    <w:next w:val="Normal"/>
    <w:uiPriority w:val="35"/>
    <w:unhideWhenUsed/>
    <w:qFormat/>
    <w:rsid w:val="000F712B"/>
    <w:pPr>
      <w:spacing w:line="240" w:lineRule="auto"/>
    </w:pPr>
    <w:rPr>
      <w:i/>
      <w:iCs/>
      <w:color w:val="645C54" w:themeColor="text2"/>
      <w:sz w:val="18"/>
      <w:szCs w:val="18"/>
    </w:rPr>
  </w:style>
  <w:style w:type="table" w:styleId="TableGrid">
    <w:name w:val="Table Grid"/>
    <w:basedOn w:val="TableNormal"/>
    <w:uiPriority w:val="59"/>
    <w:rsid w:val="00DF7F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5275E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275E8"/>
    <w:rPr>
      <w:rFonts w:eastAsia="Calibri" w:cs="Times New Roman"/>
      <w:sz w:val="20"/>
      <w:szCs w:val="20"/>
    </w:rPr>
  </w:style>
  <w:style w:type="character" w:styleId="EndnoteReference">
    <w:name w:val="endnote reference"/>
    <w:basedOn w:val="DefaultParagraphFont"/>
    <w:uiPriority w:val="99"/>
    <w:semiHidden/>
    <w:unhideWhenUsed/>
    <w:rsid w:val="005275E8"/>
    <w:rPr>
      <w:vertAlign w:val="superscript"/>
    </w:rPr>
  </w:style>
  <w:style w:type="paragraph" w:customStyle="1" w:styleId="author">
    <w:name w:val="author"/>
    <w:basedOn w:val="Normal"/>
    <w:rsid w:val="000F23B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ng-scope">
    <w:name w:val="ng-scope"/>
    <w:basedOn w:val="DefaultParagraphFont"/>
    <w:rsid w:val="000F23BB"/>
  </w:style>
  <w:style w:type="character" w:styleId="Hyperlink">
    <w:name w:val="Hyperlink"/>
    <w:basedOn w:val="DefaultParagraphFont"/>
    <w:uiPriority w:val="99"/>
    <w:semiHidden/>
    <w:unhideWhenUsed/>
    <w:rsid w:val="000F23BB"/>
    <w:rPr>
      <w:color w:val="0000FF"/>
      <w:u w:val="single"/>
    </w:rPr>
  </w:style>
  <w:style w:type="character" w:customStyle="1" w:styleId="ng-binding">
    <w:name w:val="ng-binding"/>
    <w:basedOn w:val="DefaultParagraphFont"/>
    <w:rsid w:val="000F23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27397">
      <w:bodyDiv w:val="1"/>
      <w:marLeft w:val="0"/>
      <w:marRight w:val="0"/>
      <w:marTop w:val="0"/>
      <w:marBottom w:val="0"/>
      <w:divBdr>
        <w:top w:val="none" w:sz="0" w:space="0" w:color="auto"/>
        <w:left w:val="none" w:sz="0" w:space="0" w:color="auto"/>
        <w:bottom w:val="none" w:sz="0" w:space="0" w:color="auto"/>
        <w:right w:val="none" w:sz="0" w:space="0" w:color="auto"/>
      </w:divBdr>
      <w:divsChild>
        <w:div w:id="2109425782">
          <w:marLeft w:val="0"/>
          <w:marRight w:val="0"/>
          <w:marTop w:val="0"/>
          <w:marBottom w:val="0"/>
          <w:divBdr>
            <w:top w:val="none" w:sz="0" w:space="0" w:color="auto"/>
            <w:left w:val="none" w:sz="0" w:space="0" w:color="auto"/>
            <w:bottom w:val="none" w:sz="0" w:space="0" w:color="auto"/>
            <w:right w:val="none" w:sz="0" w:space="0" w:color="auto"/>
          </w:divBdr>
          <w:divsChild>
            <w:div w:id="1737126109">
              <w:marLeft w:val="0"/>
              <w:marRight w:val="0"/>
              <w:marTop w:val="0"/>
              <w:marBottom w:val="0"/>
              <w:divBdr>
                <w:top w:val="none" w:sz="0" w:space="0" w:color="auto"/>
                <w:left w:val="none" w:sz="0" w:space="0" w:color="auto"/>
                <w:bottom w:val="none" w:sz="0" w:space="0" w:color="auto"/>
                <w:right w:val="none" w:sz="0" w:space="0" w:color="auto"/>
              </w:divBdr>
              <w:divsChild>
                <w:div w:id="1039401333">
                  <w:marLeft w:val="0"/>
                  <w:marRight w:val="0"/>
                  <w:marTop w:val="0"/>
                  <w:marBottom w:val="0"/>
                  <w:divBdr>
                    <w:top w:val="none" w:sz="0" w:space="0" w:color="auto"/>
                    <w:left w:val="none" w:sz="0" w:space="0" w:color="auto"/>
                    <w:bottom w:val="none" w:sz="0" w:space="0" w:color="auto"/>
                    <w:right w:val="none" w:sz="0" w:space="0" w:color="auto"/>
                  </w:divBdr>
                  <w:divsChild>
                    <w:div w:id="413628289">
                      <w:marLeft w:val="0"/>
                      <w:marRight w:val="0"/>
                      <w:marTop w:val="0"/>
                      <w:marBottom w:val="0"/>
                      <w:divBdr>
                        <w:top w:val="none" w:sz="0" w:space="0" w:color="auto"/>
                        <w:left w:val="none" w:sz="0" w:space="0" w:color="auto"/>
                        <w:bottom w:val="none" w:sz="0" w:space="0" w:color="auto"/>
                        <w:right w:val="none" w:sz="0" w:space="0" w:color="auto"/>
                      </w:divBdr>
                      <w:divsChild>
                        <w:div w:id="2120639862">
                          <w:marLeft w:val="0"/>
                          <w:marRight w:val="0"/>
                          <w:marTop w:val="0"/>
                          <w:marBottom w:val="0"/>
                          <w:divBdr>
                            <w:top w:val="none" w:sz="0" w:space="0" w:color="auto"/>
                            <w:left w:val="none" w:sz="0" w:space="0" w:color="auto"/>
                            <w:bottom w:val="none" w:sz="0" w:space="0" w:color="auto"/>
                            <w:right w:val="none" w:sz="0" w:space="0" w:color="auto"/>
                          </w:divBdr>
                          <w:divsChild>
                            <w:div w:id="1458331341">
                              <w:marLeft w:val="0"/>
                              <w:marRight w:val="0"/>
                              <w:marTop w:val="0"/>
                              <w:marBottom w:val="0"/>
                              <w:divBdr>
                                <w:top w:val="none" w:sz="0" w:space="0" w:color="auto"/>
                                <w:left w:val="none" w:sz="0" w:space="0" w:color="auto"/>
                                <w:bottom w:val="none" w:sz="0" w:space="0" w:color="auto"/>
                                <w:right w:val="none" w:sz="0" w:space="0" w:color="auto"/>
                              </w:divBdr>
                              <w:divsChild>
                                <w:div w:id="1095901055">
                                  <w:marLeft w:val="0"/>
                                  <w:marRight w:val="0"/>
                                  <w:marTop w:val="0"/>
                                  <w:marBottom w:val="0"/>
                                  <w:divBdr>
                                    <w:top w:val="none" w:sz="0" w:space="0" w:color="auto"/>
                                    <w:left w:val="none" w:sz="0" w:space="0" w:color="auto"/>
                                    <w:bottom w:val="none" w:sz="0" w:space="0" w:color="auto"/>
                                    <w:right w:val="none" w:sz="0" w:space="0" w:color="auto"/>
                                  </w:divBdr>
                                  <w:divsChild>
                                    <w:div w:id="222061263">
                                      <w:marLeft w:val="0"/>
                                      <w:marRight w:val="0"/>
                                      <w:marTop w:val="0"/>
                                      <w:marBottom w:val="0"/>
                                      <w:divBdr>
                                        <w:top w:val="none" w:sz="0" w:space="0" w:color="auto"/>
                                        <w:left w:val="none" w:sz="0" w:space="0" w:color="auto"/>
                                        <w:bottom w:val="none" w:sz="0" w:space="0" w:color="auto"/>
                                        <w:right w:val="none" w:sz="0" w:space="0" w:color="auto"/>
                                      </w:divBdr>
                                      <w:divsChild>
                                        <w:div w:id="43455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5325590">
      <w:bodyDiv w:val="1"/>
      <w:marLeft w:val="0"/>
      <w:marRight w:val="0"/>
      <w:marTop w:val="0"/>
      <w:marBottom w:val="0"/>
      <w:divBdr>
        <w:top w:val="none" w:sz="0" w:space="0" w:color="auto"/>
        <w:left w:val="none" w:sz="0" w:space="0" w:color="auto"/>
        <w:bottom w:val="none" w:sz="0" w:space="0" w:color="auto"/>
        <w:right w:val="none" w:sz="0" w:space="0" w:color="auto"/>
      </w:divBdr>
      <w:divsChild>
        <w:div w:id="1364793442">
          <w:marLeft w:val="0"/>
          <w:marRight w:val="0"/>
          <w:marTop w:val="0"/>
          <w:marBottom w:val="0"/>
          <w:divBdr>
            <w:top w:val="none" w:sz="0" w:space="0" w:color="auto"/>
            <w:left w:val="none" w:sz="0" w:space="0" w:color="auto"/>
            <w:bottom w:val="none" w:sz="0" w:space="0" w:color="auto"/>
            <w:right w:val="none" w:sz="0" w:space="0" w:color="auto"/>
          </w:divBdr>
          <w:divsChild>
            <w:div w:id="2094280923">
              <w:marLeft w:val="0"/>
              <w:marRight w:val="0"/>
              <w:marTop w:val="0"/>
              <w:marBottom w:val="0"/>
              <w:divBdr>
                <w:top w:val="none" w:sz="0" w:space="0" w:color="auto"/>
                <w:left w:val="none" w:sz="0" w:space="0" w:color="auto"/>
                <w:bottom w:val="none" w:sz="0" w:space="0" w:color="auto"/>
                <w:right w:val="none" w:sz="0" w:space="0" w:color="auto"/>
              </w:divBdr>
              <w:divsChild>
                <w:div w:id="1816723579">
                  <w:marLeft w:val="0"/>
                  <w:marRight w:val="0"/>
                  <w:marTop w:val="0"/>
                  <w:marBottom w:val="0"/>
                  <w:divBdr>
                    <w:top w:val="none" w:sz="0" w:space="0" w:color="auto"/>
                    <w:left w:val="none" w:sz="0" w:space="0" w:color="auto"/>
                    <w:bottom w:val="none" w:sz="0" w:space="0" w:color="auto"/>
                    <w:right w:val="none" w:sz="0" w:space="0" w:color="auto"/>
                  </w:divBdr>
                  <w:divsChild>
                    <w:div w:id="520435485">
                      <w:marLeft w:val="0"/>
                      <w:marRight w:val="0"/>
                      <w:marTop w:val="0"/>
                      <w:marBottom w:val="0"/>
                      <w:divBdr>
                        <w:top w:val="none" w:sz="0" w:space="0" w:color="auto"/>
                        <w:left w:val="none" w:sz="0" w:space="0" w:color="auto"/>
                        <w:bottom w:val="none" w:sz="0" w:space="0" w:color="auto"/>
                        <w:right w:val="none" w:sz="0" w:space="0" w:color="auto"/>
                      </w:divBdr>
                      <w:divsChild>
                        <w:div w:id="323824630">
                          <w:marLeft w:val="0"/>
                          <w:marRight w:val="0"/>
                          <w:marTop w:val="0"/>
                          <w:marBottom w:val="0"/>
                          <w:divBdr>
                            <w:top w:val="none" w:sz="0" w:space="0" w:color="auto"/>
                            <w:left w:val="none" w:sz="0" w:space="0" w:color="auto"/>
                            <w:bottom w:val="none" w:sz="0" w:space="0" w:color="auto"/>
                            <w:right w:val="none" w:sz="0" w:space="0" w:color="auto"/>
                          </w:divBdr>
                          <w:divsChild>
                            <w:div w:id="92822518">
                              <w:marLeft w:val="0"/>
                              <w:marRight w:val="0"/>
                              <w:marTop w:val="0"/>
                              <w:marBottom w:val="0"/>
                              <w:divBdr>
                                <w:top w:val="none" w:sz="0" w:space="0" w:color="auto"/>
                                <w:left w:val="none" w:sz="0" w:space="0" w:color="auto"/>
                                <w:bottom w:val="none" w:sz="0" w:space="0" w:color="auto"/>
                                <w:right w:val="none" w:sz="0" w:space="0" w:color="auto"/>
                              </w:divBdr>
                              <w:divsChild>
                                <w:div w:id="1528446794">
                                  <w:marLeft w:val="0"/>
                                  <w:marRight w:val="0"/>
                                  <w:marTop w:val="0"/>
                                  <w:marBottom w:val="0"/>
                                  <w:divBdr>
                                    <w:top w:val="none" w:sz="0" w:space="0" w:color="auto"/>
                                    <w:left w:val="none" w:sz="0" w:space="0" w:color="auto"/>
                                    <w:bottom w:val="none" w:sz="0" w:space="0" w:color="auto"/>
                                    <w:right w:val="none" w:sz="0" w:space="0" w:color="auto"/>
                                  </w:divBdr>
                                  <w:divsChild>
                                    <w:div w:id="594557925">
                                      <w:marLeft w:val="0"/>
                                      <w:marRight w:val="0"/>
                                      <w:marTop w:val="0"/>
                                      <w:marBottom w:val="0"/>
                                      <w:divBdr>
                                        <w:top w:val="none" w:sz="0" w:space="0" w:color="auto"/>
                                        <w:left w:val="none" w:sz="0" w:space="0" w:color="auto"/>
                                        <w:bottom w:val="none" w:sz="0" w:space="0" w:color="auto"/>
                                        <w:right w:val="none" w:sz="0" w:space="0" w:color="auto"/>
                                      </w:divBdr>
                                      <w:divsChild>
                                        <w:div w:id="27877280">
                                          <w:marLeft w:val="0"/>
                                          <w:marRight w:val="0"/>
                                          <w:marTop w:val="0"/>
                                          <w:marBottom w:val="0"/>
                                          <w:divBdr>
                                            <w:top w:val="none" w:sz="0" w:space="0" w:color="auto"/>
                                            <w:left w:val="none" w:sz="0" w:space="0" w:color="auto"/>
                                            <w:bottom w:val="none" w:sz="0" w:space="0" w:color="auto"/>
                                            <w:right w:val="none" w:sz="0" w:space="0" w:color="auto"/>
                                          </w:divBdr>
                                          <w:divsChild>
                                            <w:div w:id="741833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11655920">
      <w:bodyDiv w:val="1"/>
      <w:marLeft w:val="0"/>
      <w:marRight w:val="0"/>
      <w:marTop w:val="0"/>
      <w:marBottom w:val="0"/>
      <w:divBdr>
        <w:top w:val="none" w:sz="0" w:space="0" w:color="auto"/>
        <w:left w:val="none" w:sz="0" w:space="0" w:color="auto"/>
        <w:bottom w:val="none" w:sz="0" w:space="0" w:color="auto"/>
        <w:right w:val="none" w:sz="0" w:space="0" w:color="auto"/>
      </w:divBdr>
    </w:div>
    <w:div w:id="895626162">
      <w:bodyDiv w:val="1"/>
      <w:marLeft w:val="0"/>
      <w:marRight w:val="0"/>
      <w:marTop w:val="0"/>
      <w:marBottom w:val="0"/>
      <w:divBdr>
        <w:top w:val="none" w:sz="0" w:space="0" w:color="auto"/>
        <w:left w:val="none" w:sz="0" w:space="0" w:color="auto"/>
        <w:bottom w:val="none" w:sz="0" w:space="0" w:color="auto"/>
        <w:right w:val="none" w:sz="0" w:space="0" w:color="auto"/>
      </w:divBdr>
    </w:div>
    <w:div w:id="1373387976">
      <w:bodyDiv w:val="1"/>
      <w:marLeft w:val="0"/>
      <w:marRight w:val="0"/>
      <w:marTop w:val="0"/>
      <w:marBottom w:val="0"/>
      <w:divBdr>
        <w:top w:val="none" w:sz="0" w:space="0" w:color="auto"/>
        <w:left w:val="none" w:sz="0" w:space="0" w:color="auto"/>
        <w:bottom w:val="none" w:sz="0" w:space="0" w:color="auto"/>
        <w:right w:val="none" w:sz="0" w:space="0" w:color="auto"/>
      </w:divBdr>
    </w:div>
    <w:div w:id="1445230298">
      <w:bodyDiv w:val="1"/>
      <w:marLeft w:val="0"/>
      <w:marRight w:val="0"/>
      <w:marTop w:val="0"/>
      <w:marBottom w:val="0"/>
      <w:divBdr>
        <w:top w:val="none" w:sz="0" w:space="0" w:color="auto"/>
        <w:left w:val="none" w:sz="0" w:space="0" w:color="auto"/>
        <w:bottom w:val="none" w:sz="0" w:space="0" w:color="auto"/>
        <w:right w:val="none" w:sz="0" w:space="0" w:color="auto"/>
      </w:divBdr>
      <w:divsChild>
        <w:div w:id="1756053374">
          <w:marLeft w:val="0"/>
          <w:marRight w:val="0"/>
          <w:marTop w:val="0"/>
          <w:marBottom w:val="0"/>
          <w:divBdr>
            <w:top w:val="none" w:sz="0" w:space="0" w:color="auto"/>
            <w:left w:val="none" w:sz="0" w:space="0" w:color="auto"/>
            <w:bottom w:val="none" w:sz="0" w:space="0" w:color="auto"/>
            <w:right w:val="none" w:sz="0" w:space="0" w:color="auto"/>
          </w:divBdr>
          <w:divsChild>
            <w:div w:id="1444808991">
              <w:marLeft w:val="0"/>
              <w:marRight w:val="0"/>
              <w:marTop w:val="0"/>
              <w:marBottom w:val="0"/>
              <w:divBdr>
                <w:top w:val="none" w:sz="0" w:space="0" w:color="auto"/>
                <w:left w:val="none" w:sz="0" w:space="0" w:color="auto"/>
                <w:bottom w:val="none" w:sz="0" w:space="0" w:color="auto"/>
                <w:right w:val="none" w:sz="0" w:space="0" w:color="auto"/>
              </w:divBdr>
              <w:divsChild>
                <w:div w:id="736318595">
                  <w:marLeft w:val="0"/>
                  <w:marRight w:val="0"/>
                  <w:marTop w:val="0"/>
                  <w:marBottom w:val="0"/>
                  <w:divBdr>
                    <w:top w:val="none" w:sz="0" w:space="0" w:color="auto"/>
                    <w:left w:val="none" w:sz="0" w:space="0" w:color="auto"/>
                    <w:bottom w:val="none" w:sz="0" w:space="0" w:color="auto"/>
                    <w:right w:val="none" w:sz="0" w:space="0" w:color="auto"/>
                  </w:divBdr>
                  <w:divsChild>
                    <w:div w:id="614597350">
                      <w:marLeft w:val="0"/>
                      <w:marRight w:val="0"/>
                      <w:marTop w:val="0"/>
                      <w:marBottom w:val="0"/>
                      <w:divBdr>
                        <w:top w:val="none" w:sz="0" w:space="0" w:color="auto"/>
                        <w:left w:val="none" w:sz="0" w:space="0" w:color="auto"/>
                        <w:bottom w:val="none" w:sz="0" w:space="0" w:color="auto"/>
                        <w:right w:val="none" w:sz="0" w:space="0" w:color="auto"/>
                      </w:divBdr>
                      <w:divsChild>
                        <w:div w:id="1974867630">
                          <w:marLeft w:val="0"/>
                          <w:marRight w:val="0"/>
                          <w:marTop w:val="0"/>
                          <w:marBottom w:val="0"/>
                          <w:divBdr>
                            <w:top w:val="none" w:sz="0" w:space="0" w:color="auto"/>
                            <w:left w:val="none" w:sz="0" w:space="0" w:color="auto"/>
                            <w:bottom w:val="none" w:sz="0" w:space="0" w:color="auto"/>
                            <w:right w:val="none" w:sz="0" w:space="0" w:color="auto"/>
                          </w:divBdr>
                          <w:divsChild>
                            <w:div w:id="633679808">
                              <w:marLeft w:val="0"/>
                              <w:marRight w:val="0"/>
                              <w:marTop w:val="0"/>
                              <w:marBottom w:val="0"/>
                              <w:divBdr>
                                <w:top w:val="none" w:sz="0" w:space="0" w:color="auto"/>
                                <w:left w:val="none" w:sz="0" w:space="0" w:color="auto"/>
                                <w:bottom w:val="none" w:sz="0" w:space="0" w:color="auto"/>
                                <w:right w:val="none" w:sz="0" w:space="0" w:color="auto"/>
                              </w:divBdr>
                              <w:divsChild>
                                <w:div w:id="1415053583">
                                  <w:marLeft w:val="0"/>
                                  <w:marRight w:val="0"/>
                                  <w:marTop w:val="0"/>
                                  <w:marBottom w:val="0"/>
                                  <w:divBdr>
                                    <w:top w:val="none" w:sz="0" w:space="0" w:color="auto"/>
                                    <w:left w:val="none" w:sz="0" w:space="0" w:color="auto"/>
                                    <w:bottom w:val="none" w:sz="0" w:space="0" w:color="auto"/>
                                    <w:right w:val="none" w:sz="0" w:space="0" w:color="auto"/>
                                  </w:divBdr>
                                  <w:divsChild>
                                    <w:div w:id="942423767">
                                      <w:marLeft w:val="0"/>
                                      <w:marRight w:val="0"/>
                                      <w:marTop w:val="0"/>
                                      <w:marBottom w:val="0"/>
                                      <w:divBdr>
                                        <w:top w:val="none" w:sz="0" w:space="0" w:color="auto"/>
                                        <w:left w:val="none" w:sz="0" w:space="0" w:color="auto"/>
                                        <w:bottom w:val="none" w:sz="0" w:space="0" w:color="auto"/>
                                        <w:right w:val="none" w:sz="0" w:space="0" w:color="auto"/>
                                      </w:divBdr>
                                      <w:divsChild>
                                        <w:div w:id="1196843643">
                                          <w:marLeft w:val="0"/>
                                          <w:marRight w:val="0"/>
                                          <w:marTop w:val="0"/>
                                          <w:marBottom w:val="0"/>
                                          <w:divBdr>
                                            <w:top w:val="none" w:sz="0" w:space="0" w:color="auto"/>
                                            <w:left w:val="none" w:sz="0" w:space="0" w:color="auto"/>
                                            <w:bottom w:val="none" w:sz="0" w:space="0" w:color="auto"/>
                                            <w:right w:val="none" w:sz="0" w:space="0" w:color="auto"/>
                                          </w:divBdr>
                                          <w:divsChild>
                                            <w:div w:id="1199396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8850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yperlink" Target="http://ieeexplore.ieee.org/search/searchresult.jsp?searchWithin=%22Authors%22:.QT.Leijia%20Wu.QT.&amp;newsearch=true"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oleObject" Target="embeddings/Microsoft_Visio_2003-2010_Drawing.vsd"/><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ieeexplore.ieee.org/xpl/mostRecentIssue.jsp?punumber=429964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hyperlink" Target="http://ieeexplore.ieee.org/search/searchresult.jsp?searchWithin=%22Authors%22:.QT.Kumbesan%20Sandrasegaran.QT.&amp;newsearch=tru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Vodafone">
      <a:dk1>
        <a:srgbClr val="000000"/>
      </a:dk1>
      <a:lt1>
        <a:srgbClr val="FFFFFF"/>
      </a:lt1>
      <a:dk2>
        <a:srgbClr val="645C54"/>
      </a:dk2>
      <a:lt2>
        <a:srgbClr val="E6E4E2"/>
      </a:lt2>
      <a:accent1>
        <a:srgbClr val="E60000"/>
      </a:accent1>
      <a:accent2>
        <a:srgbClr val="5E2750"/>
      </a:accent2>
      <a:accent3>
        <a:srgbClr val="00B0CA"/>
      </a:accent3>
      <a:accent4>
        <a:srgbClr val="A8B400"/>
      </a:accent4>
      <a:accent5>
        <a:srgbClr val="FECB00"/>
      </a:accent5>
      <a:accent6>
        <a:srgbClr val="EB9700"/>
      </a:accent6>
      <a:hlink>
        <a:srgbClr val="007C92"/>
      </a:hlink>
      <a:folHlink>
        <a:srgbClr val="9C2AA0"/>
      </a:folHlink>
    </a:clrScheme>
    <a:fontScheme name="Vodafone">
      <a:majorFont>
        <a:latin typeface="Vodafone Lt"/>
        <a:ea typeface=""/>
        <a:cs typeface=""/>
      </a:majorFont>
      <a:minorFont>
        <a:latin typeface="Vodafone Rg"/>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A6B75E-603E-47C8-ACCD-C4589D7703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1824</Words>
  <Characters>10397</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12197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2017-03-24T18:05:00Z</dcterms:created>
  <dcterms:modified xsi:type="dcterms:W3CDTF">2017-03-24T18:05:00Z</dcterms:modified>
</cp:coreProperties>
</file>