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ABAD3" w14:textId="3D97B9E9" w:rsidR="008A55FE" w:rsidRPr="00325C57" w:rsidRDefault="008A55FE" w:rsidP="008A55F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325C57">
        <w:rPr>
          <w:b/>
          <w:noProof/>
          <w:sz w:val="24"/>
        </w:rPr>
        <w:t>3GPP TSG-RAN WG3 Meeting #94</w:t>
      </w:r>
      <w:r w:rsidRPr="00325C57">
        <w:rPr>
          <w:b/>
          <w:i/>
          <w:noProof/>
          <w:sz w:val="28"/>
        </w:rPr>
        <w:tab/>
      </w:r>
      <w:r w:rsidR="00024CA4" w:rsidRPr="00024CA4">
        <w:rPr>
          <w:b/>
          <w:noProof/>
          <w:sz w:val="28"/>
          <w:lang w:eastAsia="zh-CN"/>
        </w:rPr>
        <w:t>R3-162989</w:t>
      </w:r>
    </w:p>
    <w:p w14:paraId="700E1714" w14:textId="77777777" w:rsidR="008A55FE" w:rsidRPr="005D7F50" w:rsidRDefault="00B16DB1" w:rsidP="008A55FE">
      <w:pPr>
        <w:spacing w:after="0"/>
        <w:jc w:val="both"/>
        <w:rPr>
          <w:rFonts w:ascii="Arial" w:eastAsia="Batang" w:hAnsi="Arial" w:cs="Arial"/>
          <w:b/>
          <w:sz w:val="24"/>
          <w:szCs w:val="24"/>
          <w:lang w:val="es-ES" w:eastAsia="ja-JP"/>
        </w:rPr>
      </w:pPr>
      <w:r w:rsidRPr="005D7F50">
        <w:rPr>
          <w:rFonts w:ascii="Arial" w:hAnsi="Arial" w:cs="Arial"/>
          <w:b/>
          <w:bCs/>
          <w:sz w:val="24"/>
          <w:lang w:val="es-ES"/>
        </w:rPr>
        <w:t>Reno, Nevada, U</w:t>
      </w:r>
      <w:bookmarkStart w:id="0" w:name="_GoBack"/>
      <w:bookmarkEnd w:id="0"/>
      <w:r w:rsidRPr="005D7F50">
        <w:rPr>
          <w:rFonts w:ascii="Arial" w:hAnsi="Arial" w:cs="Arial"/>
          <w:b/>
          <w:bCs/>
          <w:sz w:val="24"/>
          <w:lang w:val="es-ES"/>
        </w:rPr>
        <w:t xml:space="preserve">SA, 14 – 18, </w:t>
      </w:r>
      <w:proofErr w:type="spellStart"/>
      <w:r w:rsidRPr="005D7F50">
        <w:rPr>
          <w:rFonts w:ascii="Arial" w:hAnsi="Arial" w:cs="Arial"/>
          <w:b/>
          <w:bCs/>
          <w:sz w:val="24"/>
          <w:lang w:val="es-ES"/>
        </w:rPr>
        <w:t>November</w:t>
      </w:r>
      <w:proofErr w:type="spellEnd"/>
      <w:r w:rsidR="008A55FE" w:rsidRPr="005D7F50">
        <w:rPr>
          <w:rFonts w:ascii="Arial" w:hAnsi="Arial" w:cs="Arial"/>
          <w:b/>
          <w:noProof/>
          <w:sz w:val="24"/>
          <w:szCs w:val="24"/>
          <w:lang w:val="es-ES"/>
        </w:rPr>
        <w:t>,</w:t>
      </w:r>
      <w:r w:rsidR="008A55FE" w:rsidRPr="005D7F50">
        <w:rPr>
          <w:rFonts w:ascii="Arial" w:eastAsia="Batang" w:hAnsi="Arial" w:cs="Arial"/>
          <w:b/>
          <w:sz w:val="24"/>
          <w:szCs w:val="24"/>
          <w:lang w:val="es-ES" w:eastAsia="ja-JP"/>
        </w:rPr>
        <w:t xml:space="preserve"> 2016</w:t>
      </w:r>
    </w:p>
    <w:p w14:paraId="67983FB7" w14:textId="77777777" w:rsidR="008A55FE" w:rsidRPr="005D7F50" w:rsidRDefault="008A55FE" w:rsidP="008A55FE">
      <w:pPr>
        <w:pStyle w:val="3GPPHeader"/>
        <w:jc w:val="both"/>
        <w:rPr>
          <w:rFonts w:ascii="Arial" w:hAnsi="Arial" w:cs="Arial"/>
          <w:lang w:val="es-ES"/>
        </w:rPr>
      </w:pPr>
    </w:p>
    <w:p w14:paraId="56D14D95" w14:textId="10457608" w:rsidR="008A55FE" w:rsidRPr="00BA48F9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  <w:lang w:val="es-ES"/>
        </w:rPr>
      </w:pPr>
      <w:r w:rsidRPr="005D7F50">
        <w:rPr>
          <w:rFonts w:ascii="Arial" w:hAnsi="Arial"/>
          <w:b/>
          <w:sz w:val="24"/>
          <w:lang w:val="es-ES"/>
        </w:rPr>
        <w:t xml:space="preserve">Agenda </w:t>
      </w:r>
      <w:proofErr w:type="spellStart"/>
      <w:r w:rsidRPr="005D7F50">
        <w:rPr>
          <w:rFonts w:ascii="Arial" w:hAnsi="Arial"/>
          <w:b/>
          <w:sz w:val="24"/>
          <w:lang w:val="es-ES"/>
        </w:rPr>
        <w:t>Item</w:t>
      </w:r>
      <w:proofErr w:type="spellEnd"/>
      <w:r w:rsidRPr="005D7F50">
        <w:rPr>
          <w:rFonts w:ascii="Arial" w:hAnsi="Arial"/>
          <w:b/>
          <w:sz w:val="24"/>
          <w:lang w:val="es-ES"/>
        </w:rPr>
        <w:t>:</w:t>
      </w:r>
      <w:r w:rsidRPr="005D7F50">
        <w:rPr>
          <w:rFonts w:ascii="Arial" w:hAnsi="Arial"/>
          <w:b/>
          <w:sz w:val="24"/>
          <w:lang w:val="es-ES"/>
        </w:rPr>
        <w:tab/>
      </w:r>
      <w:r w:rsidR="00B16DB1" w:rsidRPr="005D7F50">
        <w:rPr>
          <w:rFonts w:ascii="Arial" w:hAnsi="Arial"/>
          <w:b/>
          <w:sz w:val="24"/>
          <w:lang w:val="es-ES"/>
        </w:rPr>
        <w:t xml:space="preserve">   </w:t>
      </w:r>
      <w:r w:rsidRPr="005D7F50">
        <w:rPr>
          <w:rFonts w:ascii="Arial" w:hAnsi="Arial"/>
          <w:b/>
          <w:sz w:val="24"/>
          <w:lang w:val="es-ES"/>
        </w:rPr>
        <w:t>10.</w:t>
      </w:r>
      <w:r w:rsidR="00BA48F9">
        <w:rPr>
          <w:rFonts w:ascii="Arial" w:hAnsi="Arial"/>
          <w:b/>
          <w:sz w:val="24"/>
          <w:lang w:val="es-ES"/>
        </w:rPr>
        <w:t>7</w:t>
      </w:r>
      <w:r w:rsidR="00B16DB1" w:rsidRPr="005D7F50">
        <w:rPr>
          <w:rFonts w:ascii="Arial" w:hAnsi="Arial"/>
          <w:b/>
          <w:sz w:val="24"/>
          <w:lang w:val="es-ES"/>
        </w:rPr>
        <w:t>.</w:t>
      </w:r>
      <w:r w:rsidR="00BA48F9" w:rsidRPr="00BA48F9">
        <w:rPr>
          <w:rFonts w:ascii="Arial" w:hAnsi="Arial"/>
          <w:b/>
          <w:sz w:val="24"/>
          <w:lang w:val="es-ES"/>
        </w:rPr>
        <w:t>1</w:t>
      </w:r>
    </w:p>
    <w:p w14:paraId="369A41DE" w14:textId="25DFD846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E858F0" w:rsidRPr="00325C57">
        <w:rPr>
          <w:rFonts w:ascii="Arial" w:hAnsi="Arial" w:cs="Arial"/>
          <w:b/>
          <w:bCs/>
          <w:noProof/>
          <w:sz w:val="24"/>
        </w:rPr>
        <w:t>Ericsson</w:t>
      </w:r>
    </w:p>
    <w:p w14:paraId="56DDBB56" w14:textId="0BB188A6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BD670B">
        <w:rPr>
          <w:rFonts w:ascii="Arial" w:hAnsi="Arial" w:cs="Arial"/>
          <w:b/>
          <w:sz w:val="24"/>
        </w:rPr>
        <w:t>Possible realisation of Option 2</w:t>
      </w:r>
    </w:p>
    <w:p w14:paraId="1368BC58" w14:textId="77777777" w:rsidR="008A55FE" w:rsidRPr="00325C57" w:rsidRDefault="008A55FE" w:rsidP="008A55FE">
      <w:pPr>
        <w:jc w:val="both"/>
        <w:rPr>
          <w:rFonts w:ascii="Arial" w:hAnsi="Arial" w:cs="Arial"/>
          <w:b/>
          <w:sz w:val="24"/>
        </w:rPr>
      </w:pPr>
      <w:r w:rsidRPr="00325C57">
        <w:rPr>
          <w:rFonts w:ascii="Arial" w:hAnsi="Arial" w:cs="Arial"/>
          <w:b/>
          <w:sz w:val="24"/>
        </w:rPr>
        <w:t>Document for:</w:t>
      </w:r>
      <w:r w:rsidRPr="00325C57">
        <w:rPr>
          <w:rFonts w:ascii="Arial" w:hAnsi="Arial" w:cs="Arial"/>
          <w:sz w:val="24"/>
        </w:rPr>
        <w:tab/>
      </w:r>
      <w:bookmarkStart w:id="1" w:name="DocumentFor"/>
      <w:bookmarkEnd w:id="1"/>
      <w:r w:rsidR="00B16DB1" w:rsidRPr="00325C5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667BA3F7" w14:textId="2188E728" w:rsidR="00230B3B" w:rsidRDefault="00325C57" w:rsidP="00612ED0">
      <w:pPr>
        <w:jc w:val="both"/>
      </w:pPr>
      <w:r>
        <w:t>Durin</w:t>
      </w:r>
      <w:r w:rsidR="00E14156">
        <w:t>g the last RAN3 meeting Option 2</w:t>
      </w:r>
      <w:r>
        <w:t xml:space="preserve"> was discussed as part of RAN protocol split architecture discussions. </w:t>
      </w:r>
    </w:p>
    <w:p w14:paraId="4E4B0652" w14:textId="4BC58016" w:rsidR="00325C57" w:rsidRDefault="00E14156" w:rsidP="00612ED0">
      <w:pPr>
        <w:jc w:val="both"/>
      </w:pPr>
      <w:r>
        <w:t>Option 2</w:t>
      </w:r>
      <w:r w:rsidR="00325C57">
        <w:t xml:space="preserve"> is described so far as follows:</w:t>
      </w:r>
    </w:p>
    <w:p w14:paraId="681C9451" w14:textId="77777777" w:rsidR="00E14156" w:rsidRPr="00E14156" w:rsidRDefault="00E14156" w:rsidP="00E14156">
      <w:pPr>
        <w:rPr>
          <w:b/>
          <w:i/>
        </w:rPr>
      </w:pPr>
      <w:r w:rsidRPr="00E14156">
        <w:rPr>
          <w:i/>
          <w:u w:val="single"/>
        </w:rPr>
        <w:t>Description</w:t>
      </w:r>
      <w:r w:rsidRPr="00E14156">
        <w:rPr>
          <w:i/>
        </w:rPr>
        <w:t>:  In this split option, RRC, PDCP are in the central unit. RLC, MAC, physical layer</w:t>
      </w:r>
      <w:r w:rsidRPr="00E14156">
        <w:rPr>
          <w:i/>
          <w:lang w:eastAsia="ja-JP"/>
        </w:rPr>
        <w:t xml:space="preserve"> and</w:t>
      </w:r>
      <w:r w:rsidRPr="00E14156">
        <w:rPr>
          <w:i/>
        </w:rPr>
        <w:t xml:space="preserve"> RF are in the distributed unit.  </w:t>
      </w:r>
    </w:p>
    <w:p w14:paraId="2B72E408" w14:textId="77777777" w:rsidR="00E14156" w:rsidRPr="00E14156" w:rsidRDefault="00E14156" w:rsidP="00E14156">
      <w:pPr>
        <w:rPr>
          <w:i/>
        </w:rPr>
      </w:pPr>
      <w:r w:rsidRPr="00E14156">
        <w:rPr>
          <w:i/>
          <w:u w:val="single"/>
        </w:rPr>
        <w:t>Benefits and Justification</w:t>
      </w:r>
      <w:r w:rsidRPr="00E14156">
        <w:rPr>
          <w:i/>
        </w:rPr>
        <w:t xml:space="preserve">: This option will allow traffic aggregation from NR and </w:t>
      </w:r>
      <w:r w:rsidRPr="00E14156">
        <w:rPr>
          <w:rFonts w:hint="eastAsia"/>
          <w:i/>
          <w:lang w:eastAsia="ja-JP"/>
        </w:rPr>
        <w:t>E-UTRA</w:t>
      </w:r>
      <w:r w:rsidRPr="00E14156">
        <w:rPr>
          <w:i/>
        </w:rPr>
        <w:t xml:space="preserve"> transmission points to be centralized.  Additionally, it can facilitate the management of traffic load between NR and </w:t>
      </w:r>
      <w:r w:rsidRPr="00E14156">
        <w:rPr>
          <w:rFonts w:hint="eastAsia"/>
          <w:i/>
          <w:lang w:eastAsia="ja-JP"/>
        </w:rPr>
        <w:t>E-UTRA</w:t>
      </w:r>
      <w:r w:rsidRPr="00E14156">
        <w:rPr>
          <w:i/>
        </w:rPr>
        <w:t xml:space="preserve"> transmission points.   Fundamentals for achieving a PDCP-RLC split have already been standardized for LTE Dual Connectivity, alternative 3C. </w:t>
      </w:r>
      <w:proofErr w:type="gramStart"/>
      <w:r w:rsidRPr="00E14156">
        <w:rPr>
          <w:i/>
        </w:rPr>
        <w:t>Therefore</w:t>
      </w:r>
      <w:proofErr w:type="gramEnd"/>
      <w:r w:rsidRPr="00E14156">
        <w:rPr>
          <w:i/>
        </w:rPr>
        <w:t xml:space="preserve"> this split option should be the most straightforward option to standardize and the incremental effort required to standardize it should be relatively small.   </w:t>
      </w:r>
    </w:p>
    <w:p w14:paraId="3890333A" w14:textId="77777777" w:rsidR="00325C57" w:rsidRPr="00E14156" w:rsidRDefault="00325C57" w:rsidP="00612ED0">
      <w:pPr>
        <w:jc w:val="both"/>
      </w:pPr>
    </w:p>
    <w:p w14:paraId="304E267B" w14:textId="414B97F2" w:rsidR="00230B3B" w:rsidRDefault="00E14156" w:rsidP="00612ED0">
      <w:pPr>
        <w:jc w:val="both"/>
      </w:pPr>
      <w:r>
        <w:t>The way this option has been described does not make all its properties clear. In particular, the fact that emphasis is placed on t</w:t>
      </w:r>
      <w:r w:rsidR="00BD670B">
        <w:t>h</w:t>
      </w:r>
      <w:r>
        <w:t xml:space="preserve">e CP stack does not bring to light what the </w:t>
      </w:r>
      <w:r w:rsidR="00462EDC">
        <w:t>possibilities</w:t>
      </w:r>
      <w:r>
        <w:t xml:space="preserve"> on the UP stack are. </w:t>
      </w:r>
    </w:p>
    <w:p w14:paraId="117D8E89" w14:textId="6B8AB14A" w:rsidR="00325C57" w:rsidRPr="00325C57" w:rsidRDefault="00325C57" w:rsidP="00612ED0">
      <w:pPr>
        <w:jc w:val="both"/>
      </w:pPr>
      <w:r>
        <w:t xml:space="preserve">In this paper </w:t>
      </w:r>
      <w:r w:rsidR="00E14156">
        <w:t>a clarification of the characteristics in Option 2 is provided</w:t>
      </w:r>
      <w:r>
        <w:t>.</w:t>
      </w:r>
    </w:p>
    <w:p w14:paraId="0D6253DE" w14:textId="4C52BACB" w:rsidR="00325C57" w:rsidRDefault="00E14156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Clarifications of Option 2 Realisation</w:t>
      </w:r>
    </w:p>
    <w:p w14:paraId="7A83DF65" w14:textId="70489576" w:rsidR="00325C57" w:rsidRDefault="00E14156" w:rsidP="00325C57">
      <w:r>
        <w:t>A simple way in Option 2</w:t>
      </w:r>
      <w:r w:rsidR="00325C57">
        <w:t xml:space="preserve"> to enable a higher level of centralisation for both control protocols and user </w:t>
      </w:r>
      <w:r w:rsidR="005D7F50">
        <w:t>p</w:t>
      </w:r>
      <w:r w:rsidR="00325C57">
        <w:t xml:space="preserve">lane protocols </w:t>
      </w:r>
      <w:r>
        <w:t>would be to combine a PDCP</w:t>
      </w:r>
      <w:r w:rsidR="00E56768">
        <w:t xml:space="preserve"> split at CP level with a PDCP split at UP level</w:t>
      </w:r>
      <w:r>
        <w:t>, where the UP and CP centralised parts do not necessarily reside together</w:t>
      </w:r>
      <w:r w:rsidR="00E56768">
        <w:t>.</w:t>
      </w:r>
    </w:p>
    <w:p w14:paraId="1BB6B6B7" w14:textId="045A4162" w:rsidR="00E56768" w:rsidRDefault="00E56768" w:rsidP="00325C57">
      <w:r>
        <w:t>This could be represented as in the figure below</w:t>
      </w:r>
      <w:r w:rsidR="00E14156">
        <w:t xml:space="preserve"> for Option 2</w:t>
      </w:r>
      <w:r w:rsidR="00462EDC">
        <w:t>-1</w:t>
      </w:r>
      <w:r>
        <w:t>.</w:t>
      </w:r>
    </w:p>
    <w:p w14:paraId="01A1A372" w14:textId="33AAB15A" w:rsidR="00305AC1" w:rsidRDefault="00E14156" w:rsidP="00325C57">
      <w:r>
        <w:object w:dxaOrig="14385" w:dyaOrig="6390" w14:anchorId="1A012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00.25pt" o:ole="">
            <v:imagedata r:id="rId5" o:title=""/>
          </v:shape>
          <o:OLEObject Type="Embed" ProgID="Visio.Drawing.15" ShapeID="_x0000_i1025" DrawAspect="Content" ObjectID="_1539814713" r:id="rId6"/>
        </w:object>
      </w:r>
    </w:p>
    <w:p w14:paraId="46BFB381" w14:textId="219317FA" w:rsidR="00305AC1" w:rsidRDefault="00E14156" w:rsidP="00305AC1">
      <w:r>
        <w:t>Figure 1: Option 2</w:t>
      </w:r>
      <w:r w:rsidR="00462EDC">
        <w:t>-1</w:t>
      </w:r>
      <w:r w:rsidR="00305AC1">
        <w:t xml:space="preserve">, split of </w:t>
      </w:r>
      <w:r>
        <w:t>PDCP</w:t>
      </w:r>
      <w:r w:rsidR="00305AC1">
        <w:t xml:space="preserve"> at CP stack level and PDCP at UP stack level</w:t>
      </w:r>
    </w:p>
    <w:p w14:paraId="1BD97507" w14:textId="435631F5" w:rsidR="00305AC1" w:rsidRDefault="00305AC1" w:rsidP="00325C57"/>
    <w:p w14:paraId="5CC75287" w14:textId="05D93488" w:rsidR="00305AC1" w:rsidRDefault="00305AC1" w:rsidP="00325C57">
      <w:r>
        <w:t>In Figur</w:t>
      </w:r>
      <w:r w:rsidR="00E14156">
        <w:t xml:space="preserve">e 1 it can be seen that the </w:t>
      </w:r>
      <w:r>
        <w:t>PDCP</w:t>
      </w:r>
      <w:r w:rsidR="00E14156">
        <w:t>/RLC</w:t>
      </w:r>
      <w:r w:rsidR="00692262">
        <w:t xml:space="preserve"> split of Option 2</w:t>
      </w:r>
      <w:r>
        <w:t xml:space="preserve"> is kept for th</w:t>
      </w:r>
      <w:r w:rsidR="00692262">
        <w:t>e C</w:t>
      </w:r>
      <w:r>
        <w:t xml:space="preserve">P stack. However, the </w:t>
      </w:r>
      <w:r w:rsidR="00692262">
        <w:t>U</w:t>
      </w:r>
      <w:r>
        <w:t>P stack has been split by separating the PDCP protocol layer from the RLC layer</w:t>
      </w:r>
      <w:r w:rsidR="00692262">
        <w:t xml:space="preserve"> via a separate centralised entity</w:t>
      </w:r>
      <w:r>
        <w:t xml:space="preserve">. </w:t>
      </w:r>
    </w:p>
    <w:p w14:paraId="63D79599" w14:textId="2F18DF3B" w:rsidR="00305AC1" w:rsidRDefault="00305AC1" w:rsidP="00325C57">
      <w:r>
        <w:t>This produces the following benefits:</w:t>
      </w:r>
    </w:p>
    <w:p w14:paraId="68389BC5" w14:textId="76D20F62" w:rsidR="00305AC1" w:rsidRDefault="00305AC1" w:rsidP="00305AC1">
      <w:pPr>
        <w:pStyle w:val="ListParagraph"/>
        <w:numPr>
          <w:ilvl w:val="0"/>
          <w:numId w:val="8"/>
        </w:numPr>
      </w:pPr>
      <w:r>
        <w:t>It enables centralisation of the PDCP layer</w:t>
      </w:r>
      <w:r w:rsidR="00692262">
        <w:t xml:space="preserve"> for UP</w:t>
      </w:r>
      <w:r>
        <w:t>, which is predominantly affected by UP processes and that scales with UP traffic load</w:t>
      </w:r>
    </w:p>
    <w:p w14:paraId="05A4FDCD" w14:textId="51C7CDA2" w:rsidR="00305AC1" w:rsidRDefault="00305AC1" w:rsidP="00305AC1">
      <w:pPr>
        <w:pStyle w:val="ListParagraph"/>
        <w:numPr>
          <w:ilvl w:val="0"/>
          <w:numId w:val="8"/>
        </w:numPr>
      </w:pPr>
      <w:r>
        <w:t>It enables centralisation of the RRC layer, which is predominantly affected by CP processes to handle the UE context and that scales with CP processes</w:t>
      </w:r>
    </w:p>
    <w:p w14:paraId="670AB5BA" w14:textId="09B9EB5C" w:rsidR="00305AC1" w:rsidRDefault="00305AC1" w:rsidP="00305AC1">
      <w:pPr>
        <w:pStyle w:val="ListParagraph"/>
        <w:numPr>
          <w:ilvl w:val="0"/>
          <w:numId w:val="8"/>
        </w:numPr>
      </w:pPr>
      <w:r>
        <w:t>It enables a protocol structures that facilitates DC by allowing traffic aggregation at PDCP level</w:t>
      </w:r>
      <w:r w:rsidR="007B6F01">
        <w:t xml:space="preserve"> and UP traffic forwarding to a decentralised RLC layer.</w:t>
      </w:r>
    </w:p>
    <w:p w14:paraId="4EC03CEC" w14:textId="0C1736B0" w:rsidR="00305AC1" w:rsidRDefault="007B6F01" w:rsidP="00305AC1">
      <w:pPr>
        <w:pStyle w:val="ListParagraph"/>
        <w:numPr>
          <w:ilvl w:val="0"/>
          <w:numId w:val="8"/>
        </w:numPr>
      </w:pPr>
      <w:r>
        <w:t>It enables centralisation of control policies associated to QoS, RRM, Mobility across different DUs</w:t>
      </w:r>
    </w:p>
    <w:p w14:paraId="7199B814" w14:textId="43A8DFDE" w:rsidR="007B6F01" w:rsidRDefault="007B6F01" w:rsidP="00305AC1">
      <w:pPr>
        <w:pStyle w:val="ListParagraph"/>
        <w:numPr>
          <w:ilvl w:val="0"/>
          <w:numId w:val="8"/>
        </w:numPr>
      </w:pPr>
      <w:r>
        <w:t>It enables centralisation of UP traffic handling towards multiple DUs, which facilitates frequency resource aggregation</w:t>
      </w:r>
    </w:p>
    <w:p w14:paraId="40A132CC" w14:textId="36E31D70" w:rsidR="007B6F01" w:rsidRDefault="007B6F01" w:rsidP="007B6F01"/>
    <w:p w14:paraId="41ED2109" w14:textId="49464A16" w:rsidR="007B6F01" w:rsidRDefault="007B6F01" w:rsidP="007B6F01">
      <w:r>
        <w:t>In order to complete the list of options described in TR38.801 it is proposed to include this option’s description in TR38.801.</w:t>
      </w:r>
    </w:p>
    <w:p w14:paraId="28950AC1" w14:textId="78CA6301" w:rsidR="007B6F01" w:rsidRDefault="007B6F01" w:rsidP="007B6F01"/>
    <w:p w14:paraId="074515DA" w14:textId="0A09DF84" w:rsidR="007B6F01" w:rsidRPr="007B6F01" w:rsidRDefault="007B6F01" w:rsidP="007B6F01">
      <w:pPr>
        <w:rPr>
          <w:b/>
        </w:rPr>
      </w:pPr>
      <w:r w:rsidRPr="007B6F01">
        <w:rPr>
          <w:b/>
        </w:rPr>
        <w:t>Proposal: It is proposed to</w:t>
      </w:r>
      <w:r w:rsidR="00692262">
        <w:rPr>
          <w:b/>
        </w:rPr>
        <w:t xml:space="preserve"> add the description of Option 2</w:t>
      </w:r>
      <w:r w:rsidR="00462EDC">
        <w:rPr>
          <w:b/>
        </w:rPr>
        <w:t>-1</w:t>
      </w:r>
      <w:r w:rsidRPr="007B6F01">
        <w:rPr>
          <w:b/>
        </w:rPr>
        <w:t xml:space="preserve"> in TR38.801</w:t>
      </w:r>
    </w:p>
    <w:p w14:paraId="39721B3B" w14:textId="7B33F848" w:rsidR="007B6F01" w:rsidRDefault="007B6F01" w:rsidP="007B6F01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Conclusions</w:t>
      </w:r>
    </w:p>
    <w:p w14:paraId="1FC61ABE" w14:textId="4CEE53F9" w:rsidR="007B6F01" w:rsidRDefault="007B6F01" w:rsidP="007B6F01">
      <w:r>
        <w:t xml:space="preserve">In this paper a new protocol split option derived from Option </w:t>
      </w:r>
      <w:r w:rsidR="00692262">
        <w:t>2</w:t>
      </w:r>
      <w:r>
        <w:t xml:space="preserve"> is described. This option </w:t>
      </w:r>
      <w:r w:rsidR="00692262">
        <w:t xml:space="preserve">clarifies that it is possible to decouple the split in the CP and that in the UP for. This is believed to </w:t>
      </w:r>
      <w:r>
        <w:t>provide improved benefits. The following is proposed:</w:t>
      </w:r>
    </w:p>
    <w:p w14:paraId="34C17C91" w14:textId="1BAC0A6C" w:rsidR="007B6F01" w:rsidRPr="007B6F01" w:rsidRDefault="007B6F01" w:rsidP="007B6F01">
      <w:pPr>
        <w:rPr>
          <w:b/>
        </w:rPr>
      </w:pPr>
      <w:r w:rsidRPr="007B6F01">
        <w:rPr>
          <w:b/>
        </w:rPr>
        <w:t>Proposal: It is proposed to</w:t>
      </w:r>
      <w:r w:rsidR="00692262">
        <w:rPr>
          <w:b/>
        </w:rPr>
        <w:t xml:space="preserve"> add the description of Option 2</w:t>
      </w:r>
      <w:r w:rsidRPr="007B6F01">
        <w:rPr>
          <w:b/>
        </w:rPr>
        <w:t>a in TR38.801</w:t>
      </w:r>
    </w:p>
    <w:p w14:paraId="4126F7CD" w14:textId="1388A434" w:rsidR="0011691A" w:rsidRPr="00325C57" w:rsidRDefault="00692262" w:rsidP="00692262">
      <w:r>
        <w:t>A TP to include Option 2</w:t>
      </w:r>
      <w:r w:rsidR="00462EDC">
        <w:t>-1</w:t>
      </w:r>
      <w:r w:rsidR="007B6F01">
        <w:t xml:space="preserve"> is provided in </w:t>
      </w:r>
      <w:r w:rsidR="00024CA4" w:rsidRPr="00024CA4">
        <w:t>R3-162990</w:t>
      </w:r>
      <w:r w:rsidR="007B6F01">
        <w:t xml:space="preserve"> for agreement.</w:t>
      </w:r>
    </w:p>
    <w:sectPr w:rsidR="0011691A" w:rsidRPr="00325C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25B1"/>
    <w:rsid w:val="00022E1D"/>
    <w:rsid w:val="00023C3D"/>
    <w:rsid w:val="00024CA4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5E97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5B29"/>
    <w:rsid w:val="00461A8E"/>
    <w:rsid w:val="00461CFD"/>
    <w:rsid w:val="0046238A"/>
    <w:rsid w:val="00462EDC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D7F50"/>
    <w:rsid w:val="005E325B"/>
    <w:rsid w:val="005E5F32"/>
    <w:rsid w:val="005E6A73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2262"/>
    <w:rsid w:val="00694572"/>
    <w:rsid w:val="00697536"/>
    <w:rsid w:val="006A0F7A"/>
    <w:rsid w:val="006A44D6"/>
    <w:rsid w:val="006A471C"/>
    <w:rsid w:val="006A4A36"/>
    <w:rsid w:val="006A5BA0"/>
    <w:rsid w:val="006A6AE5"/>
    <w:rsid w:val="006B0F1A"/>
    <w:rsid w:val="006B2070"/>
    <w:rsid w:val="006B21AE"/>
    <w:rsid w:val="006B2658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6599"/>
    <w:rsid w:val="00A57182"/>
    <w:rsid w:val="00A57C71"/>
    <w:rsid w:val="00A64C23"/>
    <w:rsid w:val="00A65951"/>
    <w:rsid w:val="00A66E83"/>
    <w:rsid w:val="00A67867"/>
    <w:rsid w:val="00A7289D"/>
    <w:rsid w:val="00A72C6E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1EFB"/>
    <w:rsid w:val="00B36302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577B"/>
    <w:rsid w:val="00B90CB9"/>
    <w:rsid w:val="00B92970"/>
    <w:rsid w:val="00B94F87"/>
    <w:rsid w:val="00BA07F0"/>
    <w:rsid w:val="00BA2D17"/>
    <w:rsid w:val="00BA4781"/>
    <w:rsid w:val="00BA48F9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70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156"/>
    <w:rsid w:val="00E14B4C"/>
    <w:rsid w:val="00E150E9"/>
    <w:rsid w:val="00E2450C"/>
    <w:rsid w:val="00E25611"/>
    <w:rsid w:val="00E26350"/>
    <w:rsid w:val="00E27B36"/>
    <w:rsid w:val="00E27C13"/>
    <w:rsid w:val="00E30894"/>
    <w:rsid w:val="00E30C02"/>
    <w:rsid w:val="00E30DA3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529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</cp:lastModifiedBy>
  <cp:revision>4</cp:revision>
  <dcterms:created xsi:type="dcterms:W3CDTF">2016-11-04T07:59:00Z</dcterms:created>
  <dcterms:modified xsi:type="dcterms:W3CDTF">2016-11-05T00:32:00Z</dcterms:modified>
</cp:coreProperties>
</file>