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abs>
          <w:tab w:val="right" w:pos="9923"/>
        </w:tabs>
        <w:ind w:right="-7"/>
        <w:rPr>
          <w:rFonts w:hint="default" w:cs="Arial" w:eastAsiaTheme="minorEastAsia"/>
          <w:bCs/>
          <w:i/>
          <w:sz w:val="32"/>
          <w:lang w:val="en-US" w:eastAsia="zh-CN"/>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#12</w:t>
      </w:r>
      <w:r>
        <w:rPr>
          <w:rFonts w:hint="eastAsia" w:cs="Arial"/>
          <w:sz w:val="24"/>
          <w:szCs w:val="24"/>
          <w:lang w:val="en-US" w:eastAsia="zh-CN"/>
        </w:rPr>
        <w:t>8</w:t>
      </w:r>
      <w:r>
        <w:rPr>
          <w:rFonts w:cs="Arial"/>
          <w:bCs/>
          <w:sz w:val="24"/>
        </w:rPr>
        <w:tab/>
      </w:r>
      <w:bookmarkStart w:id="3" w:name="_GoBack"/>
      <w:r>
        <w:rPr>
          <w:rFonts w:hint="eastAsia" w:cs="Arial"/>
          <w:bCs/>
          <w:sz w:val="24"/>
        </w:rPr>
        <w:t>R3-25</w:t>
      </w:r>
      <w:r>
        <w:rPr>
          <w:rFonts w:hint="eastAsia" w:cs="Arial"/>
          <w:bCs/>
          <w:sz w:val="24"/>
          <w:lang w:val="en-US" w:eastAsia="zh-CN"/>
        </w:rPr>
        <w:t>3673</w:t>
      </w:r>
      <w:bookmarkEnd w:id="3"/>
    </w:p>
    <w:bookmarkEnd w:id="0"/>
    <w:p>
      <w:pPr>
        <w:pStyle w:val="36"/>
        <w:rPr>
          <w:rFonts w:cs="Arial"/>
          <w:bCs/>
          <w:sz w:val="24"/>
          <w:lang w:eastAsia="ja-JP"/>
        </w:rPr>
      </w:pPr>
      <w:r>
        <w:rPr>
          <w:rFonts w:cs="Arial"/>
          <w:bCs/>
          <w:sz w:val="24"/>
          <w:lang w:eastAsia="ja-JP"/>
        </w:rPr>
        <w:t xml:space="preserve">St. Julien's, Malta, </w:t>
      </w:r>
      <w:r>
        <w:rPr>
          <w:rFonts w:hint="eastAsia" w:cs="Arial"/>
          <w:bCs/>
          <w:sz w:val="24"/>
          <w:lang w:eastAsia="ja-JP"/>
        </w:rPr>
        <w:t xml:space="preserve">19 </w:t>
      </w:r>
      <w:r>
        <w:rPr>
          <w:rFonts w:cs="Arial"/>
          <w:bCs/>
          <w:sz w:val="24"/>
          <w:lang w:eastAsia="ja-JP"/>
        </w:rPr>
        <w:t>-</w:t>
      </w:r>
      <w:r>
        <w:rPr>
          <w:rFonts w:hint="eastAsia" w:cs="Arial"/>
          <w:bCs/>
          <w:sz w:val="24"/>
          <w:lang w:eastAsia="ja-JP"/>
        </w:rPr>
        <w:t xml:space="preserve"> 23</w:t>
      </w:r>
      <w:r>
        <w:rPr>
          <w:rFonts w:cs="Arial"/>
          <w:bCs/>
          <w:sz w:val="24"/>
          <w:lang w:eastAsia="ja-JP"/>
        </w:rPr>
        <w:t xml:space="preserve"> </w:t>
      </w:r>
      <w:r>
        <w:rPr>
          <w:rFonts w:hint="eastAsia" w:cs="Arial"/>
          <w:bCs/>
          <w:sz w:val="24"/>
          <w:lang w:eastAsia="ja-JP"/>
        </w:rPr>
        <w:t>May,</w:t>
      </w:r>
      <w:r>
        <w:rPr>
          <w:rFonts w:cs="Arial"/>
          <w:bCs/>
          <w:sz w:val="24"/>
          <w:lang w:eastAsia="ja-JP"/>
        </w:rPr>
        <w:t xml:space="preserve"> 2025</w:t>
      </w:r>
    </w:p>
    <w:p>
      <w:pPr>
        <w:pStyle w:val="36"/>
        <w:rPr>
          <w:rFonts w:cs="Arial"/>
          <w:bCs/>
          <w:sz w:val="24"/>
          <w:lang w:eastAsia="ja-JP"/>
        </w:rPr>
      </w:pPr>
    </w:p>
    <w:p>
      <w:pPr>
        <w:pStyle w:val="36"/>
        <w:rPr>
          <w:rFonts w:cs="Arial"/>
          <w:bCs/>
          <w:sz w:val="24"/>
          <w:lang w:eastAsia="ja-JP"/>
        </w:rPr>
      </w:pPr>
    </w:p>
    <w:p>
      <w:pPr>
        <w:pStyle w:val="91"/>
        <w:ind w:left="1985" w:hanging="1985"/>
        <w:rPr>
          <w:lang w:eastAsia="ja-JP"/>
        </w:rPr>
      </w:pPr>
      <w:r>
        <w:t>Title:</w:t>
      </w:r>
      <w:r>
        <w:tab/>
      </w:r>
      <w:r>
        <w:rPr>
          <w:rFonts w:hint="eastAsia"/>
          <w:lang w:val="en-US" w:eastAsia="zh-CN"/>
        </w:rPr>
        <w:t>Discussion on</w:t>
      </w:r>
      <w:r>
        <w:t xml:space="preserve"> </w:t>
      </w:r>
      <w:r>
        <w:rPr>
          <w:rFonts w:hint="eastAsia" w:cs="Arial" w:eastAsiaTheme="minorEastAsia"/>
          <w:b/>
          <w:bCs/>
          <w:color w:val="000000"/>
          <w:sz w:val="24"/>
          <w:szCs w:val="24"/>
          <w:lang w:eastAsia="zh-CN"/>
        </w:rPr>
        <w:t>Inventory</w:t>
      </w:r>
      <w:r>
        <w:rPr>
          <w:rFonts w:hint="eastAsia" w:cs="Arial"/>
          <w:b/>
          <w:bCs/>
          <w:color w:val="000000"/>
          <w:sz w:val="24"/>
          <w:szCs w:val="24"/>
          <w:lang w:val="en-US" w:eastAsia="zh-CN"/>
        </w:rPr>
        <w:t xml:space="preserve"> </w:t>
      </w:r>
      <w:r>
        <w:rPr>
          <w:rFonts w:hint="eastAsia" w:cs="Arial" w:eastAsiaTheme="minorEastAsia"/>
          <w:b/>
          <w:bCs/>
          <w:color w:val="000000"/>
          <w:sz w:val="24"/>
          <w:szCs w:val="24"/>
          <w:lang w:eastAsia="zh-CN"/>
        </w:rPr>
        <w:t>Procedure</w:t>
      </w:r>
      <w:r>
        <w:rPr>
          <w:rFonts w:cs="Arial"/>
          <w:b/>
          <w:bCs/>
          <w:color w:val="000000"/>
          <w:sz w:val="24"/>
          <w:szCs w:val="24"/>
        </w:rPr>
        <w:t xml:space="preserve"> </w:t>
      </w:r>
    </w:p>
    <w:p>
      <w:pPr>
        <w:pStyle w:val="91"/>
        <w:rPr>
          <w:lang w:eastAsia="ja-JP"/>
        </w:rPr>
      </w:pPr>
      <w:r>
        <w:t>Agenda Item:</w:t>
      </w:r>
      <w:r>
        <w:rPr>
          <w:rFonts w:hint="eastAsia" w:ascii="Arial" w:hAnsi="Arial" w:cs="Arial"/>
          <w:lang w:val="en-US" w:eastAsia="zh-CN"/>
        </w:rPr>
        <w:tab/>
      </w:r>
      <w:r>
        <w:rPr>
          <w:rFonts w:hint="eastAsia" w:ascii="Arial" w:hAnsi="Arial" w:cs="Arial"/>
          <w:lang w:val="en-US" w:eastAsia="zh-CN"/>
        </w:rPr>
        <w:t>16.2</w:t>
      </w:r>
    </w:p>
    <w:p>
      <w:pPr>
        <w:pStyle w:val="91"/>
        <w:rPr>
          <w:rFonts w:hint="default" w:eastAsiaTheme="minorEastAsia"/>
          <w:lang w:val="en-US" w:eastAsia="zh-CN"/>
        </w:rPr>
      </w:pPr>
      <w:r>
        <w:t>Source:</w:t>
      </w:r>
      <w:r>
        <w:tab/>
      </w:r>
      <w:r>
        <w:rPr>
          <w:rFonts w:hint="eastAsia"/>
          <w:lang w:val="en-US" w:eastAsia="zh-CN"/>
        </w:rPr>
        <w:t>China Unicom</w:t>
      </w:r>
    </w:p>
    <w:p>
      <w:pPr>
        <w:pStyle w:val="91"/>
        <w:rPr>
          <w:lang w:eastAsia="ja-JP"/>
        </w:rPr>
      </w:pPr>
      <w:r>
        <w:t>Document for:</w:t>
      </w:r>
      <w:r>
        <w:tab/>
      </w:r>
      <w:r>
        <w:rPr>
          <w:rFonts w:hint="eastAsia"/>
          <w:lang w:val="en-US" w:eastAsia="zh-CN"/>
        </w:rPr>
        <w:t>Discussion</w:t>
      </w:r>
    </w:p>
    <w:p>
      <w:pPr>
        <w:pStyle w:val="2"/>
        <w:numPr>
          <w:ilvl w:val="0"/>
          <w:numId w:val="2"/>
        </w:numPr>
      </w:pPr>
      <w:r>
        <w:t>Introduction</w:t>
      </w:r>
    </w:p>
    <w:p>
      <w:pPr>
        <w:rPr>
          <w:rFonts w:hint="eastAsia"/>
          <w:lang w:val="en-US" w:eastAsia="zh-CN"/>
        </w:rPr>
      </w:pPr>
      <w:r>
        <w:rPr>
          <w:lang w:eastAsia="zh-CN"/>
        </w:rPr>
        <w:t>During RAN</w:t>
      </w:r>
      <w:r>
        <w:rPr>
          <w:rFonts w:hint="eastAsia"/>
          <w:lang w:val="en-US" w:eastAsia="zh-CN"/>
        </w:rPr>
        <w:t>3</w:t>
      </w:r>
      <w:r>
        <w:rPr>
          <w:lang w:eastAsia="zh-CN"/>
        </w:rPr>
        <w:t>#1</w:t>
      </w:r>
      <w:r>
        <w:rPr>
          <w:rFonts w:hint="eastAsia"/>
          <w:lang w:val="en-US" w:eastAsia="zh-CN"/>
        </w:rPr>
        <w:t>27bis</w:t>
      </w:r>
      <w:r>
        <w:rPr>
          <w:lang w:eastAsia="zh-CN"/>
        </w:rPr>
        <w:t xml:space="preserve"> meeting, </w:t>
      </w:r>
      <w:r>
        <w:rPr>
          <w:rFonts w:hint="eastAsia"/>
          <w:lang w:val="en-US" w:eastAsia="zh-CN"/>
        </w:rPr>
        <w:t xml:space="preserve">the agreement about A-IoT Inventory procedure can be found as the following: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pPr>
              <w:pStyle w:val="127"/>
              <w:autoSpaceDN/>
              <w:spacing w:before="0" w:beforeAutospacing="0" w:after="60"/>
              <w:ind w:left="0"/>
              <w:rPr>
                <w:rFonts w:ascii="Calibri" w:hAnsi="Calibri" w:cs="Calibri"/>
                <w:b/>
                <w:sz w:val="20"/>
                <w:szCs w:val="20"/>
              </w:rPr>
            </w:pPr>
            <w:r>
              <w:rPr>
                <w:rFonts w:ascii="Calibri" w:hAnsi="Calibri" w:cs="Calibri"/>
                <w:b/>
                <w:sz w:val="20"/>
                <w:szCs w:val="20"/>
              </w:rPr>
              <w:t>About Inventory Procedures:</w:t>
            </w:r>
          </w:p>
          <w:p>
            <w:pPr>
              <w:pStyle w:val="128"/>
              <w:numPr>
                <w:ilvl w:val="0"/>
                <w:numId w:val="3"/>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WA: Include the </w:t>
            </w:r>
            <w:r>
              <w:rPr>
                <w:rFonts w:ascii="Calibri" w:hAnsi="Calibri" w:cs="Calibri"/>
                <w:b/>
                <w:i/>
                <w:iCs/>
                <w:color w:val="008000"/>
                <w:sz w:val="18"/>
                <w:szCs w:val="20"/>
              </w:rPr>
              <w:t>Correlation Identifier</w:t>
            </w:r>
            <w:r>
              <w:rPr>
                <w:rFonts w:ascii="Calibri" w:hAnsi="Calibri" w:cs="Calibri"/>
                <w:b/>
                <w:color w:val="008000"/>
                <w:sz w:val="18"/>
                <w:szCs w:val="20"/>
              </w:rPr>
              <w:t xml:space="preserve"> IE outside of the Inventory related Transfer IEs in all the Inventory related messages. </w:t>
            </w:r>
          </w:p>
          <w:p>
            <w:pPr>
              <w:pStyle w:val="128"/>
              <w:numPr>
                <w:ilvl w:val="0"/>
                <w:numId w:val="3"/>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Include the </w:t>
            </w:r>
            <w:r>
              <w:rPr>
                <w:rFonts w:ascii="Calibri" w:hAnsi="Calibri" w:cs="Calibri"/>
                <w:b/>
                <w:i/>
                <w:iCs/>
                <w:color w:val="008000"/>
                <w:sz w:val="18"/>
                <w:szCs w:val="20"/>
              </w:rPr>
              <w:t xml:space="preserve">AIOTF Identifier </w:t>
            </w:r>
            <w:r>
              <w:rPr>
                <w:rFonts w:ascii="Calibri" w:hAnsi="Calibri" w:cs="Calibri"/>
                <w:b/>
                <w:color w:val="008000"/>
                <w:sz w:val="18"/>
                <w:szCs w:val="20"/>
              </w:rPr>
              <w:t xml:space="preserve">IE outside of the Inventory related Transfer IEs in all the Inventory related messages. </w:t>
            </w:r>
          </w:p>
          <w:p>
            <w:pPr>
              <w:pStyle w:val="128"/>
              <w:numPr>
                <w:ilvl w:val="0"/>
                <w:numId w:val="3"/>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The</w:t>
            </w:r>
            <w:r>
              <w:rPr>
                <w:rFonts w:ascii="Calibri" w:hAnsi="Calibri" w:cs="Calibri"/>
                <w:b/>
                <w:i/>
                <w:iCs/>
                <w:color w:val="008000"/>
                <w:sz w:val="18"/>
                <w:szCs w:val="20"/>
              </w:rPr>
              <w:t xml:space="preserve"> Inventory Request Transfer </w:t>
            </w:r>
            <w:r>
              <w:rPr>
                <w:rFonts w:ascii="Calibri" w:hAnsi="Calibri" w:cs="Calibri"/>
                <w:b/>
                <w:color w:val="008000"/>
                <w:sz w:val="18"/>
                <w:szCs w:val="20"/>
              </w:rPr>
              <w:t>IE, also includes the following:</w:t>
            </w:r>
          </w:p>
          <w:p>
            <w:pPr>
              <w:pStyle w:val="128"/>
              <w:numPr>
                <w:ilvl w:val="1"/>
                <w:numId w:val="3"/>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Device Identification for Paging (to enable paging for single device, a group of devices, all devices)</w:t>
            </w:r>
          </w:p>
          <w:p>
            <w:pPr>
              <w:pStyle w:val="128"/>
              <w:numPr>
                <w:ilvl w:val="1"/>
                <w:numId w:val="3"/>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Requested Service Area Information (A-IoT Area list and/or Reader list)</w:t>
            </w:r>
          </w:p>
          <w:p>
            <w:pPr>
              <w:pStyle w:val="128"/>
              <w:numPr>
                <w:ilvl w:val="1"/>
                <w:numId w:val="3"/>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Inventory Assistance Information (Approximates Number of Target A-IoT Devices). </w:t>
            </w:r>
          </w:p>
          <w:p>
            <w:pPr>
              <w:pStyle w:val="128"/>
              <w:numPr>
                <w:ilvl w:val="1"/>
                <w:numId w:val="3"/>
              </w:numPr>
              <w:overflowPunct/>
              <w:autoSpaceDE/>
              <w:autoSpaceDN/>
              <w:adjustRightInd/>
              <w:spacing w:after="0"/>
              <w:textAlignment w:val="auto"/>
              <w:rPr>
                <w:rFonts w:ascii="Calibri" w:hAnsi="Calibri" w:cs="Calibri"/>
                <w:b/>
                <w:color w:val="0000FF"/>
                <w:sz w:val="20"/>
                <w:szCs w:val="20"/>
              </w:rPr>
            </w:pPr>
            <w:r>
              <w:rPr>
                <w:rFonts w:ascii="Calibri" w:hAnsi="Calibri" w:eastAsia="MS Mincho" w:cs="Calibri"/>
                <w:b/>
                <w:color w:val="0000FF"/>
                <w:sz w:val="18"/>
                <w:szCs w:val="20"/>
              </w:rPr>
              <w:t>It is FFS whether the Inventory Assistance Information includes the “Estimate of Expected D2R Message Size”</w:t>
            </w:r>
          </w:p>
        </w:tc>
      </w:tr>
    </w:tbl>
    <w:p>
      <w:pPr>
        <w:rPr>
          <w:rFonts w:hint="eastAsia"/>
          <w:lang w:val="en-US" w:eastAsia="zh-CN"/>
        </w:rPr>
      </w:pPr>
    </w:p>
    <w:p>
      <w:pPr>
        <w:widowControl w:val="0"/>
        <w:spacing w:before="60" w:after="60" w:line="360" w:lineRule="auto"/>
        <w:jc w:val="both"/>
        <w:rPr>
          <w:lang w:eastAsia="zh-CN"/>
        </w:rPr>
      </w:pPr>
      <w:r>
        <w:rPr>
          <w:lang w:eastAsia="zh-CN"/>
        </w:rPr>
        <w:t>In this contribution, we discuss</w:t>
      </w:r>
      <w:r>
        <w:rPr>
          <w:rFonts w:hint="eastAsia"/>
          <w:lang w:val="en-US" w:eastAsia="zh-CN"/>
        </w:rPr>
        <w:t xml:space="preserve"> open issue part of A-IoT </w:t>
      </w:r>
      <w:r>
        <w:rPr>
          <w:rFonts w:hint="eastAsia" w:ascii="Times New Roman" w:hAnsi="Times New Roman" w:eastAsia="宋体"/>
          <w:bCs/>
          <w:color w:val="000000"/>
          <w:lang w:val="en-US" w:eastAsia="zh-CN"/>
        </w:rPr>
        <w:t xml:space="preserve"> inventory operation</w:t>
      </w:r>
      <w:r>
        <w:rPr>
          <w:rFonts w:hint="eastAsia" w:eastAsia="宋体"/>
          <w:bCs/>
          <w:color w:val="000000"/>
          <w:lang w:val="en-US" w:eastAsia="zh-CN"/>
        </w:rPr>
        <w:t>.</w:t>
      </w:r>
    </w:p>
    <w:p>
      <w:pPr>
        <w:pStyle w:val="2"/>
        <w:numPr>
          <w:ilvl w:val="0"/>
          <w:numId w:val="2"/>
        </w:numPr>
        <w:rPr>
          <w:rFonts w:hint="eastAsia"/>
          <w:i w:val="0"/>
          <w:iCs w:val="0"/>
          <w:highlight w:val="none"/>
          <w:lang w:val="en-US" w:eastAsia="zh-CN"/>
        </w:rPr>
      </w:pPr>
      <w:r>
        <w:t>Discussion</w:t>
      </w:r>
    </w:p>
    <w:p>
      <w:pPr>
        <w:ind w:left="0" w:leftChars="0"/>
        <w:jc w:val="both"/>
        <w:rPr>
          <w:rFonts w:hint="eastAsia"/>
          <w:i w:val="0"/>
          <w:iCs w:val="0"/>
          <w:highlight w:val="none"/>
          <w:lang w:val="en-US" w:eastAsia="zh-CN"/>
        </w:rPr>
      </w:pPr>
      <w:r>
        <w:rPr>
          <w:rFonts w:hint="eastAsia"/>
          <w:i w:val="0"/>
          <w:iCs w:val="0"/>
          <w:highlight w:val="none"/>
          <w:lang w:val="en-US" w:eastAsia="zh-CN"/>
        </w:rPr>
        <w:t>The Correlation Identifier IE would be used if multiple AIOTFs initiate inventory requests toward the same gNB via the AMF. If the Correlation Identifier were embedded within Transfer IEs, the gNB would need to decode the Transfer IE to extract it, which will complicate the session management. By placing the Correlation Identifier outside the Transfer IE, the gNB can efficiently track and correlate requests from different AIOTFs without additional processing overhead.</w:t>
      </w:r>
    </w:p>
    <w:p>
      <w:pPr>
        <w:ind w:left="0" w:leftChars="0"/>
        <w:jc w:val="both"/>
        <w:rPr>
          <w:rFonts w:hint="eastAsia" w:ascii="Times New Roman" w:hAnsi="Times New Roman" w:eastAsia="宋体"/>
          <w:b/>
          <w:bCs/>
          <w:color w:val="000000" w:themeColor="text1"/>
          <w:sz w:val="20"/>
          <w:szCs w:val="20"/>
          <w:lang w:eastAsia="zh-CN"/>
          <w14:textFill>
            <w14:solidFill>
              <w14:schemeClr w14:val="tx1"/>
            </w14:solidFill>
          </w14:textFill>
        </w:rPr>
      </w:pPr>
      <w:r>
        <w:rPr>
          <w:rFonts w:hint="eastAsia"/>
          <w:i w:val="0"/>
          <w:iCs w:val="0"/>
          <w:highlight w:val="none"/>
          <w:lang w:val="en-US" w:eastAsia="zh-CN"/>
        </w:rPr>
        <w:t>On the other hand, the Correlation Identifier IE is critical for enabling the AIOTF to associate inventory responses with their corresponding requests. If the Correlation Identifier IE</w:t>
      </w:r>
      <w:r>
        <w:rPr>
          <w:rFonts w:hint="default"/>
          <w:i w:val="0"/>
          <w:iCs w:val="0"/>
          <w:highlight w:val="none"/>
          <w:lang w:val="en-US" w:eastAsia="zh-CN"/>
        </w:rPr>
        <w:t> </w:t>
      </w:r>
      <w:r>
        <w:rPr>
          <w:rFonts w:hint="eastAsia"/>
          <w:i w:val="0"/>
          <w:iCs w:val="0"/>
          <w:highlight w:val="none"/>
          <w:lang w:val="en-US" w:eastAsia="zh-CN"/>
        </w:rPr>
        <w:t xml:space="preserve">is located </w:t>
      </w:r>
      <w:r>
        <w:rPr>
          <w:rFonts w:hint="default"/>
          <w:i w:val="0"/>
          <w:iCs w:val="0"/>
          <w:highlight w:val="none"/>
          <w:lang w:val="en-US" w:eastAsia="zh-CN"/>
        </w:rPr>
        <w:t xml:space="preserve">outside the Inventory-related Transfer IEs, intermediate nodes like the AMF can directly </w:t>
      </w:r>
      <w:r>
        <w:rPr>
          <w:rFonts w:hint="eastAsia"/>
          <w:i w:val="0"/>
          <w:iCs w:val="0"/>
          <w:highlight w:val="none"/>
          <w:lang w:val="en-US" w:eastAsia="zh-CN"/>
        </w:rPr>
        <w:t>identify</w:t>
      </w:r>
      <w:r>
        <w:rPr>
          <w:rFonts w:hint="default"/>
          <w:i w:val="0"/>
          <w:iCs w:val="0"/>
          <w:highlight w:val="none"/>
          <w:lang w:val="en-US" w:eastAsia="zh-CN"/>
        </w:rPr>
        <w:t xml:space="preserve"> this </w:t>
      </w:r>
      <w:r>
        <w:rPr>
          <w:rFonts w:hint="eastAsia"/>
          <w:i w:val="0"/>
          <w:iCs w:val="0"/>
          <w:highlight w:val="none"/>
          <w:lang w:val="en-US" w:eastAsia="zh-CN"/>
        </w:rPr>
        <w:t>IE</w:t>
      </w:r>
      <w:r>
        <w:rPr>
          <w:rFonts w:hint="default"/>
          <w:i w:val="0"/>
          <w:iCs w:val="0"/>
          <w:highlight w:val="none"/>
          <w:lang w:val="en-US" w:eastAsia="zh-CN"/>
        </w:rPr>
        <w:t xml:space="preserve"> without needing to parse the</w:t>
      </w:r>
      <w:r>
        <w:rPr>
          <w:rFonts w:hint="eastAsia"/>
          <w:i w:val="0"/>
          <w:iCs w:val="0"/>
          <w:highlight w:val="none"/>
          <w:lang w:val="en-US" w:eastAsia="zh-CN"/>
        </w:rPr>
        <w:t xml:space="preserve"> </w:t>
      </w:r>
      <w:r>
        <w:rPr>
          <w:rFonts w:hint="default"/>
          <w:i w:val="0"/>
          <w:iCs w:val="0"/>
          <w:highlight w:val="none"/>
          <w:lang w:val="en-US" w:eastAsia="zh-CN"/>
        </w:rPr>
        <w:t xml:space="preserve">Transfer IE content. This is particularly important in indirect communication scenarios, where the AMF is responsible for routing responses back to the correct AIOTF. </w:t>
      </w:r>
    </w:p>
    <w:p>
      <w:pPr>
        <w:pStyle w:val="31"/>
        <w:spacing w:line="360" w:lineRule="auto"/>
        <w:jc w:val="both"/>
        <w:rPr>
          <w:rFonts w:hint="eastAsia" w:ascii="Times New Roman" w:hAnsi="Times New Roman" w:eastAsia="宋体"/>
          <w:b/>
          <w:bCs/>
          <w:color w:val="000000" w:themeColor="text1"/>
          <w:sz w:val="20"/>
          <w:szCs w:val="20"/>
          <w:lang w:eastAsia="zh-CN"/>
          <w14:textFill>
            <w14:solidFill>
              <w14:schemeClr w14:val="tx1"/>
            </w14:solidFill>
          </w14:textFill>
        </w:rPr>
      </w:pPr>
      <w:r>
        <w:rPr>
          <w:rFonts w:hint="eastAsia" w:ascii="Times New Roman" w:hAnsi="Times New Roman" w:eastAsia="宋体"/>
          <w:b/>
          <w:bCs/>
          <w:color w:val="000000" w:themeColor="text1"/>
          <w:sz w:val="20"/>
          <w:szCs w:val="20"/>
          <w:lang w:eastAsia="zh-CN"/>
          <w14:textFill>
            <w14:solidFill>
              <w14:schemeClr w14:val="tx1"/>
            </w14:solidFill>
          </w14:textFill>
        </w:rPr>
        <w:t xml:space="preserve">Proposal 1: Change the WA to an agreement, </w:t>
      </w:r>
      <w:r>
        <w:rPr>
          <w:rFonts w:hint="eastAsia" w:ascii="Times New Roman" w:hAnsi="Times New Roman" w:eastAsia="宋体"/>
          <w:b/>
          <w:bCs/>
          <w:color w:val="000000" w:themeColor="text1"/>
          <w:sz w:val="20"/>
          <w:szCs w:val="20"/>
          <w:lang w:val="en-US" w:eastAsia="zh-CN"/>
          <w14:textFill>
            <w14:solidFill>
              <w14:schemeClr w14:val="tx1"/>
            </w14:solidFill>
          </w14:textFill>
        </w:rPr>
        <w:t>i</w:t>
      </w:r>
      <w:r>
        <w:rPr>
          <w:rFonts w:hint="eastAsia" w:ascii="Times New Roman" w:hAnsi="Times New Roman" w:eastAsia="宋体"/>
          <w:b/>
          <w:bCs/>
          <w:color w:val="000000" w:themeColor="text1"/>
          <w:sz w:val="20"/>
          <w:szCs w:val="20"/>
          <w:lang w:eastAsia="zh-CN"/>
          <w14:textFill>
            <w14:solidFill>
              <w14:schemeClr w14:val="tx1"/>
            </w14:solidFill>
          </w14:textFill>
        </w:rPr>
        <w:t xml:space="preserve">nclude the Correlation Identifier IE outside of the Inventory related Transfer IEs in all the Inventory related messages. </w:t>
      </w:r>
    </w:p>
    <w:p>
      <w:pPr>
        <w:ind w:left="0" w:leftChars="0"/>
        <w:jc w:val="both"/>
        <w:rPr>
          <w:rFonts w:hint="eastAsia"/>
          <w:i w:val="0"/>
          <w:iCs w:val="0"/>
          <w:highlight w:val="none"/>
          <w:lang w:val="en-US" w:eastAsia="zh-CN"/>
        </w:rPr>
      </w:pPr>
      <w:r>
        <w:rPr>
          <w:rFonts w:hint="eastAsia"/>
          <w:i w:val="0"/>
          <w:iCs w:val="0"/>
          <w:highlight w:val="none"/>
          <w:lang w:val="en-US" w:eastAsia="zh-CN"/>
        </w:rPr>
        <w:t>As defined in SA2 specifications (e.g., TS 23.xyz-020), assistance information from the AIoTF (Ambient IoT Function) to the A-IoT RAN node is essential for enabling the RAN to perform service operations effectively. For inventory procedures, the RAN requires parameters to allocate radio resources optimally.</w:t>
      </w:r>
    </w:p>
    <w:p>
      <w:pPr>
        <w:ind w:left="0" w:leftChars="0"/>
        <w:jc w:val="both"/>
        <w:rPr>
          <w:rFonts w:hint="eastAsia"/>
          <w:i w:val="0"/>
          <w:iCs w:val="0"/>
          <w:highlight w:val="none"/>
          <w:lang w:val="en-US" w:eastAsia="zh-CN"/>
        </w:rPr>
      </w:pPr>
      <w:r>
        <w:rPr>
          <w:rFonts w:hint="eastAsia"/>
          <w:i w:val="0"/>
          <w:iCs w:val="0"/>
          <w:highlight w:val="none"/>
          <w:lang w:val="en-US" w:eastAsia="zh-CN"/>
        </w:rPr>
        <w:t xml:space="preserve">The inclusion of the approximate D2R message size allows the gNB to optimize uplink (UL) resource allocation. By estimating the length of device IDs or other payloads, the gNB can pre-allocate appropriately sized resources, minimizing resource fragmentation or shortages. For example, if the D2R message size is expected to be large (e.g., due to extended device identifiers or additional metadata), the gNB can allocate contiguous UL resources, improving spectral efficiency and reducing retransmission overhead. </w:t>
      </w:r>
    </w:p>
    <w:p>
      <w:pPr>
        <w:ind w:left="0" w:leftChars="0"/>
        <w:jc w:val="both"/>
        <w:rPr>
          <w:rFonts w:hint="default"/>
          <w:i w:val="0"/>
          <w:iCs w:val="0"/>
          <w:highlight w:val="none"/>
          <w:lang w:val="en-US" w:eastAsia="zh-CN"/>
        </w:rPr>
      </w:pPr>
      <w:r>
        <w:rPr>
          <w:rFonts w:hint="eastAsia"/>
          <w:i w:val="0"/>
          <w:iCs w:val="0"/>
          <w:highlight w:val="none"/>
          <w:lang w:val="en-US" w:eastAsia="zh-CN"/>
        </w:rPr>
        <w:t xml:space="preserve">Furthermore, refered to </w:t>
      </w:r>
      <w:r>
        <w:rPr>
          <w:rFonts w:hint="default"/>
          <w:i w:val="0"/>
          <w:iCs w:val="0"/>
          <w:highlight w:val="none"/>
          <w:lang w:val="en-US" w:eastAsia="zh-CN"/>
        </w:rPr>
        <w:t>TR 38.769,  the importance</w:t>
      </w:r>
      <w:r>
        <w:rPr>
          <w:rFonts w:hint="eastAsia"/>
          <w:i w:val="0"/>
          <w:iCs w:val="0"/>
          <w:highlight w:val="none"/>
          <w:lang w:val="en-US" w:eastAsia="zh-CN"/>
        </w:rPr>
        <w:t xml:space="preserve"> and necessity</w:t>
      </w:r>
      <w:r>
        <w:rPr>
          <w:rFonts w:hint="default"/>
          <w:i w:val="0"/>
          <w:iCs w:val="0"/>
          <w:highlight w:val="none"/>
          <w:lang w:val="en-US" w:eastAsia="zh-CN"/>
        </w:rPr>
        <w:t xml:space="preserve"> of assistance information for inventory operations</w:t>
      </w:r>
      <w:r>
        <w:rPr>
          <w:rFonts w:hint="eastAsia"/>
          <w:i w:val="0"/>
          <w:iCs w:val="0"/>
          <w:highlight w:val="none"/>
          <w:lang w:val="en-US" w:eastAsia="zh-CN"/>
        </w:rPr>
        <w:t xml:space="preserve"> has been studied</w:t>
      </w:r>
      <w:r>
        <w:rPr>
          <w:rFonts w:hint="default"/>
          <w:i w:val="0"/>
          <w:iCs w:val="0"/>
          <w:highlight w:val="none"/>
          <w:lang w:val="en-US" w:eastAsia="zh-CN"/>
        </w:rPr>
        <w:t>. If the gNB is unaware of the expected D2R message size, it may assign uniform UL grants based on default assumptions. This could lead to collisions or resource contention if multiple devices transmit messages exceeding the allocated grant size. Including the "Estimate of Expected D2R Message Size" enables dynamic resource tailoring, reducing collision risks and enhancing reliability.</w:t>
      </w:r>
    </w:p>
    <w:p>
      <w:pPr>
        <w:ind w:left="0" w:leftChars="0"/>
        <w:rPr>
          <w:rFonts w:hint="eastAsia"/>
          <w:i w:val="0"/>
          <w:iCs w:val="0"/>
          <w:highlight w:val="none"/>
          <w:lang w:val="en-US" w:eastAsia="zh-CN"/>
        </w:rPr>
      </w:pPr>
      <w:r>
        <w:rPr>
          <w:rFonts w:hint="eastAsia"/>
          <w:i w:val="0"/>
          <w:iCs w:val="0"/>
          <w:highlight w:val="none"/>
          <w:lang w:val="en-US" w:eastAsia="zh-CN"/>
        </w:rPr>
        <w:t>Therefore, the Inventory Assistance Information should includes the “Estimate of Expected D2R Message Size” as the optional IE.</w:t>
      </w:r>
    </w:p>
    <w:p>
      <w:pPr>
        <w:pStyle w:val="31"/>
        <w:spacing w:line="360" w:lineRule="auto"/>
        <w:jc w:val="both"/>
        <w:rPr>
          <w:rFonts w:hint="default"/>
          <w:i w:val="0"/>
          <w:iCs w:val="0"/>
          <w:highlight w:val="none"/>
          <w:lang w:val="en-US" w:eastAsia="zh-CN"/>
        </w:rPr>
      </w:pPr>
      <w:r>
        <w:rPr>
          <w:rFonts w:hint="eastAsia" w:ascii="Times New Roman" w:hAnsi="Times New Roman" w:eastAsia="宋体"/>
          <w:b/>
          <w:bCs/>
          <w:color w:val="000000" w:themeColor="text1"/>
          <w:sz w:val="20"/>
          <w:szCs w:val="20"/>
          <w:lang w:eastAsia="zh-CN"/>
          <w14:textFill>
            <w14:solidFill>
              <w14:schemeClr w14:val="tx1"/>
            </w14:solidFill>
          </w14:textFill>
        </w:rPr>
        <w:t xml:space="preserve">Proposal </w:t>
      </w:r>
      <w:r>
        <w:rPr>
          <w:rFonts w:hint="eastAsia" w:ascii="Times New Roman" w:hAnsi="Times New Roman" w:eastAsia="宋体"/>
          <w:b/>
          <w:bCs/>
          <w:color w:val="000000" w:themeColor="text1"/>
          <w:sz w:val="20"/>
          <w:szCs w:val="20"/>
          <w:lang w:val="en-US" w:eastAsia="zh-CN"/>
          <w14:textFill>
            <w14:solidFill>
              <w14:schemeClr w14:val="tx1"/>
            </w14:solidFill>
          </w14:textFill>
        </w:rPr>
        <w:t>2</w:t>
      </w:r>
      <w:r>
        <w:rPr>
          <w:rFonts w:hint="eastAsia" w:ascii="Times New Roman" w:hAnsi="Times New Roman" w:eastAsia="宋体"/>
          <w:b/>
          <w:bCs/>
          <w:color w:val="000000" w:themeColor="text1"/>
          <w:sz w:val="20"/>
          <w:szCs w:val="20"/>
          <w:lang w:eastAsia="zh-CN"/>
          <w14:textFill>
            <w14:solidFill>
              <w14:schemeClr w14:val="tx1"/>
            </w14:solidFill>
          </w14:textFill>
        </w:rPr>
        <w:t xml:space="preserve">: </w:t>
      </w:r>
      <w:r>
        <w:rPr>
          <w:rFonts w:hint="eastAsia" w:ascii="Times New Roman" w:hAnsi="Times New Roman" w:eastAsia="宋体"/>
          <w:b/>
          <w:bCs/>
          <w:color w:val="000000" w:themeColor="text1"/>
          <w:sz w:val="20"/>
          <w:szCs w:val="20"/>
          <w:lang w:val="en-US" w:eastAsia="zh-CN"/>
          <w14:textFill>
            <w14:solidFill>
              <w14:schemeClr w14:val="tx1"/>
            </w14:solidFill>
          </w14:textFill>
        </w:rPr>
        <w:t>The Inventory Assistance Information should includes the “Estimate of Expected D2R Message Size” as the optional IE.</w:t>
      </w:r>
    </w:p>
    <w:p>
      <w:pPr>
        <w:pStyle w:val="2"/>
        <w:numPr>
          <w:ilvl w:val="0"/>
          <w:numId w:val="2"/>
        </w:numPr>
      </w:pPr>
      <w:r>
        <w:t>Conclusion</w:t>
      </w:r>
    </w:p>
    <w:p>
      <w:pPr>
        <w:pStyle w:val="22"/>
        <w:ind w:left="0" w:firstLine="0"/>
        <w:rPr>
          <w:b w:val="0"/>
          <w:bCs/>
          <w:lang w:eastAsia="zh-CN"/>
        </w:rPr>
      </w:pPr>
      <w:r>
        <w:rPr>
          <w:rFonts w:hint="eastAsia"/>
          <w:b w:val="0"/>
          <w:bCs/>
          <w:lang w:eastAsia="zh-CN"/>
        </w:rPr>
        <w:t>I</w:t>
      </w:r>
      <w:r>
        <w:rPr>
          <w:b w:val="0"/>
          <w:bCs/>
          <w:lang w:eastAsia="zh-CN"/>
        </w:rPr>
        <w:t>n this paper,</w:t>
      </w:r>
      <w:r>
        <w:rPr>
          <w:rFonts w:hint="eastAsia"/>
          <w:b w:val="0"/>
          <w:bCs/>
          <w:lang w:val="en-US" w:eastAsia="zh-CN"/>
        </w:rPr>
        <w:t xml:space="preserve"> </w:t>
      </w:r>
      <w:r>
        <w:rPr>
          <w:b w:val="0"/>
          <w:bCs/>
          <w:lang w:eastAsia="zh-CN"/>
        </w:rPr>
        <w:t>the following proposals are made:</w:t>
      </w:r>
    </w:p>
    <w:p>
      <w:pPr>
        <w:pStyle w:val="31"/>
        <w:spacing w:line="360" w:lineRule="auto"/>
        <w:jc w:val="both"/>
        <w:rPr>
          <w:rFonts w:hint="eastAsia" w:ascii="Times New Roman" w:hAnsi="Times New Roman" w:eastAsia="宋体"/>
          <w:b/>
          <w:bCs/>
          <w:color w:val="000000" w:themeColor="text1"/>
          <w:sz w:val="20"/>
          <w:szCs w:val="20"/>
          <w:lang w:eastAsia="zh-CN"/>
          <w14:textFill>
            <w14:solidFill>
              <w14:schemeClr w14:val="tx1"/>
            </w14:solidFill>
          </w14:textFill>
        </w:rPr>
      </w:pPr>
      <w:r>
        <w:rPr>
          <w:rFonts w:hint="eastAsia" w:ascii="Times New Roman" w:hAnsi="Times New Roman" w:eastAsia="宋体"/>
          <w:b/>
          <w:bCs/>
          <w:color w:val="000000" w:themeColor="text1"/>
          <w:sz w:val="20"/>
          <w:szCs w:val="20"/>
          <w:lang w:eastAsia="zh-CN"/>
          <w14:textFill>
            <w14:solidFill>
              <w14:schemeClr w14:val="tx1"/>
            </w14:solidFill>
          </w14:textFill>
        </w:rPr>
        <w:t xml:space="preserve">Proposal 1: Change the WA to an agreement, </w:t>
      </w:r>
      <w:r>
        <w:rPr>
          <w:rFonts w:hint="eastAsia" w:ascii="Times New Roman" w:hAnsi="Times New Roman" w:eastAsia="宋体"/>
          <w:b/>
          <w:bCs/>
          <w:color w:val="000000" w:themeColor="text1"/>
          <w:sz w:val="20"/>
          <w:szCs w:val="20"/>
          <w:lang w:val="en-US" w:eastAsia="zh-CN"/>
          <w14:textFill>
            <w14:solidFill>
              <w14:schemeClr w14:val="tx1"/>
            </w14:solidFill>
          </w14:textFill>
        </w:rPr>
        <w:t>i</w:t>
      </w:r>
      <w:r>
        <w:rPr>
          <w:rFonts w:hint="eastAsia" w:ascii="Times New Roman" w:hAnsi="Times New Roman" w:eastAsia="宋体"/>
          <w:b/>
          <w:bCs/>
          <w:color w:val="000000" w:themeColor="text1"/>
          <w:sz w:val="20"/>
          <w:szCs w:val="20"/>
          <w:lang w:eastAsia="zh-CN"/>
          <w14:textFill>
            <w14:solidFill>
              <w14:schemeClr w14:val="tx1"/>
            </w14:solidFill>
          </w14:textFill>
        </w:rPr>
        <w:t xml:space="preserve">nclude the Correlation Identifier IE outside of the Inventory related Transfer IEs in all the Inventory related messages. </w:t>
      </w:r>
    </w:p>
    <w:p>
      <w:pPr>
        <w:pStyle w:val="31"/>
        <w:spacing w:line="360" w:lineRule="auto"/>
        <w:jc w:val="both"/>
        <w:rPr>
          <w:rFonts w:hint="default"/>
          <w:i w:val="0"/>
          <w:iCs w:val="0"/>
          <w:highlight w:val="none"/>
          <w:lang w:val="en-US" w:eastAsia="zh-CN"/>
        </w:rPr>
      </w:pPr>
      <w:r>
        <w:rPr>
          <w:rFonts w:hint="eastAsia" w:ascii="Times New Roman" w:hAnsi="Times New Roman" w:eastAsia="宋体"/>
          <w:b/>
          <w:bCs/>
          <w:color w:val="000000" w:themeColor="text1"/>
          <w:sz w:val="20"/>
          <w:szCs w:val="20"/>
          <w:lang w:eastAsia="zh-CN"/>
          <w14:textFill>
            <w14:solidFill>
              <w14:schemeClr w14:val="tx1"/>
            </w14:solidFill>
          </w14:textFill>
        </w:rPr>
        <w:t xml:space="preserve">Proposal </w:t>
      </w:r>
      <w:r>
        <w:rPr>
          <w:rFonts w:hint="eastAsia" w:ascii="Times New Roman" w:hAnsi="Times New Roman" w:eastAsia="宋体"/>
          <w:b/>
          <w:bCs/>
          <w:color w:val="000000" w:themeColor="text1"/>
          <w:sz w:val="20"/>
          <w:szCs w:val="20"/>
          <w:lang w:val="en-US" w:eastAsia="zh-CN"/>
          <w14:textFill>
            <w14:solidFill>
              <w14:schemeClr w14:val="tx1"/>
            </w14:solidFill>
          </w14:textFill>
        </w:rPr>
        <w:t>2</w:t>
      </w:r>
      <w:r>
        <w:rPr>
          <w:rFonts w:hint="eastAsia" w:ascii="Times New Roman" w:hAnsi="Times New Roman" w:eastAsia="宋体"/>
          <w:b/>
          <w:bCs/>
          <w:color w:val="000000" w:themeColor="text1"/>
          <w:sz w:val="20"/>
          <w:szCs w:val="20"/>
          <w:lang w:eastAsia="zh-CN"/>
          <w14:textFill>
            <w14:solidFill>
              <w14:schemeClr w14:val="tx1"/>
            </w14:solidFill>
          </w14:textFill>
        </w:rPr>
        <w:t xml:space="preserve">: </w:t>
      </w:r>
      <w:r>
        <w:rPr>
          <w:rFonts w:hint="eastAsia" w:ascii="Times New Roman" w:hAnsi="Times New Roman" w:eastAsia="宋体"/>
          <w:b/>
          <w:bCs/>
          <w:color w:val="000000" w:themeColor="text1"/>
          <w:sz w:val="20"/>
          <w:szCs w:val="20"/>
          <w:lang w:val="en-US" w:eastAsia="zh-CN"/>
          <w14:textFill>
            <w14:solidFill>
              <w14:schemeClr w14:val="tx1"/>
            </w14:solidFill>
          </w14:textFill>
        </w:rPr>
        <w:t>The Inventory Assistance Information should includes the “Estimate of Expected D2R Message Size” as the optional IE.</w:t>
      </w:r>
    </w:p>
    <w:p>
      <w:pPr>
        <w:pStyle w:val="2"/>
        <w:numPr>
          <w:ilvl w:val="0"/>
          <w:numId w:val="2"/>
        </w:numPr>
      </w:pPr>
      <w:r>
        <w:t>Reference</w:t>
      </w:r>
    </w:p>
    <w:p>
      <w:pPr>
        <w:pStyle w:val="63"/>
        <w:ind w:left="0" w:firstLine="0"/>
        <w:rPr>
          <w:sz w:val="16"/>
          <w:szCs w:val="16"/>
        </w:rPr>
      </w:pPr>
      <w:bookmarkStart w:id="2" w:name="_Hlk188466232"/>
      <w:r>
        <w:rPr>
          <w:rFonts w:hint="eastAsia"/>
          <w:lang w:eastAsia="zh-CN"/>
        </w:rPr>
        <w:t>[</w:t>
      </w:r>
      <w:r>
        <w:rPr>
          <w:lang w:eastAsia="zh-CN"/>
        </w:rPr>
        <w:t>1]</w:t>
      </w:r>
      <w:bookmarkEnd w:id="2"/>
      <w:r>
        <w:rPr>
          <w:rFonts w:hint="eastAsia"/>
          <w:lang w:eastAsia="zh-CN"/>
        </w:rPr>
        <w:t xml:space="preserve"> </w:t>
      </w:r>
      <w:r>
        <w:rPr>
          <w:lang w:eastAsia="zh-CN"/>
        </w:rPr>
        <w:t>3GPP TR 38.769 V19.0.0, Study on solutions for Ambient IoT (Internet of Things) in NR</w:t>
      </w:r>
    </w:p>
    <w:p>
      <w:pPr>
        <w:rPr>
          <w:b/>
          <w:bCs/>
          <w:i/>
          <w:iCs/>
          <w:color w:val="0070C0"/>
          <w:sz w:val="24"/>
          <w:szCs w:val="24"/>
          <w:lang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entury">
    <w:panose1 w:val="02040604050505020304"/>
    <w:charset w:val="00"/>
    <w:family w:val="roman"/>
    <w:pitch w:val="default"/>
    <w:sig w:usb0="00000287" w:usb1="00000000" w:usb2="00000000" w:usb3="00000000" w:csb0="2000009F" w:csb1="DFD7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微软雅黑"/>
    <w:panose1 w:val="020B0604020202020204"/>
    <w:charset w:val="86"/>
    <w:family w:val="swiss"/>
    <w:pitch w:val="default"/>
    <w:sig w:usb0="00000000" w:usb1="00000000" w:usb2="0000003F" w:usb3="00000000" w:csb0="003F01F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A34518"/>
    <w:multiLevelType w:val="multilevel"/>
    <w:tmpl w:val="36A34518"/>
    <w:lvl w:ilvl="0" w:tentative="0">
      <w:start w:val="1"/>
      <w:numFmt w:val="decimal"/>
      <w:pStyle w:val="121"/>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66E814EE"/>
    <w:multiLevelType w:val="multilevel"/>
    <w:tmpl w:val="66E814EE"/>
    <w:lvl w:ilvl="0" w:tentative="0">
      <w:start w:val="10"/>
      <w:numFmt w:val="bullet"/>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DA23887"/>
    <w:multiLevelType w:val="multilevel"/>
    <w:tmpl w:val="6DA23887"/>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B1E3F"/>
    <w:rsid w:val="000C038A"/>
    <w:rsid w:val="000C4B32"/>
    <w:rsid w:val="000C5B85"/>
    <w:rsid w:val="000C6598"/>
    <w:rsid w:val="000D6382"/>
    <w:rsid w:val="000E1199"/>
    <w:rsid w:val="000F23FA"/>
    <w:rsid w:val="000F3BE4"/>
    <w:rsid w:val="00112C4C"/>
    <w:rsid w:val="00145D43"/>
    <w:rsid w:val="001562B4"/>
    <w:rsid w:val="0016286B"/>
    <w:rsid w:val="001670C1"/>
    <w:rsid w:val="001763A1"/>
    <w:rsid w:val="00191183"/>
    <w:rsid w:val="00192C46"/>
    <w:rsid w:val="001A2DEA"/>
    <w:rsid w:val="001A5989"/>
    <w:rsid w:val="001A7B60"/>
    <w:rsid w:val="001B6CDC"/>
    <w:rsid w:val="001B7A65"/>
    <w:rsid w:val="001D2CB8"/>
    <w:rsid w:val="001E41F3"/>
    <w:rsid w:val="001E48D4"/>
    <w:rsid w:val="001F6DCE"/>
    <w:rsid w:val="002137ED"/>
    <w:rsid w:val="002218D6"/>
    <w:rsid w:val="0024413D"/>
    <w:rsid w:val="002442D4"/>
    <w:rsid w:val="002515A5"/>
    <w:rsid w:val="00255E1D"/>
    <w:rsid w:val="0026004D"/>
    <w:rsid w:val="00262C39"/>
    <w:rsid w:val="002636A7"/>
    <w:rsid w:val="00274611"/>
    <w:rsid w:val="0027588B"/>
    <w:rsid w:val="00275D12"/>
    <w:rsid w:val="002769EB"/>
    <w:rsid w:val="00276F6C"/>
    <w:rsid w:val="002860C4"/>
    <w:rsid w:val="00290BBD"/>
    <w:rsid w:val="0029196F"/>
    <w:rsid w:val="002A37C8"/>
    <w:rsid w:val="002A47EF"/>
    <w:rsid w:val="002B23F9"/>
    <w:rsid w:val="002B24C6"/>
    <w:rsid w:val="002B5741"/>
    <w:rsid w:val="002B5B7A"/>
    <w:rsid w:val="002C216D"/>
    <w:rsid w:val="002C238A"/>
    <w:rsid w:val="002E595A"/>
    <w:rsid w:val="0030369B"/>
    <w:rsid w:val="00305409"/>
    <w:rsid w:val="00311A57"/>
    <w:rsid w:val="00317130"/>
    <w:rsid w:val="00317204"/>
    <w:rsid w:val="00341ABE"/>
    <w:rsid w:val="0035319E"/>
    <w:rsid w:val="00353346"/>
    <w:rsid w:val="003739ED"/>
    <w:rsid w:val="00376EE0"/>
    <w:rsid w:val="00384AE4"/>
    <w:rsid w:val="00386D07"/>
    <w:rsid w:val="00390818"/>
    <w:rsid w:val="00392B19"/>
    <w:rsid w:val="00396631"/>
    <w:rsid w:val="003A4E1D"/>
    <w:rsid w:val="003A5266"/>
    <w:rsid w:val="003B4754"/>
    <w:rsid w:val="003B5313"/>
    <w:rsid w:val="003B597F"/>
    <w:rsid w:val="003B7609"/>
    <w:rsid w:val="003C12C0"/>
    <w:rsid w:val="003D15E8"/>
    <w:rsid w:val="003E1A36"/>
    <w:rsid w:val="003E4FDD"/>
    <w:rsid w:val="003E7DB4"/>
    <w:rsid w:val="003F54CE"/>
    <w:rsid w:val="00401CFB"/>
    <w:rsid w:val="0040623E"/>
    <w:rsid w:val="004165D0"/>
    <w:rsid w:val="004242F1"/>
    <w:rsid w:val="00434FCB"/>
    <w:rsid w:val="00447131"/>
    <w:rsid w:val="00467657"/>
    <w:rsid w:val="00477480"/>
    <w:rsid w:val="00477891"/>
    <w:rsid w:val="004821D9"/>
    <w:rsid w:val="004839DB"/>
    <w:rsid w:val="004865D4"/>
    <w:rsid w:val="004A1950"/>
    <w:rsid w:val="004A20E3"/>
    <w:rsid w:val="004B2248"/>
    <w:rsid w:val="004B697B"/>
    <w:rsid w:val="004B75B7"/>
    <w:rsid w:val="004F242B"/>
    <w:rsid w:val="00501900"/>
    <w:rsid w:val="00504C45"/>
    <w:rsid w:val="005124D6"/>
    <w:rsid w:val="00512992"/>
    <w:rsid w:val="0051580D"/>
    <w:rsid w:val="00517BA1"/>
    <w:rsid w:val="00520062"/>
    <w:rsid w:val="00533072"/>
    <w:rsid w:val="00540E46"/>
    <w:rsid w:val="00546D8E"/>
    <w:rsid w:val="00564BDC"/>
    <w:rsid w:val="00564E95"/>
    <w:rsid w:val="00581960"/>
    <w:rsid w:val="005908FA"/>
    <w:rsid w:val="00592D74"/>
    <w:rsid w:val="00592FB9"/>
    <w:rsid w:val="005A69EE"/>
    <w:rsid w:val="005B487A"/>
    <w:rsid w:val="005C0A63"/>
    <w:rsid w:val="005C3130"/>
    <w:rsid w:val="005C4D70"/>
    <w:rsid w:val="005D1375"/>
    <w:rsid w:val="005D79D0"/>
    <w:rsid w:val="005E2C44"/>
    <w:rsid w:val="005E3D2A"/>
    <w:rsid w:val="005E4D8A"/>
    <w:rsid w:val="005F2108"/>
    <w:rsid w:val="005F436C"/>
    <w:rsid w:val="00601A27"/>
    <w:rsid w:val="0060567A"/>
    <w:rsid w:val="006137D5"/>
    <w:rsid w:val="00621188"/>
    <w:rsid w:val="0062207D"/>
    <w:rsid w:val="00625052"/>
    <w:rsid w:val="006257ED"/>
    <w:rsid w:val="0062763C"/>
    <w:rsid w:val="006310E9"/>
    <w:rsid w:val="006370F5"/>
    <w:rsid w:val="00646C7D"/>
    <w:rsid w:val="0066445F"/>
    <w:rsid w:val="006647F1"/>
    <w:rsid w:val="006760A7"/>
    <w:rsid w:val="00676A99"/>
    <w:rsid w:val="006804C7"/>
    <w:rsid w:val="00680F1E"/>
    <w:rsid w:val="006848B8"/>
    <w:rsid w:val="00690C44"/>
    <w:rsid w:val="00695808"/>
    <w:rsid w:val="006A5614"/>
    <w:rsid w:val="006B46FB"/>
    <w:rsid w:val="006D56BC"/>
    <w:rsid w:val="006E21FB"/>
    <w:rsid w:val="006E74F4"/>
    <w:rsid w:val="006F5D71"/>
    <w:rsid w:val="0071052A"/>
    <w:rsid w:val="00711130"/>
    <w:rsid w:val="0071763D"/>
    <w:rsid w:val="0072613B"/>
    <w:rsid w:val="007342B2"/>
    <w:rsid w:val="00742578"/>
    <w:rsid w:val="00762BC0"/>
    <w:rsid w:val="00765952"/>
    <w:rsid w:val="00766C72"/>
    <w:rsid w:val="007675A1"/>
    <w:rsid w:val="00773339"/>
    <w:rsid w:val="00775CD6"/>
    <w:rsid w:val="007767A3"/>
    <w:rsid w:val="00783656"/>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70EE7"/>
    <w:rsid w:val="008B1F20"/>
    <w:rsid w:val="008C4751"/>
    <w:rsid w:val="008D1EDE"/>
    <w:rsid w:val="008F3C83"/>
    <w:rsid w:val="008F686C"/>
    <w:rsid w:val="009017EE"/>
    <w:rsid w:val="00913222"/>
    <w:rsid w:val="00913548"/>
    <w:rsid w:val="00916443"/>
    <w:rsid w:val="00917C9F"/>
    <w:rsid w:val="00931273"/>
    <w:rsid w:val="00935E75"/>
    <w:rsid w:val="00936638"/>
    <w:rsid w:val="00955FBC"/>
    <w:rsid w:val="00957FD2"/>
    <w:rsid w:val="00972525"/>
    <w:rsid w:val="00973506"/>
    <w:rsid w:val="009777D9"/>
    <w:rsid w:val="009824D9"/>
    <w:rsid w:val="00991B88"/>
    <w:rsid w:val="00995252"/>
    <w:rsid w:val="00996397"/>
    <w:rsid w:val="009A1081"/>
    <w:rsid w:val="009A579D"/>
    <w:rsid w:val="009E0762"/>
    <w:rsid w:val="009E3297"/>
    <w:rsid w:val="009F251D"/>
    <w:rsid w:val="009F734F"/>
    <w:rsid w:val="00A04081"/>
    <w:rsid w:val="00A07158"/>
    <w:rsid w:val="00A12005"/>
    <w:rsid w:val="00A134E6"/>
    <w:rsid w:val="00A17864"/>
    <w:rsid w:val="00A20AB3"/>
    <w:rsid w:val="00A20E59"/>
    <w:rsid w:val="00A21256"/>
    <w:rsid w:val="00A246B6"/>
    <w:rsid w:val="00A3732B"/>
    <w:rsid w:val="00A47E70"/>
    <w:rsid w:val="00A53AEF"/>
    <w:rsid w:val="00A71BFF"/>
    <w:rsid w:val="00A7671C"/>
    <w:rsid w:val="00A768D7"/>
    <w:rsid w:val="00A957CD"/>
    <w:rsid w:val="00AB00C3"/>
    <w:rsid w:val="00AB1244"/>
    <w:rsid w:val="00AB2D0E"/>
    <w:rsid w:val="00AB533B"/>
    <w:rsid w:val="00AB5661"/>
    <w:rsid w:val="00AD1CD8"/>
    <w:rsid w:val="00AD2492"/>
    <w:rsid w:val="00AE5A38"/>
    <w:rsid w:val="00AE6E2C"/>
    <w:rsid w:val="00AF43A8"/>
    <w:rsid w:val="00AF4D82"/>
    <w:rsid w:val="00B02FCC"/>
    <w:rsid w:val="00B0416F"/>
    <w:rsid w:val="00B0502B"/>
    <w:rsid w:val="00B24807"/>
    <w:rsid w:val="00B258BB"/>
    <w:rsid w:val="00B437CA"/>
    <w:rsid w:val="00B50379"/>
    <w:rsid w:val="00B560B5"/>
    <w:rsid w:val="00B57961"/>
    <w:rsid w:val="00B66125"/>
    <w:rsid w:val="00B67B97"/>
    <w:rsid w:val="00B70BDD"/>
    <w:rsid w:val="00B76C75"/>
    <w:rsid w:val="00B968C8"/>
    <w:rsid w:val="00BA3EC5"/>
    <w:rsid w:val="00BB5DFC"/>
    <w:rsid w:val="00BD279D"/>
    <w:rsid w:val="00BD3DAC"/>
    <w:rsid w:val="00BD6BB8"/>
    <w:rsid w:val="00BE3B42"/>
    <w:rsid w:val="00BF423B"/>
    <w:rsid w:val="00C01F0B"/>
    <w:rsid w:val="00C12DBC"/>
    <w:rsid w:val="00C31B69"/>
    <w:rsid w:val="00C51E6C"/>
    <w:rsid w:val="00C5481B"/>
    <w:rsid w:val="00C573F0"/>
    <w:rsid w:val="00C6695C"/>
    <w:rsid w:val="00C74ED2"/>
    <w:rsid w:val="00C76DDA"/>
    <w:rsid w:val="00C945DB"/>
    <w:rsid w:val="00C95985"/>
    <w:rsid w:val="00C95B80"/>
    <w:rsid w:val="00CA6304"/>
    <w:rsid w:val="00CB0218"/>
    <w:rsid w:val="00CB3632"/>
    <w:rsid w:val="00CB512D"/>
    <w:rsid w:val="00CC5026"/>
    <w:rsid w:val="00CE52B2"/>
    <w:rsid w:val="00CE5C0E"/>
    <w:rsid w:val="00D03F9A"/>
    <w:rsid w:val="00D07574"/>
    <w:rsid w:val="00D104E0"/>
    <w:rsid w:val="00D105DC"/>
    <w:rsid w:val="00D11798"/>
    <w:rsid w:val="00D157AF"/>
    <w:rsid w:val="00D202FA"/>
    <w:rsid w:val="00D22483"/>
    <w:rsid w:val="00D30059"/>
    <w:rsid w:val="00D338B8"/>
    <w:rsid w:val="00D35F6F"/>
    <w:rsid w:val="00D608C3"/>
    <w:rsid w:val="00D61EF1"/>
    <w:rsid w:val="00D61FA8"/>
    <w:rsid w:val="00D63018"/>
    <w:rsid w:val="00D95B9C"/>
    <w:rsid w:val="00D96016"/>
    <w:rsid w:val="00DB66FE"/>
    <w:rsid w:val="00DD5724"/>
    <w:rsid w:val="00DE34CF"/>
    <w:rsid w:val="00DE6E1D"/>
    <w:rsid w:val="00E02866"/>
    <w:rsid w:val="00E15BA1"/>
    <w:rsid w:val="00E27E18"/>
    <w:rsid w:val="00E64117"/>
    <w:rsid w:val="00E70EE9"/>
    <w:rsid w:val="00E7392D"/>
    <w:rsid w:val="00E87E10"/>
    <w:rsid w:val="00E9743C"/>
    <w:rsid w:val="00EA32CF"/>
    <w:rsid w:val="00EB2397"/>
    <w:rsid w:val="00EB3F46"/>
    <w:rsid w:val="00EE057E"/>
    <w:rsid w:val="00EE0733"/>
    <w:rsid w:val="00EE2C7A"/>
    <w:rsid w:val="00EE7D7C"/>
    <w:rsid w:val="00EF376B"/>
    <w:rsid w:val="00EF3A19"/>
    <w:rsid w:val="00F03AED"/>
    <w:rsid w:val="00F03C76"/>
    <w:rsid w:val="00F10B0F"/>
    <w:rsid w:val="00F11694"/>
    <w:rsid w:val="00F2517E"/>
    <w:rsid w:val="00F25D98"/>
    <w:rsid w:val="00F300FB"/>
    <w:rsid w:val="00F3190B"/>
    <w:rsid w:val="00F3378A"/>
    <w:rsid w:val="00F33E2E"/>
    <w:rsid w:val="00F572FB"/>
    <w:rsid w:val="00F61596"/>
    <w:rsid w:val="00F67955"/>
    <w:rsid w:val="00F75006"/>
    <w:rsid w:val="00F77D84"/>
    <w:rsid w:val="00F9031B"/>
    <w:rsid w:val="00FA55A0"/>
    <w:rsid w:val="00FA6FED"/>
    <w:rsid w:val="00FB6386"/>
    <w:rsid w:val="00FB7DE3"/>
    <w:rsid w:val="00FC3D3D"/>
    <w:rsid w:val="00FE006E"/>
    <w:rsid w:val="00FE57B3"/>
    <w:rsid w:val="152145D8"/>
    <w:rsid w:val="18B03A11"/>
    <w:rsid w:val="1EF90AFD"/>
    <w:rsid w:val="2F6F6D61"/>
    <w:rsid w:val="392B63C1"/>
    <w:rsid w:val="3CA1529C"/>
    <w:rsid w:val="48F868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8"/>
    <w:qFormat/>
    <w:uiPriority w:val="0"/>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left" w:pos="1560"/>
        <w:tab w:val="right" w:leader="dot" w:pos="9639"/>
      </w:tabs>
      <w:ind w:left="2268" w:hanging="2268"/>
    </w:pPr>
  </w:style>
  <w:style w:type="paragraph" w:styleId="16">
    <w:name w:val="toc 6"/>
    <w:basedOn w:val="17"/>
    <w:next w:val="1"/>
    <w:qFormat/>
    <w:uiPriority w:val="0"/>
    <w:pPr>
      <w:tabs>
        <w:tab w:val="left" w:pos="1560"/>
        <w:tab w:val="right" w:leader="dot" w:pos="9639"/>
      </w:tabs>
      <w:ind w:left="1985" w:hanging="1985"/>
    </w:pPr>
  </w:style>
  <w:style w:type="paragraph" w:styleId="17">
    <w:name w:val="toc 5"/>
    <w:basedOn w:val="18"/>
    <w:next w:val="1"/>
    <w:qFormat/>
    <w:uiPriority w:val="0"/>
    <w:pPr>
      <w:tabs>
        <w:tab w:val="left" w:pos="1560"/>
        <w:tab w:val="right" w:leader="dot" w:pos="9639"/>
      </w:tabs>
      <w:ind w:left="1701" w:hanging="1701"/>
    </w:pPr>
  </w:style>
  <w:style w:type="paragraph" w:styleId="18">
    <w:name w:val="toc 4"/>
    <w:basedOn w:val="19"/>
    <w:next w:val="1"/>
    <w:qFormat/>
    <w:uiPriority w:val="0"/>
    <w:pPr>
      <w:tabs>
        <w:tab w:val="left" w:pos="1560"/>
        <w:tab w:val="right" w:leader="dot" w:pos="9639"/>
      </w:tabs>
      <w:ind w:left="1418" w:hanging="1418"/>
    </w:pPr>
  </w:style>
  <w:style w:type="paragraph" w:styleId="19">
    <w:name w:val="toc 3"/>
    <w:basedOn w:val="20"/>
    <w:next w:val="1"/>
    <w:qFormat/>
    <w:uiPriority w:val="0"/>
    <w:pPr>
      <w:tabs>
        <w:tab w:val="left" w:pos="1560"/>
        <w:tab w:val="right" w:leader="dot" w:pos="9639"/>
      </w:tabs>
      <w:ind w:left="1134" w:hanging="1134"/>
    </w:pPr>
  </w:style>
  <w:style w:type="paragraph" w:styleId="20">
    <w:name w:val="toc 2"/>
    <w:basedOn w:val="21"/>
    <w:next w:val="1"/>
    <w:uiPriority w:val="0"/>
    <w:pPr>
      <w:keepNext w:val="0"/>
      <w:tabs>
        <w:tab w:val="left" w:pos="1560"/>
        <w:tab w:val="right" w:leader="dot" w:pos="9639"/>
      </w:tabs>
      <w:spacing w:before="0" w:after="0"/>
      <w:ind w:left="851" w:hanging="851"/>
    </w:pPr>
    <w:rPr>
      <w:b w:val="0"/>
      <w:sz w:val="20"/>
    </w:rPr>
  </w:style>
  <w:style w:type="paragraph" w:styleId="21">
    <w:name w:val="toc 1"/>
    <w:basedOn w:val="22"/>
    <w:next w:val="1"/>
    <w:qFormat/>
    <w:uiPriority w:val="39"/>
    <w:pPr>
      <w:keepNext/>
      <w:keepLines/>
      <w:widowControl w:val="0"/>
      <w:tabs>
        <w:tab w:val="left" w:pos="1560"/>
        <w:tab w:val="right" w:leader="dot" w:pos="9639"/>
      </w:tabs>
      <w:spacing w:before="120"/>
      <w:ind w:left="567" w:right="425" w:hanging="567"/>
    </w:pPr>
    <w:rPr>
      <w:sz w:val="22"/>
    </w:rPr>
  </w:style>
  <w:style w:type="paragraph" w:customStyle="1" w:styleId="22">
    <w:name w:val="Proposal list"/>
    <w:basedOn w:val="1"/>
    <w:link w:val="123"/>
    <w:qFormat/>
    <w:uiPriority w:val="0"/>
    <w:pPr>
      <w:tabs>
        <w:tab w:val="left" w:pos="1560"/>
      </w:tabs>
      <w:ind w:left="1560" w:hanging="1134"/>
    </w:pPr>
    <w:rPr>
      <w:b/>
    </w:rPr>
  </w:style>
  <w:style w:type="paragraph" w:styleId="23">
    <w:name w:val="List Number 2"/>
    <w:basedOn w:val="24"/>
    <w:qFormat/>
    <w:uiPriority w:val="0"/>
    <w:pPr>
      <w:ind w:left="851"/>
    </w:pPr>
  </w:style>
  <w:style w:type="paragraph" w:styleId="24">
    <w:name w:val="List Number"/>
    <w:basedOn w:val="14"/>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uiPriority w:val="0"/>
  </w:style>
  <w:style w:type="paragraph" w:styleId="29">
    <w:name w:val="Document Map"/>
    <w:basedOn w:val="1"/>
    <w:link w:val="117"/>
    <w:uiPriority w:val="0"/>
    <w:pPr>
      <w:shd w:val="clear" w:color="auto" w:fill="000080"/>
    </w:pPr>
    <w:rPr>
      <w:rFonts w:ascii="Tahoma" w:hAnsi="Tahoma" w:cs="Tahoma"/>
    </w:rPr>
  </w:style>
  <w:style w:type="paragraph" w:styleId="30">
    <w:name w:val="annotation text"/>
    <w:basedOn w:val="1"/>
    <w:link w:val="115"/>
    <w:uiPriority w:val="0"/>
  </w:style>
  <w:style w:type="paragraph" w:styleId="31">
    <w:name w:val="Plain Text"/>
    <w:basedOn w:val="1"/>
    <w:unhideWhenUsed/>
    <w:qFormat/>
    <w:uiPriority w:val="99"/>
    <w:pPr>
      <w:overflowPunct/>
      <w:autoSpaceDE/>
      <w:autoSpaceDN/>
      <w:adjustRightInd/>
      <w:spacing w:after="0"/>
      <w:textAlignment w:val="auto"/>
    </w:pPr>
    <w:rPr>
      <w:rFonts w:ascii="Calibri" w:hAnsi="Calibri" w:eastAsia="Calibri"/>
      <w:sz w:val="22"/>
      <w:szCs w:val="21"/>
    </w:rPr>
  </w:style>
  <w:style w:type="paragraph" w:styleId="32">
    <w:name w:val="List Bullet 5"/>
    <w:basedOn w:val="25"/>
    <w:uiPriority w:val="0"/>
    <w:pPr>
      <w:ind w:left="1702"/>
    </w:pPr>
  </w:style>
  <w:style w:type="paragraph" w:styleId="33">
    <w:name w:val="toc 8"/>
    <w:basedOn w:val="21"/>
    <w:next w:val="1"/>
    <w:uiPriority w:val="0"/>
    <w:pPr>
      <w:tabs>
        <w:tab w:val="clear" w:pos="1560"/>
      </w:tabs>
      <w:spacing w:before="180" w:after="0"/>
      <w:ind w:left="2693" w:hanging="2693"/>
    </w:pPr>
  </w:style>
  <w:style w:type="paragraph" w:styleId="34">
    <w:name w:val="Balloon Text"/>
    <w:basedOn w:val="1"/>
    <w:link w:val="97"/>
    <w:uiPriority w:val="0"/>
    <w:rPr>
      <w:rFonts w:ascii="Tahoma" w:hAnsi="Tahoma" w:cs="Tahoma"/>
      <w:sz w:val="16"/>
      <w:szCs w:val="16"/>
    </w:rPr>
  </w:style>
  <w:style w:type="paragraph" w:styleId="35">
    <w:name w:val="footer"/>
    <w:basedOn w:val="36"/>
    <w:link w:val="100"/>
    <w:uiPriority w:val="0"/>
    <w:pPr>
      <w:jc w:val="center"/>
    </w:pPr>
    <w:rPr>
      <w:i/>
    </w:rPr>
  </w:style>
  <w:style w:type="paragraph" w:styleId="36">
    <w:name w:val="header"/>
    <w:link w:val="90"/>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114"/>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uiPriority w:val="0"/>
    <w:pPr>
      <w:ind w:left="1418"/>
    </w:pPr>
  </w:style>
  <w:style w:type="paragraph" w:styleId="40">
    <w:name w:val="toc 9"/>
    <w:basedOn w:val="33"/>
    <w:next w:val="1"/>
    <w:uiPriority w:val="0"/>
    <w:pPr>
      <w:ind w:left="1418" w:hanging="1418"/>
    </w:pPr>
  </w:style>
  <w:style w:type="paragraph" w:styleId="41">
    <w:name w:val="Normal (Web)"/>
    <w:basedOn w:val="1"/>
    <w:unhideWhenUsed/>
    <w:uiPriority w:val="99"/>
    <w:pPr>
      <w:spacing w:before="100" w:beforeAutospacing="1" w:after="100" w:afterAutospacing="1"/>
    </w:pPr>
    <w:rPr>
      <w:rFonts w:ascii="宋体" w:hAnsi="宋体" w:eastAsia="宋体" w:cs="宋体"/>
      <w:sz w:val="24"/>
      <w:szCs w:val="24"/>
      <w:lang w:val="en-US" w:eastAsia="zh-CN"/>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link w:val="116"/>
    <w:uiPriority w:val="0"/>
    <w:rPr>
      <w:b/>
      <w:bCs/>
    </w:rPr>
  </w:style>
  <w:style w:type="table" w:styleId="46">
    <w:name w:val="Table Grid"/>
    <w:basedOn w:val="4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95"/>
    <w:uiPriority w:val="0"/>
    <w:rPr>
      <w:b/>
    </w:rPr>
  </w:style>
  <w:style w:type="paragraph" w:customStyle="1" w:styleId="58">
    <w:name w:val="TAC"/>
    <w:basedOn w:val="59"/>
    <w:link w:val="94"/>
    <w:uiPriority w:val="0"/>
    <w:pPr>
      <w:jc w:val="center"/>
    </w:pPr>
  </w:style>
  <w:style w:type="paragraph" w:customStyle="1" w:styleId="59">
    <w:name w:val="TAL"/>
    <w:basedOn w:val="1"/>
    <w:link w:val="93"/>
    <w:qFormat/>
    <w:uiPriority w:val="0"/>
    <w:pPr>
      <w:keepNext/>
      <w:keepLines/>
      <w:spacing w:after="0"/>
    </w:pPr>
    <w:rPr>
      <w:rFonts w:ascii="Arial" w:hAnsi="Arial"/>
      <w:sz w:val="18"/>
    </w:rPr>
  </w:style>
  <w:style w:type="paragraph" w:customStyle="1" w:styleId="60">
    <w:name w:val="TF"/>
    <w:basedOn w:val="61"/>
    <w:link w:val="107"/>
    <w:qFormat/>
    <w:uiPriority w:val="0"/>
    <w:pPr>
      <w:keepNext w:val="0"/>
      <w:spacing w:before="0" w:after="240"/>
    </w:pPr>
  </w:style>
  <w:style w:type="paragraph" w:customStyle="1" w:styleId="61">
    <w:name w:val="TH"/>
    <w:basedOn w:val="1"/>
    <w:link w:val="106"/>
    <w:qFormat/>
    <w:uiPriority w:val="0"/>
    <w:pPr>
      <w:keepNext/>
      <w:keepLines/>
      <w:spacing w:before="60"/>
      <w:jc w:val="center"/>
    </w:pPr>
    <w:rPr>
      <w:rFonts w:ascii="Arial" w:hAnsi="Arial"/>
      <w:b/>
    </w:rPr>
  </w:style>
  <w:style w:type="paragraph" w:customStyle="1" w:styleId="62">
    <w:name w:val="NO"/>
    <w:basedOn w:val="1"/>
    <w:link w:val="101"/>
    <w:qFormat/>
    <w:uiPriority w:val="0"/>
    <w:pPr>
      <w:keepLines/>
      <w:ind w:left="1135" w:hanging="851"/>
    </w:pPr>
  </w:style>
  <w:style w:type="paragraph" w:customStyle="1" w:styleId="63">
    <w:name w:val="EX"/>
    <w:basedOn w:val="1"/>
    <w:link w:val="103"/>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10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0"/>
    <w:pPr>
      <w:jc w:val="right"/>
    </w:pPr>
  </w:style>
  <w:style w:type="paragraph" w:customStyle="1" w:styleId="72">
    <w:name w:val="TAN"/>
    <w:basedOn w:val="59"/>
    <w:uiPriority w:val="0"/>
    <w:pPr>
      <w:ind w:left="851" w:hanging="851"/>
    </w:pPr>
  </w:style>
  <w:style w:type="paragraph" w:customStyle="1" w:styleId="73">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0"/>
    <w:pPr>
      <w:framePr w:y="16161"/>
    </w:pPr>
  </w:style>
  <w:style w:type="character" w:customStyle="1" w:styleId="78">
    <w:name w:val="ZGSM"/>
    <w:uiPriority w:val="0"/>
  </w:style>
  <w:style w:type="paragraph" w:customStyle="1" w:styleId="79">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5"/>
    <w:qFormat/>
    <w:uiPriority w:val="0"/>
    <w:rPr>
      <w:color w:val="FF0000"/>
    </w:rPr>
  </w:style>
  <w:style w:type="paragraph" w:customStyle="1" w:styleId="81">
    <w:name w:val="B1"/>
    <w:basedOn w:val="14"/>
    <w:link w:val="104"/>
    <w:qFormat/>
    <w:uiPriority w:val="0"/>
  </w:style>
  <w:style w:type="paragraph" w:customStyle="1" w:styleId="82">
    <w:name w:val="B2"/>
    <w:basedOn w:val="13"/>
    <w:link w:val="108"/>
    <w:qFormat/>
    <w:uiPriority w:val="0"/>
  </w:style>
  <w:style w:type="paragraph" w:customStyle="1" w:styleId="83">
    <w:name w:val="B3"/>
    <w:basedOn w:val="12"/>
    <w:link w:val="109"/>
    <w:qFormat/>
    <w:uiPriority w:val="0"/>
  </w:style>
  <w:style w:type="paragraph" w:customStyle="1" w:styleId="84">
    <w:name w:val="B4"/>
    <w:basedOn w:val="39"/>
    <w:qFormat/>
    <w:uiPriority w:val="0"/>
  </w:style>
  <w:style w:type="paragraph" w:customStyle="1" w:styleId="85">
    <w:name w:val="B5"/>
    <w:basedOn w:val="38"/>
    <w:uiPriority w:val="0"/>
  </w:style>
  <w:style w:type="paragraph" w:customStyle="1" w:styleId="86">
    <w:name w:val="ZTD"/>
    <w:basedOn w:val="74"/>
    <w:uiPriority w:val="0"/>
    <w:pPr>
      <w:framePr w:hRule="auto" w:y="852"/>
    </w:pPr>
    <w:rPr>
      <w:i w:val="0"/>
      <w:sz w:val="40"/>
    </w:rPr>
  </w:style>
  <w:style w:type="paragraph" w:customStyle="1" w:styleId="87">
    <w:name w:val="CR Cover Page"/>
    <w:uiPriority w:val="0"/>
    <w:pPr>
      <w:spacing w:after="120"/>
    </w:pPr>
    <w:rPr>
      <w:rFonts w:ascii="Arial" w:hAnsi="Arial" w:cs="Times New Roman" w:eastAsiaTheme="minorEastAsia"/>
      <w:lang w:val="en-GB" w:eastAsia="en-US" w:bidi="ar-SA"/>
    </w:rPr>
  </w:style>
  <w:style w:type="paragraph" w:customStyle="1" w:styleId="88">
    <w:name w:val="tdoc-header"/>
    <w:qFormat/>
    <w:uiPriority w:val="0"/>
    <w:rPr>
      <w:rFonts w:ascii="Arial" w:hAnsi="Arial" w:cs="Times New Roman" w:eastAsiaTheme="minorEastAsia"/>
      <w:sz w:val="24"/>
      <w:lang w:val="en-GB" w:eastAsia="en-US" w:bidi="ar-SA"/>
    </w:rPr>
  </w:style>
  <w:style w:type="paragraph" w:customStyle="1" w:styleId="89">
    <w:name w:val="First Change"/>
    <w:basedOn w:val="1"/>
    <w:uiPriority w:val="0"/>
    <w:pPr>
      <w:jc w:val="center"/>
    </w:pPr>
    <w:rPr>
      <w:color w:val="FF0000"/>
    </w:rPr>
  </w:style>
  <w:style w:type="character" w:customStyle="1" w:styleId="90">
    <w:name w:val="Header Char"/>
    <w:link w:val="36"/>
    <w:uiPriority w:val="0"/>
    <w:rPr>
      <w:rFonts w:ascii="Arial" w:hAnsi="Arial"/>
      <w:b/>
      <w:sz w:val="18"/>
      <w:lang w:eastAsia="en-US"/>
    </w:rPr>
  </w:style>
  <w:style w:type="paragraph" w:customStyle="1" w:styleId="91">
    <w:name w:val="a"/>
    <w:basedOn w:val="87"/>
    <w:qFormat/>
    <w:uiPriority w:val="0"/>
    <w:pPr>
      <w:tabs>
        <w:tab w:val="left" w:pos="1985"/>
      </w:tabs>
    </w:pPr>
    <w:rPr>
      <w:rFonts w:cs="Arial"/>
      <w:b/>
      <w:bCs/>
      <w:color w:val="000000"/>
      <w:sz w:val="24"/>
      <w:szCs w:val="24"/>
      <w:lang w:val="en-US"/>
    </w:rPr>
  </w:style>
  <w:style w:type="paragraph" w:customStyle="1" w:styleId="92">
    <w:name w:val="Discussion"/>
    <w:basedOn w:val="1"/>
    <w:uiPriority w:val="0"/>
    <w:rPr>
      <w:rFonts w:ascii="Arial" w:hAnsi="Arial" w:cs="Arial"/>
    </w:rPr>
  </w:style>
  <w:style w:type="character" w:customStyle="1" w:styleId="93">
    <w:name w:val="TAL Char"/>
    <w:link w:val="59"/>
    <w:uiPriority w:val="0"/>
    <w:rPr>
      <w:rFonts w:ascii="Arial" w:hAnsi="Arial"/>
      <w:sz w:val="18"/>
      <w:lang w:val="en-GB"/>
    </w:rPr>
  </w:style>
  <w:style w:type="character" w:customStyle="1" w:styleId="94">
    <w:name w:val="TAC Char"/>
    <w:link w:val="58"/>
    <w:uiPriority w:val="0"/>
    <w:rPr>
      <w:rFonts w:ascii="Arial" w:hAnsi="Arial"/>
      <w:sz w:val="18"/>
      <w:lang w:val="en-GB"/>
    </w:rPr>
  </w:style>
  <w:style w:type="character" w:customStyle="1" w:styleId="95">
    <w:name w:val="TAH Char"/>
    <w:link w:val="57"/>
    <w:qFormat/>
    <w:uiPriority w:val="0"/>
    <w:rPr>
      <w:rFonts w:ascii="Arial" w:hAnsi="Arial"/>
      <w:b/>
      <w:sz w:val="18"/>
      <w:lang w:val="en-GB"/>
    </w:rPr>
  </w:style>
  <w:style w:type="character" w:customStyle="1" w:styleId="96">
    <w:name w:val="Heading 4 Char"/>
    <w:link w:val="5"/>
    <w:uiPriority w:val="0"/>
    <w:rPr>
      <w:rFonts w:ascii="Arial" w:hAnsi="Arial"/>
      <w:sz w:val="24"/>
      <w:lang w:val="en-GB"/>
    </w:rPr>
  </w:style>
  <w:style w:type="character" w:customStyle="1" w:styleId="97">
    <w:name w:val="Balloon Text Char"/>
    <w:link w:val="34"/>
    <w:uiPriority w:val="0"/>
    <w:rPr>
      <w:rFonts w:ascii="Tahoma" w:hAnsi="Tahoma" w:cs="Tahoma"/>
      <w:sz w:val="16"/>
      <w:szCs w:val="16"/>
      <w:lang w:val="en-GB"/>
    </w:rPr>
  </w:style>
  <w:style w:type="character" w:customStyle="1" w:styleId="98">
    <w:name w:val="Heading 3 Char"/>
    <w:link w:val="4"/>
    <w:uiPriority w:val="0"/>
    <w:rPr>
      <w:rFonts w:ascii="Arial" w:hAnsi="Arial"/>
      <w:sz w:val="28"/>
      <w:lang w:val="en-GB"/>
    </w:rPr>
  </w:style>
  <w:style w:type="character" w:customStyle="1" w:styleId="99">
    <w:name w:val="Heading 6 Char"/>
    <w:link w:val="7"/>
    <w:uiPriority w:val="0"/>
    <w:rPr>
      <w:rFonts w:ascii="Arial" w:hAnsi="Arial"/>
      <w:lang w:val="en-GB"/>
    </w:rPr>
  </w:style>
  <w:style w:type="character" w:customStyle="1" w:styleId="100">
    <w:name w:val="Footer Char"/>
    <w:link w:val="35"/>
    <w:uiPriority w:val="0"/>
    <w:rPr>
      <w:rFonts w:ascii="Arial" w:hAnsi="Arial"/>
      <w:b/>
      <w:i/>
      <w:sz w:val="18"/>
      <w:lang w:val="en-GB"/>
    </w:rPr>
  </w:style>
  <w:style w:type="character" w:customStyle="1" w:styleId="101">
    <w:name w:val="NO Char"/>
    <w:link w:val="62"/>
    <w:qFormat/>
    <w:uiPriority w:val="0"/>
    <w:rPr>
      <w:rFonts w:ascii="Times New Roman" w:hAnsi="Times New Roman"/>
      <w:lang w:val="en-GB"/>
    </w:rPr>
  </w:style>
  <w:style w:type="character" w:customStyle="1" w:styleId="102">
    <w:name w:val="PL Char"/>
    <w:link w:val="70"/>
    <w:qFormat/>
    <w:uiPriority w:val="0"/>
    <w:rPr>
      <w:rFonts w:ascii="Courier New" w:hAnsi="Courier New"/>
      <w:sz w:val="16"/>
      <w:lang w:val="en-GB"/>
    </w:rPr>
  </w:style>
  <w:style w:type="character" w:customStyle="1" w:styleId="103">
    <w:name w:val="EX Char"/>
    <w:link w:val="63"/>
    <w:qFormat/>
    <w:locked/>
    <w:uiPriority w:val="0"/>
    <w:rPr>
      <w:rFonts w:ascii="Times New Roman" w:hAnsi="Times New Roman"/>
      <w:lang w:val="en-GB"/>
    </w:rPr>
  </w:style>
  <w:style w:type="character" w:customStyle="1" w:styleId="104">
    <w:name w:val="B1 Char"/>
    <w:link w:val="81"/>
    <w:qFormat/>
    <w:uiPriority w:val="0"/>
    <w:rPr>
      <w:rFonts w:ascii="Times New Roman" w:hAnsi="Times New Roman"/>
      <w:lang w:val="en-GB"/>
    </w:rPr>
  </w:style>
  <w:style w:type="character" w:customStyle="1" w:styleId="105">
    <w:name w:val="Editor's Note Char"/>
    <w:link w:val="80"/>
    <w:qFormat/>
    <w:uiPriority w:val="0"/>
    <w:rPr>
      <w:rFonts w:ascii="Times New Roman" w:hAnsi="Times New Roman"/>
      <w:color w:val="FF0000"/>
      <w:lang w:val="en-GB"/>
    </w:rPr>
  </w:style>
  <w:style w:type="character" w:customStyle="1" w:styleId="106">
    <w:name w:val="TH Char"/>
    <w:link w:val="61"/>
    <w:qFormat/>
    <w:uiPriority w:val="0"/>
    <w:rPr>
      <w:rFonts w:ascii="Arial" w:hAnsi="Arial"/>
      <w:b/>
      <w:lang w:val="en-GB"/>
    </w:rPr>
  </w:style>
  <w:style w:type="character" w:customStyle="1" w:styleId="107">
    <w:name w:val="TF Char"/>
    <w:link w:val="60"/>
    <w:qFormat/>
    <w:uiPriority w:val="0"/>
    <w:rPr>
      <w:rFonts w:ascii="Arial" w:hAnsi="Arial"/>
      <w:b/>
      <w:lang w:val="en-GB"/>
    </w:rPr>
  </w:style>
  <w:style w:type="character" w:customStyle="1" w:styleId="108">
    <w:name w:val="B2 Char"/>
    <w:link w:val="82"/>
    <w:qFormat/>
    <w:uiPriority w:val="0"/>
    <w:rPr>
      <w:rFonts w:ascii="Times New Roman" w:hAnsi="Times New Roman"/>
      <w:lang w:val="en-GB"/>
    </w:rPr>
  </w:style>
  <w:style w:type="character" w:customStyle="1" w:styleId="109">
    <w:name w:val="B3 Char"/>
    <w:link w:val="83"/>
    <w:uiPriority w:val="0"/>
    <w:rPr>
      <w:rFonts w:ascii="Times New Roman" w:hAnsi="Times New Roman"/>
      <w:lang w:val="en-GB"/>
    </w:rPr>
  </w:style>
  <w:style w:type="paragraph" w:customStyle="1" w:styleId="110">
    <w:name w:val="TAJ"/>
    <w:basedOn w:val="61"/>
    <w:uiPriority w:val="0"/>
    <w:pPr>
      <w:overflowPunct w:val="0"/>
      <w:autoSpaceDE w:val="0"/>
      <w:autoSpaceDN w:val="0"/>
      <w:adjustRightInd w:val="0"/>
      <w:textAlignment w:val="baseline"/>
    </w:pPr>
  </w:style>
  <w:style w:type="paragraph" w:customStyle="1" w:styleId="111">
    <w:name w:val="Guidance"/>
    <w:basedOn w:val="1"/>
    <w:uiPriority w:val="0"/>
    <w:pPr>
      <w:overflowPunct w:val="0"/>
      <w:autoSpaceDE w:val="0"/>
      <w:autoSpaceDN w:val="0"/>
      <w:adjustRightInd w:val="0"/>
      <w:textAlignment w:val="baseline"/>
    </w:pPr>
    <w:rPr>
      <w:i/>
      <w:color w:val="0000FF"/>
    </w:rPr>
  </w:style>
  <w:style w:type="paragraph" w:customStyle="1" w:styleId="112">
    <w:name w:val="Revision"/>
    <w:hidden/>
    <w:semiHidden/>
    <w:uiPriority w:val="99"/>
    <w:rPr>
      <w:rFonts w:ascii="Times New Roman" w:hAnsi="Times New Roman" w:cs="Times New Roman" w:eastAsiaTheme="minorEastAsia"/>
      <w:lang w:val="en-GB" w:eastAsia="en-US" w:bidi="ar-SA"/>
    </w:rPr>
  </w:style>
  <w:style w:type="character" w:customStyle="1" w:styleId="113">
    <w:name w:val="Mention"/>
    <w:semiHidden/>
    <w:unhideWhenUsed/>
    <w:uiPriority w:val="99"/>
    <w:rPr>
      <w:color w:val="2B579A"/>
      <w:shd w:val="clear" w:color="auto" w:fill="E6E6E6"/>
    </w:rPr>
  </w:style>
  <w:style w:type="character" w:customStyle="1" w:styleId="114">
    <w:name w:val="Footnote Text Char"/>
    <w:link w:val="37"/>
    <w:qFormat/>
    <w:uiPriority w:val="0"/>
    <w:rPr>
      <w:rFonts w:ascii="Times New Roman" w:hAnsi="Times New Roman"/>
      <w:sz w:val="16"/>
      <w:lang w:val="en-GB"/>
    </w:rPr>
  </w:style>
  <w:style w:type="character" w:customStyle="1" w:styleId="115">
    <w:name w:val="Comment Text Char"/>
    <w:link w:val="30"/>
    <w:uiPriority w:val="0"/>
    <w:rPr>
      <w:rFonts w:ascii="Times New Roman" w:hAnsi="Times New Roman"/>
      <w:lang w:val="en-GB"/>
    </w:rPr>
  </w:style>
  <w:style w:type="character" w:customStyle="1" w:styleId="116">
    <w:name w:val="Comment Subject Char"/>
    <w:link w:val="44"/>
    <w:qFormat/>
    <w:uiPriority w:val="0"/>
    <w:rPr>
      <w:rFonts w:ascii="Times New Roman" w:hAnsi="Times New Roman"/>
      <w:b/>
      <w:bCs/>
      <w:lang w:val="en-GB"/>
    </w:rPr>
  </w:style>
  <w:style w:type="character" w:customStyle="1" w:styleId="117">
    <w:name w:val="Document Map Char"/>
    <w:link w:val="29"/>
    <w:qFormat/>
    <w:uiPriority w:val="0"/>
    <w:rPr>
      <w:rFonts w:ascii="Tahoma" w:hAnsi="Tahoma" w:cs="Tahoma"/>
      <w:shd w:val="clear" w:color="auto" w:fill="000080"/>
      <w:lang w:val="en-GB"/>
    </w:rPr>
  </w:style>
  <w:style w:type="paragraph" w:customStyle="1" w:styleId="118">
    <w:name w:val="Discusson B1"/>
    <w:basedOn w:val="92"/>
    <w:uiPriority w:val="0"/>
    <w:pPr>
      <w:ind w:left="567" w:hanging="283"/>
    </w:pPr>
  </w:style>
  <w:style w:type="paragraph" w:customStyle="1" w:styleId="119">
    <w:name w:val="Discussion B2"/>
    <w:basedOn w:val="118"/>
    <w:qFormat/>
    <w:uiPriority w:val="0"/>
    <w:pPr>
      <w:ind w:left="851"/>
    </w:pPr>
  </w:style>
  <w:style w:type="character" w:customStyle="1" w:styleId="120">
    <w:name w:val="Unresolved Mention"/>
    <w:basedOn w:val="47"/>
    <w:semiHidden/>
    <w:unhideWhenUsed/>
    <w:uiPriority w:val="99"/>
    <w:rPr>
      <w:color w:val="605E5C"/>
      <w:shd w:val="clear" w:color="auto" w:fill="E1DFDD"/>
    </w:rPr>
  </w:style>
  <w:style w:type="paragraph" w:customStyle="1" w:styleId="121">
    <w:name w:val="Proposal"/>
    <w:basedOn w:val="1"/>
    <w:link w:val="122"/>
    <w:qFormat/>
    <w:uiPriority w:val="0"/>
    <w:pPr>
      <w:numPr>
        <w:ilvl w:val="0"/>
        <w:numId w:val="1"/>
      </w:numPr>
      <w:tabs>
        <w:tab w:val="left" w:pos="1560"/>
      </w:tabs>
      <w:ind w:left="1560" w:hanging="1200"/>
    </w:pPr>
    <w:rPr>
      <w:b/>
    </w:rPr>
  </w:style>
  <w:style w:type="character" w:customStyle="1" w:styleId="122">
    <w:name w:val="Proposal Char"/>
    <w:link w:val="121"/>
    <w:uiPriority w:val="0"/>
    <w:rPr>
      <w:rFonts w:ascii="Times New Roman" w:hAnsi="Times New Roman"/>
      <w:b/>
      <w:lang w:eastAsia="en-US"/>
    </w:rPr>
  </w:style>
  <w:style w:type="character" w:customStyle="1" w:styleId="123">
    <w:name w:val="Proposal list Char"/>
    <w:basedOn w:val="47"/>
    <w:link w:val="22"/>
    <w:qFormat/>
    <w:uiPriority w:val="0"/>
    <w:rPr>
      <w:rFonts w:ascii="Times New Roman" w:hAnsi="Times New Roman"/>
      <w:b/>
      <w:lang w:eastAsia="en-US"/>
    </w:rPr>
  </w:style>
  <w:style w:type="paragraph" w:styleId="124">
    <w:name w:val="List Paragraph"/>
    <w:basedOn w:val="1"/>
    <w:qFormat/>
    <w:uiPriority w:val="34"/>
    <w:pPr>
      <w:ind w:firstLine="420" w:firstLineChars="200"/>
    </w:pPr>
  </w:style>
  <w:style w:type="character" w:customStyle="1" w:styleId="125">
    <w:name w:val="NO Zchn"/>
    <w:qFormat/>
    <w:locked/>
    <w:uiPriority w:val="0"/>
    <w:rPr>
      <w:rFonts w:ascii="Times New Roman" w:hAnsi="Times New Roman" w:eastAsia="Times New Roman"/>
      <w:lang w:eastAsia="zh-CN"/>
    </w:rPr>
  </w:style>
  <w:style w:type="character" w:customStyle="1" w:styleId="126">
    <w:name w:val="B1 Zchn"/>
    <w:qFormat/>
    <w:locked/>
    <w:uiPriority w:val="0"/>
    <w:rPr>
      <w:rFonts w:ascii="Times New Roman" w:hAnsi="Times New Roman" w:eastAsia="Times New Roman"/>
      <w:lang w:eastAsia="zh-CN"/>
    </w:rPr>
  </w:style>
  <w:style w:type="paragraph" w:customStyle="1" w:styleId="127">
    <w:name w:val="List Paragraph4"/>
    <w:basedOn w:val="1"/>
    <w:qFormat/>
    <w:uiPriority w:val="0"/>
    <w:pPr>
      <w:spacing w:before="100" w:beforeAutospacing="1" w:after="180"/>
      <w:ind w:left="720"/>
      <w:contextualSpacing/>
    </w:pPr>
    <w:rPr>
      <w:rFonts w:ascii="Times New Roman" w:hAnsi="Times New Roman" w:eastAsia="宋体"/>
      <w:sz w:val="24"/>
      <w:szCs w:val="24"/>
      <w:lang w:val="en-US" w:eastAsia="zh-CN"/>
    </w:rPr>
  </w:style>
  <w:style w:type="paragraph" w:customStyle="1" w:styleId="128">
    <w:name w:val="List Paragraph5"/>
    <w:basedOn w:val="1"/>
    <w:qFormat/>
    <w:uiPriority w:val="0"/>
    <w:pPr>
      <w:spacing w:before="100" w:beforeAutospacing="1"/>
      <w:ind w:left="720"/>
      <w:contextualSpacing/>
    </w:pPr>
    <w:rPr>
      <w:rFonts w:eastAsia="宋体"/>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2024</Words>
  <Characters>11538</Characters>
  <Lines>96</Lines>
  <Paragraphs>27</Paragraphs>
  <TotalTime>1</TotalTime>
  <ScaleCrop>false</ScaleCrop>
  <LinksUpToDate>false</LinksUpToDate>
  <CharactersWithSpaces>13535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2023-05-25T08:03:00Z</dcterms:created>
  <dc:creator>Michael Sanders, John M Meredith</dc:creator>
  <cp:lastModifiedBy>unicom</cp:lastModifiedBy>
  <cp:lastPrinted>2411-12-31T23:00:00Z</cp:lastPrinted>
  <dcterms:modified xsi:type="dcterms:W3CDTF">2025-05-09T06:53:06Z</dcterms:modified>
  <dc:title>Template for Text Proposal - RAN3 Meeting no XXX</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1732605412</vt:lpwstr>
  </property>
  <property fmtid="{D5CDD505-2E9C-101B-9397-08002B2CF9AE}" pid="10" name="KSOProductBuildVer">
    <vt:lpwstr>2052-11.8.2.12085</vt:lpwstr>
  </property>
  <property fmtid="{D5CDD505-2E9C-101B-9397-08002B2CF9AE}" pid="11" name="ICV">
    <vt:lpwstr>AD57E7E97C2F4780910F3265C822818F</vt:lpwstr>
  </property>
</Properties>
</file>