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079E" w14:textId="79AE20E7" w:rsidR="009C5CA7" w:rsidRPr="00750F98" w:rsidRDefault="00443DC5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b w:val="0"/>
          <w:bCs/>
          <w:sz w:val="24"/>
        </w:rPr>
      </w:pPr>
      <w:bookmarkStart w:id="0" w:name="_Toc193024528"/>
      <w:r w:rsidRPr="00575E71">
        <w:rPr>
          <w:rFonts w:cs="Arial"/>
          <w:noProof w:val="0"/>
          <w:sz w:val="24"/>
          <w:szCs w:val="28"/>
          <w:lang w:eastAsia="x-none"/>
        </w:rPr>
        <w:t>3GPP TSG-RAN WG</w:t>
      </w:r>
      <w:r>
        <w:rPr>
          <w:rFonts w:cs="Arial"/>
          <w:noProof w:val="0"/>
          <w:sz w:val="24"/>
          <w:szCs w:val="28"/>
          <w:lang w:eastAsia="x-none"/>
        </w:rPr>
        <w:t>3</w:t>
      </w:r>
      <w:r w:rsidRPr="00575E71">
        <w:rPr>
          <w:rFonts w:cs="Arial"/>
          <w:noProof w:val="0"/>
          <w:sz w:val="24"/>
          <w:szCs w:val="28"/>
          <w:lang w:eastAsia="x-none"/>
        </w:rPr>
        <w:t xml:space="preserve"> Meeting #</w:t>
      </w:r>
      <w:r>
        <w:rPr>
          <w:rFonts w:cs="Arial"/>
          <w:noProof w:val="0"/>
          <w:sz w:val="24"/>
          <w:szCs w:val="28"/>
          <w:lang w:eastAsia="x-none"/>
        </w:rPr>
        <w:t>R3-12</w:t>
      </w:r>
      <w:r w:rsidR="009C5CA7">
        <w:rPr>
          <w:rFonts w:cs="Arial"/>
          <w:noProof w:val="0"/>
          <w:sz w:val="24"/>
          <w:szCs w:val="28"/>
          <w:lang w:eastAsia="x-none"/>
        </w:rPr>
        <w:t>7</w:t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Pr="00575E71">
        <w:rPr>
          <w:rFonts w:cs="Arial"/>
          <w:noProof w:val="0"/>
          <w:sz w:val="24"/>
          <w:szCs w:val="28"/>
          <w:lang w:eastAsia="x-none"/>
        </w:rPr>
        <w:tab/>
      </w:r>
      <w:r w:rsidR="00917868" w:rsidRPr="00917868">
        <w:rPr>
          <w:rFonts w:cs="Arial"/>
          <w:bCs/>
          <w:noProof w:val="0"/>
          <w:sz w:val="24"/>
          <w:szCs w:val="28"/>
          <w:lang w:eastAsia="x-none"/>
        </w:rPr>
        <w:t>R3-250259</w:t>
      </w:r>
      <w:r w:rsidR="00917868" w:rsidRPr="00917868">
        <w:rPr>
          <w:rFonts w:cs="Arial"/>
          <w:bCs/>
          <w:noProof w:val="0"/>
          <w:sz w:val="24"/>
          <w:szCs w:val="28"/>
          <w:lang w:eastAsia="x-none"/>
        </w:rPr>
        <w:t xml:space="preserve"> </w:t>
      </w:r>
      <w:r w:rsidR="009C5CA7">
        <w:rPr>
          <w:rFonts w:cs="Arial"/>
          <w:bCs/>
          <w:sz w:val="24"/>
          <w:szCs w:val="28"/>
          <w:lang w:val="en-US" w:eastAsia="x-none"/>
        </w:rPr>
        <w:t>Athens, Greece</w:t>
      </w:r>
      <w:r w:rsidR="009C5CA7"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 w:rsidR="009C5CA7">
        <w:rPr>
          <w:rFonts w:cs="Arial"/>
          <w:bCs/>
          <w:sz w:val="24"/>
          <w:szCs w:val="28"/>
          <w:lang w:val="en-US" w:eastAsia="x-none"/>
        </w:rPr>
        <w:t>Feb 17-21</w:t>
      </w:r>
      <w:r w:rsidR="009C5CA7"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="009C5CA7"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="009C5CA7"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 w:rsidR="009C5CA7">
        <w:rPr>
          <w:rFonts w:cs="Arial"/>
          <w:bCs/>
          <w:sz w:val="24"/>
          <w:szCs w:val="28"/>
          <w:lang w:val="en-US" w:eastAsia="x-none"/>
        </w:rPr>
        <w:t>5</w:t>
      </w:r>
      <w:r w:rsidR="009C5CA7" w:rsidRPr="00575E71">
        <w:rPr>
          <w:rFonts w:cs="Arial"/>
          <w:szCs w:val="24"/>
          <w:lang w:eastAsia="x-none"/>
        </w:rPr>
        <w:tab/>
      </w:r>
    </w:p>
    <w:p w14:paraId="66968363" w14:textId="3FAF0C18" w:rsidR="0037119B" w:rsidRPr="003A39E5" w:rsidRDefault="0037119B" w:rsidP="009C5CA7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SimSun"/>
          <w:b w:val="0"/>
          <w:i/>
          <w:noProof w:val="0"/>
          <w:sz w:val="24"/>
          <w:lang w:eastAsia="zh-CN"/>
        </w:rPr>
      </w:pPr>
    </w:p>
    <w:p w14:paraId="373B6BAB" w14:textId="7866BEA2" w:rsidR="0037119B" w:rsidRPr="0040707E" w:rsidRDefault="0037119B" w:rsidP="0037119B">
      <w:pPr>
        <w:tabs>
          <w:tab w:val="left" w:pos="1985"/>
        </w:tabs>
        <w:ind w:left="1980" w:hanging="1980"/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 xml:space="preserve">Title: </w:t>
      </w:r>
      <w:r w:rsidRPr="0040707E">
        <w:rPr>
          <w:rFonts w:ascii="Arial" w:hAnsi="Arial"/>
          <w:b/>
          <w:sz w:val="24"/>
        </w:rPr>
        <w:tab/>
      </w:r>
      <w:r w:rsidR="00761543" w:rsidRPr="0040707E">
        <w:rPr>
          <w:rFonts w:ascii="Arial" w:hAnsi="Arial"/>
          <w:b/>
          <w:sz w:val="24"/>
        </w:rPr>
        <w:t xml:space="preserve">gNB-DU initiated LTM candidate cell </w:t>
      </w:r>
      <w:r w:rsidR="00D37907">
        <w:rPr>
          <w:rFonts w:ascii="Arial" w:hAnsi="Arial"/>
          <w:b/>
          <w:sz w:val="24"/>
        </w:rPr>
        <w:t>reconfiguration</w:t>
      </w:r>
    </w:p>
    <w:p w14:paraId="7D9E5EE0" w14:textId="4A9A33A9" w:rsidR="0037119B" w:rsidRPr="0040707E" w:rsidRDefault="0037119B" w:rsidP="004D5606">
      <w:pPr>
        <w:tabs>
          <w:tab w:val="left" w:pos="1985"/>
        </w:tabs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 xml:space="preserve">Source: </w:t>
      </w:r>
      <w:r w:rsidRPr="0040707E">
        <w:rPr>
          <w:rFonts w:ascii="Arial" w:hAnsi="Arial"/>
          <w:b/>
          <w:sz w:val="24"/>
        </w:rPr>
        <w:tab/>
      </w:r>
      <w:r w:rsidR="00A53267" w:rsidRPr="0040707E">
        <w:rPr>
          <w:rFonts w:ascii="Arial" w:hAnsi="Arial" w:cs="Arial"/>
          <w:b/>
          <w:sz w:val="24"/>
          <w:szCs w:val="36"/>
        </w:rPr>
        <w:t>Rakuten</w:t>
      </w:r>
      <w:r w:rsidR="0040707E" w:rsidRPr="0040707E">
        <w:rPr>
          <w:rFonts w:ascii="Arial" w:hAnsi="Arial" w:cs="Arial"/>
          <w:b/>
          <w:sz w:val="24"/>
          <w:szCs w:val="36"/>
        </w:rPr>
        <w:t>, Qualcomm Inc</w:t>
      </w:r>
    </w:p>
    <w:p w14:paraId="3FAABCD3" w14:textId="591CDBFC" w:rsidR="0037119B" w:rsidRPr="0040707E" w:rsidRDefault="0037119B" w:rsidP="0037119B">
      <w:pPr>
        <w:tabs>
          <w:tab w:val="left" w:pos="1985"/>
        </w:tabs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>Agenda item:</w:t>
      </w:r>
      <w:r w:rsidRPr="0040707E">
        <w:rPr>
          <w:rFonts w:ascii="Arial" w:hAnsi="Arial"/>
          <w:b/>
          <w:sz w:val="24"/>
        </w:rPr>
        <w:tab/>
      </w:r>
      <w:r w:rsidR="006F7795" w:rsidRPr="0040707E">
        <w:rPr>
          <w:rFonts w:ascii="Arial" w:hAnsi="Arial"/>
          <w:b/>
          <w:sz w:val="24"/>
        </w:rPr>
        <w:t>1</w:t>
      </w:r>
      <w:r w:rsidR="00CC5DE6" w:rsidRPr="0040707E">
        <w:rPr>
          <w:rFonts w:ascii="Arial" w:hAnsi="Arial"/>
          <w:b/>
          <w:sz w:val="24"/>
        </w:rPr>
        <w:t>3</w:t>
      </w:r>
      <w:r w:rsidR="006F7795" w:rsidRPr="0040707E">
        <w:rPr>
          <w:rFonts w:ascii="Arial" w:hAnsi="Arial"/>
          <w:b/>
          <w:sz w:val="24"/>
        </w:rPr>
        <w:t>.</w:t>
      </w:r>
      <w:r w:rsidR="004E2FCD" w:rsidRPr="0040707E">
        <w:rPr>
          <w:rFonts w:ascii="Arial" w:hAnsi="Arial"/>
          <w:b/>
          <w:sz w:val="24"/>
        </w:rPr>
        <w:t>2</w:t>
      </w:r>
    </w:p>
    <w:p w14:paraId="141AB176" w14:textId="223F0524" w:rsidR="0037119B" w:rsidRPr="0040707E" w:rsidRDefault="0037119B" w:rsidP="0037119B">
      <w:pPr>
        <w:tabs>
          <w:tab w:val="left" w:pos="1985"/>
        </w:tabs>
        <w:ind w:left="1980" w:hanging="1980"/>
        <w:rPr>
          <w:rStyle w:val="a4"/>
          <w:b/>
          <w:lang w:val="en-GB"/>
        </w:rPr>
      </w:pPr>
      <w:r w:rsidRPr="0040707E">
        <w:rPr>
          <w:rFonts w:ascii="Arial" w:hAnsi="Arial"/>
          <w:b/>
          <w:sz w:val="24"/>
        </w:rPr>
        <w:t xml:space="preserve">Document </w:t>
      </w:r>
      <w:r w:rsidR="00FA5FD5" w:rsidRPr="0040707E">
        <w:rPr>
          <w:rFonts w:ascii="Arial" w:hAnsi="Arial"/>
          <w:b/>
          <w:sz w:val="24"/>
        </w:rPr>
        <w:t>Type</w:t>
      </w:r>
      <w:r w:rsidRPr="0040707E">
        <w:rPr>
          <w:rFonts w:ascii="Arial" w:hAnsi="Arial"/>
          <w:b/>
          <w:sz w:val="24"/>
        </w:rPr>
        <w:t>:</w:t>
      </w:r>
      <w:r w:rsidRPr="0040707E">
        <w:rPr>
          <w:rFonts w:ascii="Arial" w:hAnsi="Arial"/>
          <w:b/>
          <w:sz w:val="24"/>
        </w:rPr>
        <w:tab/>
      </w:r>
      <w:r w:rsidR="00CB00FE" w:rsidRPr="0040707E">
        <w:rPr>
          <w:rFonts w:ascii="Arial" w:hAnsi="Arial"/>
          <w:b/>
          <w:sz w:val="24"/>
        </w:rPr>
        <w:t>Discussion</w:t>
      </w:r>
      <w:r w:rsidR="00030E8B" w:rsidRPr="0040707E">
        <w:rPr>
          <w:rFonts w:ascii="Arial" w:hAnsi="Arial"/>
          <w:b/>
          <w:sz w:val="24"/>
        </w:rPr>
        <w:t xml:space="preserve"> and </w:t>
      </w:r>
      <w:r w:rsidR="00EC6F0F" w:rsidRPr="0040707E">
        <w:rPr>
          <w:rFonts w:ascii="Arial" w:hAnsi="Arial"/>
          <w:b/>
          <w:sz w:val="24"/>
        </w:rPr>
        <w:t>agreement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0E4CA705" w14:textId="6C498B6F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bookmarkStart w:id="1" w:name="OLE_LINK1"/>
      <w:bookmarkStart w:id="2" w:name="OLE_LINK2"/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 xml:space="preserve">discuss the resource management issues associated with configuration and maintenance of multiple candidate cells, the impacts </w:t>
      </w:r>
      <w:r w:rsidR="00DB4189" w:rsidRPr="009967C5">
        <w:rPr>
          <w:rFonts w:ascii="Arial" w:hAnsi="Arial" w:cs="Arial"/>
        </w:rPr>
        <w:t xml:space="preserve">on gNB-DU </w:t>
      </w:r>
      <w:r w:rsidR="00802CD1" w:rsidRPr="009967C5">
        <w:rPr>
          <w:rFonts w:ascii="Arial" w:hAnsi="Arial" w:cs="Arial"/>
        </w:rPr>
        <w:t xml:space="preserve">and </w:t>
      </w:r>
      <w:r w:rsidR="008D2312">
        <w:rPr>
          <w:rFonts w:ascii="Arial" w:hAnsi="Arial" w:cs="Arial"/>
        </w:rPr>
        <w:t>the importance of gNB-DU initiated reconfiguration of LTM target cell configuration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2D4E661B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Resource management for multiple LTM target cells </w:t>
      </w:r>
    </w:p>
    <w:p w14:paraId="33AFDCB8" w14:textId="072DC1B6" w:rsidR="00DB4189" w:rsidRDefault="00DB4189" w:rsidP="00DB4189">
      <w:pPr>
        <w:rPr>
          <w:rFonts w:ascii="Arial" w:hAnsi="Arial" w:cs="Arial"/>
        </w:rPr>
      </w:pPr>
      <w:r w:rsidRPr="00882455">
        <w:rPr>
          <w:rFonts w:ascii="Arial" w:hAnsi="Arial" w:cs="Arial"/>
        </w:rPr>
        <w:t xml:space="preserve">The lead time (duration between LTM </w:t>
      </w:r>
      <w:r w:rsidR="00F140F1">
        <w:rPr>
          <w:rFonts w:ascii="Arial" w:hAnsi="Arial" w:cs="Arial"/>
        </w:rPr>
        <w:t>candidate cell</w:t>
      </w:r>
      <w:r w:rsidRPr="00882455">
        <w:rPr>
          <w:rFonts w:ascii="Arial" w:hAnsi="Arial" w:cs="Arial"/>
        </w:rPr>
        <w:t xml:space="preserve"> preparation and execution) </w:t>
      </w:r>
      <w:r>
        <w:rPr>
          <w:rFonts w:ascii="Arial" w:hAnsi="Arial" w:cs="Arial"/>
        </w:rPr>
        <w:t xml:space="preserve">in an LTM </w:t>
      </w:r>
      <w:r w:rsidR="00F140F1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</w:t>
      </w:r>
      <w:r w:rsidRPr="00882455">
        <w:rPr>
          <w:rFonts w:ascii="Arial" w:hAnsi="Arial" w:cs="Arial"/>
        </w:rPr>
        <w:t xml:space="preserve">could be </w:t>
      </w:r>
      <w:r w:rsidR="009967C5">
        <w:rPr>
          <w:rFonts w:ascii="Arial" w:hAnsi="Arial" w:cs="Arial"/>
        </w:rPr>
        <w:t xml:space="preserve">unpredictably </w:t>
      </w:r>
      <w:r>
        <w:rPr>
          <w:rFonts w:ascii="Arial" w:hAnsi="Arial" w:cs="Arial"/>
        </w:rPr>
        <w:t>long</w:t>
      </w:r>
      <w:r w:rsidRPr="00882455">
        <w:rPr>
          <w:rFonts w:ascii="Arial" w:hAnsi="Arial" w:cs="Arial"/>
        </w:rPr>
        <w:t xml:space="preserve">. Secondly, not all </w:t>
      </w:r>
      <w:r w:rsidR="009967C5">
        <w:rPr>
          <w:rFonts w:ascii="Arial" w:hAnsi="Arial" w:cs="Arial"/>
        </w:rPr>
        <w:t xml:space="preserve">prepared </w:t>
      </w:r>
      <w:r w:rsidR="00F140F1">
        <w:rPr>
          <w:rFonts w:ascii="Arial" w:hAnsi="Arial" w:cs="Arial"/>
        </w:rPr>
        <w:t xml:space="preserve">candidate </w:t>
      </w:r>
      <w:r w:rsidRPr="00882455">
        <w:rPr>
          <w:rFonts w:ascii="Arial" w:hAnsi="Arial" w:cs="Arial"/>
        </w:rPr>
        <w:t xml:space="preserve">cell configurations end up in LTM </w:t>
      </w:r>
      <w:r w:rsidR="008016DA">
        <w:rPr>
          <w:rFonts w:ascii="Arial" w:hAnsi="Arial" w:cs="Arial"/>
        </w:rPr>
        <w:t>cell switches</w:t>
      </w:r>
      <w:r w:rsidRPr="0088245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Radio resources are scarce and considering that a UE can be configured with multiple LTM </w:t>
      </w:r>
      <w:r w:rsidR="008016DA">
        <w:rPr>
          <w:rFonts w:ascii="Arial" w:hAnsi="Arial" w:cs="Arial"/>
        </w:rPr>
        <w:t>candidate</w:t>
      </w:r>
      <w:r>
        <w:rPr>
          <w:rFonts w:ascii="Arial" w:hAnsi="Arial" w:cs="Arial"/>
        </w:rPr>
        <w:t xml:space="preserve"> cells, </w:t>
      </w:r>
      <w:r w:rsidRPr="00882455">
        <w:rPr>
          <w:rFonts w:ascii="Arial" w:hAnsi="Arial" w:cs="Arial"/>
        </w:rPr>
        <w:t>resource reservation is always going to be an issue</w:t>
      </w:r>
      <w:r>
        <w:rPr>
          <w:rFonts w:ascii="Arial" w:hAnsi="Arial" w:cs="Arial"/>
        </w:rPr>
        <w:t>.</w:t>
      </w:r>
      <w:r w:rsidR="008246A1">
        <w:rPr>
          <w:rFonts w:ascii="Arial" w:hAnsi="Arial" w:cs="Arial"/>
        </w:rPr>
        <w:t xml:space="preserve"> Reservation of radio resources in all the configured LTM </w:t>
      </w:r>
      <w:r w:rsidR="008016DA">
        <w:rPr>
          <w:rFonts w:ascii="Arial" w:hAnsi="Arial" w:cs="Arial"/>
        </w:rPr>
        <w:t xml:space="preserve">candidate </w:t>
      </w:r>
      <w:r w:rsidR="008246A1">
        <w:rPr>
          <w:rFonts w:ascii="Arial" w:hAnsi="Arial" w:cs="Arial"/>
        </w:rPr>
        <w:t>cells for a UE leads to sub-optimal performance</w:t>
      </w:r>
      <w:r w:rsidR="002E471F">
        <w:rPr>
          <w:rFonts w:ascii="Arial" w:hAnsi="Arial" w:cs="Arial"/>
        </w:rPr>
        <w:t xml:space="preserve"> and overhead on the network</w:t>
      </w:r>
      <w:r w:rsidR="008246A1">
        <w:rPr>
          <w:rFonts w:ascii="Arial" w:hAnsi="Arial" w:cs="Arial"/>
        </w:rPr>
        <w:t xml:space="preserve">. Especially considering that this </w:t>
      </w:r>
      <w:r w:rsidR="008016DA">
        <w:rPr>
          <w:rFonts w:ascii="Arial" w:hAnsi="Arial" w:cs="Arial"/>
        </w:rPr>
        <w:t>is</w:t>
      </w:r>
      <w:r w:rsidR="008246A1">
        <w:rPr>
          <w:rFonts w:ascii="Arial" w:hAnsi="Arial" w:cs="Arial"/>
        </w:rPr>
        <w:t xml:space="preserve"> applicable </w:t>
      </w:r>
      <w:r w:rsidR="00052805">
        <w:rPr>
          <w:rFonts w:ascii="Arial" w:hAnsi="Arial" w:cs="Arial"/>
        </w:rPr>
        <w:t>on a large scale</w:t>
      </w:r>
      <w:r w:rsidR="002E471F">
        <w:rPr>
          <w:rFonts w:ascii="Arial" w:hAnsi="Arial" w:cs="Arial"/>
        </w:rPr>
        <w:t>,</w:t>
      </w:r>
      <w:r w:rsidR="00052805">
        <w:rPr>
          <w:rFonts w:ascii="Arial" w:hAnsi="Arial" w:cs="Arial"/>
        </w:rPr>
        <w:t xml:space="preserve"> </w:t>
      </w:r>
      <w:r w:rsidR="008246A1">
        <w:rPr>
          <w:rFonts w:ascii="Arial" w:hAnsi="Arial" w:cs="Arial"/>
        </w:rPr>
        <w:t>for all UEs configured with LTM</w:t>
      </w:r>
      <w:r w:rsidR="008016DA">
        <w:rPr>
          <w:rFonts w:ascii="Arial" w:hAnsi="Arial" w:cs="Arial"/>
        </w:rPr>
        <w:t xml:space="preserve"> in the network</w:t>
      </w:r>
      <w:r w:rsidR="008246A1">
        <w:rPr>
          <w:rFonts w:ascii="Arial" w:hAnsi="Arial" w:cs="Arial"/>
        </w:rPr>
        <w:t xml:space="preserve">. </w:t>
      </w:r>
    </w:p>
    <w:p w14:paraId="3A309DD3" w14:textId="3BA5F219" w:rsidR="00DB4189" w:rsidRDefault="00F140F1" w:rsidP="00DB4189">
      <w:pPr>
        <w:rPr>
          <w:rFonts w:ascii="Arial" w:hAnsi="Arial" w:cs="Arial"/>
        </w:rPr>
      </w:pPr>
      <w:r>
        <w:rPr>
          <w:rFonts w:ascii="Arial" w:hAnsi="Arial" w:cs="Arial"/>
        </w:rPr>
        <w:t>Rel18 LTM requires the</w:t>
      </w:r>
      <w:r w:rsidR="00DB4189">
        <w:rPr>
          <w:rFonts w:ascii="Arial" w:hAnsi="Arial" w:cs="Arial"/>
        </w:rPr>
        <w:t xml:space="preserve"> </w:t>
      </w:r>
      <w:r w:rsidR="00783D53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 xml:space="preserve">to </w:t>
      </w:r>
      <w:r w:rsidR="00783D53">
        <w:rPr>
          <w:rFonts w:ascii="Arial" w:hAnsi="Arial" w:cs="Arial"/>
        </w:rPr>
        <w:t xml:space="preserve">perform </w:t>
      </w:r>
      <w:r w:rsidR="00DB4189">
        <w:rPr>
          <w:rFonts w:ascii="Arial" w:hAnsi="Arial" w:cs="Arial"/>
        </w:rPr>
        <w:t xml:space="preserve">UL sync to </w:t>
      </w:r>
      <w:r w:rsidR="001C6B3E">
        <w:rPr>
          <w:rFonts w:ascii="Arial" w:hAnsi="Arial" w:cs="Arial"/>
        </w:rPr>
        <w:t xml:space="preserve">acquire timing advance from </w:t>
      </w:r>
      <w:r w:rsidR="00DB4189">
        <w:rPr>
          <w:rFonts w:ascii="Arial" w:hAnsi="Arial" w:cs="Arial"/>
        </w:rPr>
        <w:t xml:space="preserve">the </w:t>
      </w:r>
      <w:r w:rsidR="008016DA">
        <w:rPr>
          <w:rFonts w:ascii="Arial" w:hAnsi="Arial" w:cs="Arial"/>
        </w:rPr>
        <w:t xml:space="preserve">candidate/target </w:t>
      </w:r>
      <w:r w:rsidR="00DB4189">
        <w:rPr>
          <w:rFonts w:ascii="Arial" w:hAnsi="Arial" w:cs="Arial"/>
        </w:rPr>
        <w:t xml:space="preserve">cell before the serving cell </w:t>
      </w:r>
      <w:r w:rsidR="008016DA">
        <w:rPr>
          <w:rFonts w:ascii="Arial" w:hAnsi="Arial" w:cs="Arial"/>
        </w:rPr>
        <w:t>switch</w:t>
      </w:r>
      <w:r w:rsidR="00DB4189">
        <w:rPr>
          <w:rFonts w:ascii="Arial" w:hAnsi="Arial" w:cs="Arial"/>
        </w:rPr>
        <w:t xml:space="preserve"> </w:t>
      </w:r>
      <w:r w:rsidR="002E471F">
        <w:rPr>
          <w:rFonts w:ascii="Arial" w:hAnsi="Arial" w:cs="Arial"/>
        </w:rPr>
        <w:t>with the objective of</w:t>
      </w:r>
      <w:r w:rsidR="00DB41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performing a RACH-less LTM cell switch and therefore </w:t>
      </w:r>
      <w:r w:rsidR="00DB4189">
        <w:rPr>
          <w:rFonts w:ascii="Arial" w:hAnsi="Arial" w:cs="Arial"/>
        </w:rPr>
        <w:t>reduc</w:t>
      </w:r>
      <w:r w:rsidR="002E471F">
        <w:rPr>
          <w:rFonts w:ascii="Arial" w:hAnsi="Arial" w:cs="Arial"/>
        </w:rPr>
        <w:t>ing</w:t>
      </w:r>
      <w:r w:rsidR="00DB4189">
        <w:rPr>
          <w:rFonts w:ascii="Arial" w:hAnsi="Arial" w:cs="Arial"/>
        </w:rPr>
        <w:t xml:space="preserve"> HO latency</w:t>
      </w:r>
      <w:r w:rsidR="008016DA">
        <w:rPr>
          <w:rFonts w:ascii="Arial" w:hAnsi="Arial" w:cs="Arial"/>
        </w:rPr>
        <w:t xml:space="preserve"> and reducing user service interruption</w:t>
      </w:r>
      <w:r w:rsidR="008246A1">
        <w:rPr>
          <w:rFonts w:ascii="Arial" w:hAnsi="Arial" w:cs="Arial"/>
        </w:rPr>
        <w:t>.</w:t>
      </w:r>
    </w:p>
    <w:p w14:paraId="2940164E" w14:textId="79E4B25A" w:rsidR="008246A1" w:rsidRDefault="008246A1" w:rsidP="00DB4189">
      <w:pPr>
        <w:rPr>
          <w:rFonts w:ascii="Arial" w:hAnsi="Arial" w:cs="Arial"/>
        </w:rPr>
      </w:pPr>
      <w:r>
        <w:rPr>
          <w:rFonts w:ascii="Arial" w:hAnsi="Arial" w:cs="Arial"/>
        </w:rPr>
        <w:t>Based on the UE’s L1 measurements</w:t>
      </w:r>
      <w:r w:rsidR="0005280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serving gNB-DU</w:t>
      </w:r>
      <w:r w:rsidR="00052805">
        <w:rPr>
          <w:rFonts w:ascii="Arial" w:hAnsi="Arial" w:cs="Arial"/>
        </w:rPr>
        <w:t xml:space="preserve"> </w:t>
      </w:r>
      <w:r w:rsidR="008016DA">
        <w:rPr>
          <w:rFonts w:ascii="Arial" w:hAnsi="Arial" w:cs="Arial"/>
        </w:rPr>
        <w:t xml:space="preserve">may </w:t>
      </w:r>
      <w:r w:rsidR="00052805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the UE to perform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70386F">
        <w:rPr>
          <w:rFonts w:ascii="Arial" w:hAnsi="Arial" w:cs="Arial"/>
        </w:rPr>
        <w:t xml:space="preserve"> to acquire </w:t>
      </w:r>
      <w:r w:rsidR="008016DA">
        <w:rPr>
          <w:rFonts w:ascii="Arial" w:hAnsi="Arial" w:cs="Arial"/>
        </w:rPr>
        <w:t>UE’s candidate/</w:t>
      </w:r>
      <w:r w:rsidR="0070386F">
        <w:rPr>
          <w:rFonts w:ascii="Arial" w:hAnsi="Arial" w:cs="Arial"/>
        </w:rPr>
        <w:t>cell timing advance</w:t>
      </w:r>
      <w:r>
        <w:rPr>
          <w:rFonts w:ascii="Arial" w:hAnsi="Arial" w:cs="Arial"/>
        </w:rPr>
        <w:t xml:space="preserve">. Hence, UE performing UL sync </w:t>
      </w:r>
      <w:r w:rsidR="00052805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the </w:t>
      </w:r>
      <w:r w:rsidR="008016DA">
        <w:rPr>
          <w:rFonts w:ascii="Arial" w:hAnsi="Arial" w:cs="Arial"/>
        </w:rPr>
        <w:t>candidate/</w:t>
      </w:r>
      <w:r>
        <w:rPr>
          <w:rFonts w:ascii="Arial" w:hAnsi="Arial" w:cs="Arial"/>
        </w:rPr>
        <w:t xml:space="preserve">target cell can be considered to indicate a likelihood of UE undergoing LTM </w:t>
      </w:r>
      <w:r w:rsidR="00F140F1">
        <w:rPr>
          <w:rFonts w:ascii="Arial" w:hAnsi="Arial" w:cs="Arial"/>
        </w:rPr>
        <w:t xml:space="preserve">cell switch </w:t>
      </w:r>
      <w:r>
        <w:rPr>
          <w:rFonts w:ascii="Arial" w:hAnsi="Arial" w:cs="Arial"/>
        </w:rPr>
        <w:t>to the given target cell.</w:t>
      </w:r>
    </w:p>
    <w:p w14:paraId="4FA16E25" w14:textId="223D8038" w:rsidR="00052805" w:rsidRPr="00052805" w:rsidRDefault="00052805" w:rsidP="00052805">
      <w:pPr>
        <w:rPr>
          <w:rFonts w:ascii="Arial" w:hAnsi="Arial" w:cs="Arial"/>
        </w:rPr>
      </w:pPr>
      <w:r>
        <w:rPr>
          <w:rFonts w:ascii="Arial" w:hAnsi="Arial" w:cs="Arial"/>
        </w:rPr>
        <w:t>To address the resource reservation issues, the following could be considered - a</w:t>
      </w:r>
      <w:r w:rsidRPr="00052805">
        <w:rPr>
          <w:rFonts w:ascii="Arial" w:hAnsi="Arial" w:cs="Arial"/>
        </w:rPr>
        <w:t xml:space="preserve">t the time of preparing an LTM </w:t>
      </w:r>
      <w:r w:rsidR="00F140F1">
        <w:rPr>
          <w:rFonts w:ascii="Arial" w:hAnsi="Arial" w:cs="Arial"/>
        </w:rPr>
        <w:t>candidate</w:t>
      </w:r>
      <w:r w:rsidR="00F140F1" w:rsidRPr="00052805">
        <w:rPr>
          <w:rFonts w:ascii="Arial" w:hAnsi="Arial" w:cs="Arial"/>
        </w:rPr>
        <w:t xml:space="preserve"> </w:t>
      </w:r>
      <w:r w:rsidRPr="00052805">
        <w:rPr>
          <w:rFonts w:ascii="Arial" w:hAnsi="Arial" w:cs="Arial"/>
        </w:rPr>
        <w:t xml:space="preserve">cell, the gNB-CU </w:t>
      </w:r>
      <w:r w:rsidR="002E471F">
        <w:rPr>
          <w:rFonts w:ascii="Arial" w:hAnsi="Arial" w:cs="Arial"/>
        </w:rPr>
        <w:t>could</w:t>
      </w:r>
      <w:r w:rsidRPr="00052805">
        <w:rPr>
          <w:rFonts w:ascii="Arial" w:hAnsi="Arial" w:cs="Arial"/>
        </w:rPr>
        <w:t xml:space="preserve"> indicate to the </w:t>
      </w:r>
      <w:r w:rsidR="008016DA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gNB-DU </w:t>
      </w:r>
      <w:r>
        <w:rPr>
          <w:rFonts w:ascii="Arial" w:hAnsi="Arial" w:cs="Arial"/>
        </w:rPr>
        <w:t>whether or not</w:t>
      </w:r>
      <w:r w:rsidRPr="00052805">
        <w:rPr>
          <w:rFonts w:ascii="Arial" w:hAnsi="Arial" w:cs="Arial"/>
        </w:rPr>
        <w:t xml:space="preserve"> the UE is </w:t>
      </w:r>
      <w:r w:rsidR="00F140F1">
        <w:rPr>
          <w:rFonts w:ascii="Arial" w:hAnsi="Arial" w:cs="Arial"/>
        </w:rPr>
        <w:t xml:space="preserve">going to be </w:t>
      </w:r>
      <w:r w:rsidRPr="00052805">
        <w:rPr>
          <w:rFonts w:ascii="Arial" w:hAnsi="Arial" w:cs="Arial"/>
        </w:rPr>
        <w:t xml:space="preserve">configured to </w:t>
      </w:r>
      <w:r>
        <w:rPr>
          <w:rFonts w:ascii="Arial" w:hAnsi="Arial" w:cs="Arial"/>
        </w:rPr>
        <w:t xml:space="preserve">perform </w:t>
      </w:r>
      <w:r w:rsidR="00F140F1">
        <w:rPr>
          <w:rFonts w:ascii="Arial" w:hAnsi="Arial" w:cs="Arial"/>
        </w:rPr>
        <w:t>RACH based TA acquisition, as there could be UEs who could be configured with UE capability-based TA acquisition</w:t>
      </w:r>
      <w:r w:rsidRPr="00052805">
        <w:rPr>
          <w:rFonts w:ascii="Arial" w:hAnsi="Arial" w:cs="Arial"/>
        </w:rPr>
        <w:t xml:space="preserve">. Based on this, the target gNB-DU </w:t>
      </w:r>
      <w:r w:rsidR="00464C7C">
        <w:rPr>
          <w:rFonts w:ascii="Arial" w:hAnsi="Arial" w:cs="Arial"/>
        </w:rPr>
        <w:t>shall</w:t>
      </w:r>
      <w:r w:rsidRPr="00052805">
        <w:rPr>
          <w:rFonts w:ascii="Arial" w:hAnsi="Arial" w:cs="Arial"/>
        </w:rPr>
        <w:t xml:space="preserve"> not reserve </w:t>
      </w:r>
      <w:r w:rsidR="008016DA">
        <w:rPr>
          <w:rFonts w:ascii="Arial" w:hAnsi="Arial" w:cs="Arial"/>
        </w:rPr>
        <w:t xml:space="preserve">all </w:t>
      </w:r>
      <w:r w:rsidR="00464C7C">
        <w:rPr>
          <w:rFonts w:ascii="Arial" w:hAnsi="Arial" w:cs="Arial"/>
        </w:rPr>
        <w:t xml:space="preserve">radio resources </w:t>
      </w:r>
      <w:r w:rsidRPr="00052805">
        <w:rPr>
          <w:rFonts w:ascii="Arial" w:hAnsi="Arial" w:cs="Arial"/>
        </w:rPr>
        <w:t>immediately</w:t>
      </w:r>
      <w:r w:rsidR="0070386F">
        <w:rPr>
          <w:rFonts w:ascii="Arial" w:hAnsi="Arial" w:cs="Arial"/>
        </w:rPr>
        <w:t xml:space="preserve"> at the time of LTM </w:t>
      </w:r>
      <w:r w:rsidR="008016DA">
        <w:rPr>
          <w:rFonts w:ascii="Arial" w:hAnsi="Arial" w:cs="Arial"/>
        </w:rPr>
        <w:t>candidate/</w:t>
      </w:r>
      <w:r w:rsidR="0070386F">
        <w:rPr>
          <w:rFonts w:ascii="Arial" w:hAnsi="Arial" w:cs="Arial"/>
        </w:rPr>
        <w:t>target cell configuration preparation</w:t>
      </w:r>
      <w:r w:rsidRPr="00052805">
        <w:rPr>
          <w:rFonts w:ascii="Arial" w:hAnsi="Arial" w:cs="Arial"/>
        </w:rPr>
        <w:t xml:space="preserve">. </w:t>
      </w:r>
    </w:p>
    <w:p w14:paraId="724C443B" w14:textId="5ED93081" w:rsidR="00052805" w:rsidRPr="00052805" w:rsidRDefault="00812A73" w:rsidP="00052805">
      <w:pPr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464C7C">
        <w:rPr>
          <w:rFonts w:ascii="Arial" w:hAnsi="Arial" w:cs="Arial"/>
        </w:rPr>
        <w:t xml:space="preserve"> the UE perform</w:t>
      </w:r>
      <w:r>
        <w:rPr>
          <w:rFonts w:ascii="Arial" w:hAnsi="Arial" w:cs="Arial"/>
        </w:rPr>
        <w:t>ing</w:t>
      </w:r>
      <w:r w:rsidR="00464C7C">
        <w:rPr>
          <w:rFonts w:ascii="Arial" w:hAnsi="Arial" w:cs="Arial"/>
        </w:rPr>
        <w:t xml:space="preserve"> </w:t>
      </w:r>
      <w:r w:rsidR="00F140F1">
        <w:rPr>
          <w:rFonts w:ascii="Arial" w:hAnsi="Arial" w:cs="Arial"/>
        </w:rPr>
        <w:t>TA acquisition with a candidate cell</w:t>
      </w:r>
      <w:r w:rsidR="00F93165">
        <w:rPr>
          <w:rFonts w:ascii="Arial" w:hAnsi="Arial" w:cs="Arial"/>
        </w:rPr>
        <w:t xml:space="preserve">, the </w:t>
      </w:r>
      <w:r w:rsidR="00ED7F39">
        <w:rPr>
          <w:rFonts w:ascii="Arial" w:hAnsi="Arial" w:cs="Arial"/>
        </w:rPr>
        <w:t>candidate/</w:t>
      </w:r>
      <w:r w:rsidR="00F93165">
        <w:rPr>
          <w:rFonts w:ascii="Arial" w:hAnsi="Arial" w:cs="Arial"/>
        </w:rPr>
        <w:t xml:space="preserve">target gNB-DU can </w:t>
      </w:r>
      <w:r>
        <w:rPr>
          <w:rFonts w:ascii="Arial" w:hAnsi="Arial" w:cs="Arial"/>
        </w:rPr>
        <w:t>anticipate a</w:t>
      </w:r>
      <w:r w:rsidR="009B259C">
        <w:rPr>
          <w:rFonts w:ascii="Arial" w:hAnsi="Arial" w:cs="Arial"/>
        </w:rPr>
        <w:t>n incoming LTM</w:t>
      </w:r>
      <w:r>
        <w:rPr>
          <w:rFonts w:ascii="Arial" w:hAnsi="Arial" w:cs="Arial"/>
        </w:rPr>
        <w:t xml:space="preserve"> </w:t>
      </w:r>
      <w:r w:rsidR="0070386F">
        <w:rPr>
          <w:rFonts w:ascii="Arial" w:hAnsi="Arial" w:cs="Arial"/>
        </w:rPr>
        <w:t>cell switch</w:t>
      </w:r>
      <w:r>
        <w:rPr>
          <w:rFonts w:ascii="Arial" w:hAnsi="Arial" w:cs="Arial"/>
        </w:rPr>
        <w:t xml:space="preserve"> and </w:t>
      </w:r>
      <w:r w:rsidR="00F93165">
        <w:rPr>
          <w:rFonts w:ascii="Arial" w:hAnsi="Arial" w:cs="Arial"/>
        </w:rPr>
        <w:t xml:space="preserve">initiate resource reservation </w:t>
      </w:r>
      <w:r>
        <w:rPr>
          <w:rFonts w:ascii="Arial" w:hAnsi="Arial" w:cs="Arial"/>
        </w:rPr>
        <w:t xml:space="preserve">at the </w:t>
      </w:r>
      <w:r w:rsidR="0070386F">
        <w:rPr>
          <w:rFonts w:ascii="Arial" w:hAnsi="Arial" w:cs="Arial"/>
        </w:rPr>
        <w:t>candidate/</w:t>
      </w:r>
      <w:r>
        <w:rPr>
          <w:rFonts w:ascii="Arial" w:hAnsi="Arial" w:cs="Arial"/>
        </w:rPr>
        <w:t>target cell</w:t>
      </w:r>
      <w:r w:rsidR="00D22739">
        <w:rPr>
          <w:rFonts w:ascii="Arial" w:hAnsi="Arial" w:cs="Arial"/>
        </w:rPr>
        <w:t xml:space="preserve"> </w:t>
      </w:r>
      <w:r w:rsidR="00052805" w:rsidRPr="00052805">
        <w:rPr>
          <w:rFonts w:ascii="Arial" w:hAnsi="Arial" w:cs="Arial"/>
        </w:rPr>
        <w:t xml:space="preserve">including </w:t>
      </w:r>
      <w:r w:rsidR="00BF79D3">
        <w:rPr>
          <w:rFonts w:ascii="Arial" w:hAnsi="Arial" w:cs="Arial"/>
        </w:rPr>
        <w:t xml:space="preserve">update of </w:t>
      </w:r>
      <w:r w:rsidR="00052805" w:rsidRPr="00052805">
        <w:rPr>
          <w:rFonts w:ascii="Arial" w:hAnsi="Arial" w:cs="Arial"/>
        </w:rPr>
        <w:t xml:space="preserve">a RACH </w:t>
      </w:r>
      <w:r w:rsidR="00783D53">
        <w:rPr>
          <w:rFonts w:ascii="Arial" w:hAnsi="Arial" w:cs="Arial"/>
        </w:rPr>
        <w:t>resource</w:t>
      </w:r>
      <w:r w:rsidR="00052805" w:rsidRPr="00052805">
        <w:rPr>
          <w:rFonts w:ascii="Arial" w:hAnsi="Arial" w:cs="Arial"/>
        </w:rPr>
        <w:t xml:space="preserve"> </w:t>
      </w:r>
      <w:r w:rsidR="00D22739">
        <w:rPr>
          <w:rFonts w:ascii="Arial" w:hAnsi="Arial" w:cs="Arial"/>
        </w:rPr>
        <w:t xml:space="preserve">configuration </w:t>
      </w:r>
      <w:r w:rsidR="00052805" w:rsidRPr="00052805">
        <w:rPr>
          <w:rFonts w:ascii="Arial" w:hAnsi="Arial" w:cs="Arial"/>
        </w:rPr>
        <w:t xml:space="preserve">corresponding to the UE’s </w:t>
      </w:r>
      <w:r w:rsidR="00783D53">
        <w:rPr>
          <w:rFonts w:ascii="Arial" w:hAnsi="Arial" w:cs="Arial"/>
        </w:rPr>
        <w:t xml:space="preserve">best </w:t>
      </w:r>
      <w:r w:rsidR="00052805" w:rsidRPr="00052805">
        <w:rPr>
          <w:rFonts w:ascii="Arial" w:hAnsi="Arial" w:cs="Arial"/>
        </w:rPr>
        <w:t>beam/beam-group</w:t>
      </w:r>
      <w:r w:rsidR="0070386F">
        <w:rPr>
          <w:rFonts w:ascii="Arial" w:hAnsi="Arial" w:cs="Arial"/>
        </w:rPr>
        <w:t xml:space="preserve"> at that point of time</w:t>
      </w:r>
      <w:r w:rsidR="00052805" w:rsidRPr="00052805">
        <w:rPr>
          <w:rFonts w:ascii="Arial" w:hAnsi="Arial" w:cs="Arial"/>
        </w:rPr>
        <w:t xml:space="preserve">. </w:t>
      </w:r>
    </w:p>
    <w:p w14:paraId="72E278E7" w14:textId="77777777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>This introduces multiple benefits</w:t>
      </w:r>
    </w:p>
    <w:p w14:paraId="75451E4A" w14:textId="650DE828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ensures that the resource reservation at the target gNB-DU is performed very close to the LTM serving cell </w:t>
      </w:r>
      <w:r w:rsidR="00BF79D3">
        <w:rPr>
          <w:rFonts w:ascii="Arial" w:hAnsi="Arial" w:cs="Arial"/>
        </w:rPr>
        <w:t>switch</w:t>
      </w:r>
      <w:r w:rsidRPr="00052805">
        <w:rPr>
          <w:rFonts w:ascii="Arial" w:hAnsi="Arial" w:cs="Arial"/>
        </w:rPr>
        <w:t xml:space="preserve"> and hence optimized</w:t>
      </w:r>
      <w:r w:rsidR="00BF79D3">
        <w:rPr>
          <w:rFonts w:ascii="Arial" w:hAnsi="Arial" w:cs="Arial"/>
        </w:rPr>
        <w:t>,</w:t>
      </w:r>
      <w:r w:rsidRPr="00052805">
        <w:rPr>
          <w:rFonts w:ascii="Arial" w:hAnsi="Arial" w:cs="Arial"/>
        </w:rPr>
        <w:t xml:space="preserve"> as the likelihood of an LTM </w:t>
      </w:r>
      <w:r w:rsidR="00BF79D3">
        <w:rPr>
          <w:rFonts w:ascii="Arial" w:hAnsi="Arial" w:cs="Arial"/>
        </w:rPr>
        <w:t>cell switch</w:t>
      </w:r>
      <w:r w:rsidRPr="00052805">
        <w:rPr>
          <w:rFonts w:ascii="Arial" w:hAnsi="Arial" w:cs="Arial"/>
        </w:rPr>
        <w:t xml:space="preserve"> is strong. This also prevents unnecessary blocking of resources for a longer duration in case of long lead times.</w:t>
      </w:r>
    </w:p>
    <w:p w14:paraId="77A7FE22" w14:textId="69716C9B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This also ensures that the right RACH </w:t>
      </w:r>
      <w:r w:rsidR="002E471F">
        <w:rPr>
          <w:rFonts w:ascii="Arial" w:hAnsi="Arial" w:cs="Arial"/>
        </w:rPr>
        <w:t>resources</w:t>
      </w:r>
      <w:r w:rsidRPr="00052805">
        <w:rPr>
          <w:rFonts w:ascii="Arial" w:hAnsi="Arial" w:cs="Arial"/>
        </w:rPr>
        <w:t xml:space="preserve"> corresponding to the best beam/beam-group </w:t>
      </w:r>
      <w:r w:rsidR="00F140F1">
        <w:rPr>
          <w:rFonts w:ascii="Arial" w:hAnsi="Arial" w:cs="Arial"/>
        </w:rPr>
        <w:t xml:space="preserve">are configured </w:t>
      </w:r>
      <w:r w:rsidRPr="00052805">
        <w:rPr>
          <w:rFonts w:ascii="Arial" w:hAnsi="Arial" w:cs="Arial"/>
        </w:rPr>
        <w:t xml:space="preserve">at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>target gNB-DU.</w:t>
      </w:r>
    </w:p>
    <w:p w14:paraId="02CD44EF" w14:textId="544230BA" w:rsidR="00052805" w:rsidRPr="00052805" w:rsidRDefault="00052805" w:rsidP="00052805">
      <w:pPr>
        <w:numPr>
          <w:ilvl w:val="0"/>
          <w:numId w:val="38"/>
        </w:numPr>
        <w:rPr>
          <w:rFonts w:ascii="Arial" w:hAnsi="Arial" w:cs="Arial"/>
        </w:rPr>
      </w:pPr>
      <w:r w:rsidRPr="00052805">
        <w:rPr>
          <w:rFonts w:ascii="Arial" w:hAnsi="Arial" w:cs="Arial"/>
        </w:rPr>
        <w:lastRenderedPageBreak/>
        <w:t xml:space="preserve">The </w:t>
      </w:r>
      <w:r w:rsidR="00BF79D3">
        <w:rPr>
          <w:rFonts w:ascii="Arial" w:hAnsi="Arial" w:cs="Arial"/>
        </w:rPr>
        <w:t>UE performing UL sync</w:t>
      </w:r>
      <w:r w:rsidRPr="00052805">
        <w:rPr>
          <w:rFonts w:ascii="Arial" w:hAnsi="Arial" w:cs="Arial"/>
        </w:rPr>
        <w:t xml:space="preserve"> can be a good indicator of the likelihood of a LTM </w:t>
      </w:r>
      <w:r w:rsidR="002E471F">
        <w:rPr>
          <w:rFonts w:ascii="Arial" w:hAnsi="Arial" w:cs="Arial"/>
        </w:rPr>
        <w:t>serving cell change</w:t>
      </w:r>
      <w:r w:rsidRPr="00052805">
        <w:rPr>
          <w:rFonts w:ascii="Arial" w:hAnsi="Arial" w:cs="Arial"/>
        </w:rPr>
        <w:t xml:space="preserve">. This </w:t>
      </w:r>
      <w:r w:rsidR="002E471F">
        <w:rPr>
          <w:rFonts w:ascii="Arial" w:hAnsi="Arial" w:cs="Arial"/>
        </w:rPr>
        <w:t>enables</w:t>
      </w:r>
      <w:r w:rsidRPr="00052805">
        <w:rPr>
          <w:rFonts w:ascii="Arial" w:hAnsi="Arial" w:cs="Arial"/>
        </w:rPr>
        <w:t xml:space="preserve"> the </w:t>
      </w:r>
      <w:r w:rsidR="00F140F1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gNB-DU to issue a target cell re-configuration (if required) based on the prevalent resource conditions at that time. </w:t>
      </w:r>
    </w:p>
    <w:p w14:paraId="17DA2B91" w14:textId="04FA40B8" w:rsidR="00052805" w:rsidRPr="00052805" w:rsidRDefault="00052805" w:rsidP="00052805">
      <w:pPr>
        <w:rPr>
          <w:rFonts w:ascii="Arial" w:hAnsi="Arial" w:cs="Arial"/>
        </w:rPr>
      </w:pPr>
      <w:r w:rsidRPr="00052805">
        <w:rPr>
          <w:rFonts w:ascii="Arial" w:hAnsi="Arial" w:cs="Arial"/>
        </w:rPr>
        <w:t xml:space="preserve">The </w:t>
      </w:r>
      <w:r w:rsidR="00506F5D">
        <w:rPr>
          <w:rFonts w:ascii="Arial" w:hAnsi="Arial" w:cs="Arial"/>
        </w:rPr>
        <w:t>resource reservation changes may</w:t>
      </w:r>
      <w:r w:rsidRPr="00052805">
        <w:rPr>
          <w:rFonts w:ascii="Arial" w:hAnsi="Arial" w:cs="Arial"/>
        </w:rPr>
        <w:t xml:space="preserve"> </w:t>
      </w:r>
      <w:r w:rsidR="00FA45BB">
        <w:rPr>
          <w:rFonts w:ascii="Arial" w:hAnsi="Arial" w:cs="Arial"/>
        </w:rPr>
        <w:t xml:space="preserve">result in a modified </w:t>
      </w:r>
      <w:r w:rsidR="00BF79D3">
        <w:rPr>
          <w:rFonts w:ascii="Arial" w:hAnsi="Arial" w:cs="Arial"/>
        </w:rPr>
        <w:t>candidate/</w:t>
      </w:r>
      <w:r w:rsidR="00FA45BB">
        <w:rPr>
          <w:rFonts w:ascii="Arial" w:hAnsi="Arial" w:cs="Arial"/>
        </w:rPr>
        <w:t>target cell configuration at the</w:t>
      </w:r>
      <w:r w:rsidRPr="00052805">
        <w:rPr>
          <w:rFonts w:ascii="Arial" w:hAnsi="Arial" w:cs="Arial"/>
        </w:rPr>
        <w:t xml:space="preserve"> </w:t>
      </w:r>
      <w:r w:rsidR="00BF79D3">
        <w:rPr>
          <w:rFonts w:ascii="Arial" w:hAnsi="Arial" w:cs="Arial"/>
        </w:rPr>
        <w:t>candidate/</w:t>
      </w:r>
      <w:r w:rsidRPr="00052805">
        <w:rPr>
          <w:rFonts w:ascii="Arial" w:hAnsi="Arial" w:cs="Arial"/>
        </w:rPr>
        <w:t xml:space="preserve">target gNB-DU </w:t>
      </w:r>
      <w:r w:rsidR="00506F5D">
        <w:rPr>
          <w:rFonts w:ascii="Arial" w:hAnsi="Arial" w:cs="Arial"/>
        </w:rPr>
        <w:t>and could be</w:t>
      </w:r>
      <w:r w:rsidRPr="00052805">
        <w:rPr>
          <w:rFonts w:ascii="Arial" w:hAnsi="Arial" w:cs="Arial"/>
        </w:rPr>
        <w:t xml:space="preserve"> delivered to the UE via the gNB-CU</w:t>
      </w:r>
      <w:r w:rsidR="00D22739">
        <w:rPr>
          <w:rFonts w:ascii="Arial" w:hAnsi="Arial" w:cs="Arial"/>
        </w:rPr>
        <w:t xml:space="preserve"> using a gNB-DU initiated F1: UE Context Modification Required procedure</w:t>
      </w:r>
      <w:r w:rsidRPr="00052805">
        <w:rPr>
          <w:rFonts w:ascii="Arial" w:hAnsi="Arial" w:cs="Arial"/>
        </w:rPr>
        <w:t>.</w:t>
      </w:r>
    </w:p>
    <w:p w14:paraId="4973C43B" w14:textId="57055B5B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r w:rsidR="00E171B2">
        <w:rPr>
          <w:i/>
          <w:iCs/>
          <w:lang w:val="en-US"/>
        </w:rPr>
        <w:t>gNB-DU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6D6416D5" w14:textId="22FFFE70" w:rsidR="00A61AD2" w:rsidRPr="00A61AD2" w:rsidRDefault="00A61AD2" w:rsidP="00A61AD2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However, in Rel18, </w:t>
      </w:r>
      <w:r w:rsidRPr="00F814C0">
        <w:rPr>
          <w:rFonts w:ascii="Arial" w:hAnsi="Arial" w:cs="Arial"/>
        </w:rPr>
        <w:t xml:space="preserve">gNB-DU initiated </w:t>
      </w:r>
      <w:r>
        <w:rPr>
          <w:rFonts w:ascii="Arial" w:hAnsi="Arial" w:cs="Arial"/>
        </w:rPr>
        <w:t>LTM candidate cell</w:t>
      </w:r>
      <w:r w:rsidRPr="00F814C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re-</w:t>
      </w:r>
      <w:r w:rsidRPr="00F814C0">
        <w:rPr>
          <w:rFonts w:ascii="Arial" w:hAnsi="Arial" w:cs="Arial"/>
        </w:rPr>
        <w:t xml:space="preserve">configuration is not </w:t>
      </w:r>
      <w:r>
        <w:rPr>
          <w:rFonts w:ascii="Arial" w:hAnsi="Arial" w:cs="Arial"/>
        </w:rPr>
        <w:t xml:space="preserve">permitted by RAN3. This is a limitation considering the fact that there could be changes in resource status and availability between LTM candidate cell preparation and execution. As an example, a simple RACH preamble modification based on </w:t>
      </w:r>
      <w:r w:rsidR="00506F5D">
        <w:rPr>
          <w:rFonts w:ascii="Arial" w:hAnsi="Arial" w:cs="Arial"/>
        </w:rPr>
        <w:t xml:space="preserve">the best </w:t>
      </w:r>
      <w:r>
        <w:rPr>
          <w:rFonts w:ascii="Arial" w:hAnsi="Arial" w:cs="Arial"/>
        </w:rPr>
        <w:t xml:space="preserve">beam or beam-group change isn’t possible after the candidate cell configuration has been prepared. </w:t>
      </w:r>
      <w:r w:rsidRPr="00F814C0">
        <w:rPr>
          <w:rFonts w:ascii="Arial" w:hAnsi="Arial" w:cs="Arial"/>
        </w:rPr>
        <w:t xml:space="preserve">Once the </w:t>
      </w:r>
      <w:r>
        <w:rPr>
          <w:rFonts w:ascii="Arial" w:hAnsi="Arial" w:cs="Arial"/>
        </w:rPr>
        <w:t xml:space="preserve">candidate cell </w:t>
      </w:r>
      <w:r w:rsidRPr="00F814C0">
        <w:rPr>
          <w:rFonts w:ascii="Arial" w:hAnsi="Arial" w:cs="Arial"/>
        </w:rPr>
        <w:t>configuration is prepared, it is either executed or cancelled</w:t>
      </w:r>
      <w:r>
        <w:rPr>
          <w:rFonts w:ascii="Arial" w:hAnsi="Arial" w:cs="Arial"/>
        </w:rPr>
        <w:t>. This, in our view, is too inflexible and limiting genuine cases requiring re-configuration.</w:t>
      </w:r>
    </w:p>
    <w:p w14:paraId="038E9664" w14:textId="192DA0D2" w:rsidR="00406067" w:rsidRDefault="00406067" w:rsidP="0005280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 w:rsidR="00DD4F6D">
        <w:rPr>
          <w:rFonts w:ascii="Arial" w:hAnsi="Arial" w:cs="Arial"/>
          <w:b/>
          <w:bCs/>
        </w:rPr>
        <w:t>serving gNB-CU indicates to the candidate/target gNB-CU about the timing acquisition mechanism configured to the UE</w:t>
      </w:r>
      <w:r>
        <w:rPr>
          <w:rFonts w:ascii="Arial" w:hAnsi="Arial" w:cs="Arial"/>
          <w:b/>
          <w:bCs/>
        </w:rPr>
        <w:t>.</w:t>
      </w:r>
    </w:p>
    <w:p w14:paraId="1198FAB8" w14:textId="3CF1DAC3" w:rsidR="00DD4F6D" w:rsidRPr="00DB4189" w:rsidRDefault="00DD4F6D" w:rsidP="00DD4F6D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reconsiders gNB-DU initiated candidate/target cell re-configuration in Release 19 and permits re-configuration of resources initiated by the gNB-DU.</w:t>
      </w:r>
    </w:p>
    <w:p w14:paraId="26832E6E" w14:textId="77777777" w:rsidR="00DD4F6D" w:rsidRPr="00DB4189" w:rsidRDefault="00DD4F6D" w:rsidP="00052805"/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C2B03EA" w14:textId="77777777" w:rsidR="007B0865" w:rsidRDefault="007B0865" w:rsidP="007B086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r>
        <w:rPr>
          <w:i/>
          <w:iCs/>
          <w:lang w:val="en-US"/>
        </w:rPr>
        <w:t>gNB-DU initiated target cell re-configuration can be used to enable optimized resource reservation</w:t>
      </w:r>
      <w:r w:rsidRPr="00052805">
        <w:rPr>
          <w:i/>
          <w:iCs/>
          <w:lang w:val="en-US"/>
        </w:rPr>
        <w:t>.</w:t>
      </w:r>
    </w:p>
    <w:p w14:paraId="62998FBA" w14:textId="24C44E6E" w:rsidR="0096782C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Serving gNB-CU indicates to the candidate/target gNB-CU about the timing acquisition mechanism configured to the UE.</w:t>
      </w:r>
    </w:p>
    <w:p w14:paraId="3215224F" w14:textId="77777777" w:rsidR="0096782C" w:rsidRDefault="0096782C" w:rsidP="0096782C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RAN3 reconsiders gNB-DU initiated candidate/target cell re-configuration in Release 19 and permits re-configuration of resources initiated by the gNB-DU.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Start w:id="6" w:name="_Ref110867306"/>
    <w:bookmarkEnd w:id="0"/>
    <w:p w14:paraId="503DFE15" w14:textId="12FD809A" w:rsidR="00B60C70" w:rsidRPr="00E00848" w:rsidRDefault="00B60C70" w:rsidP="00B60C70">
      <w:pPr>
        <w:pStyle w:val="Reference"/>
        <w:jc w:val="both"/>
        <w:rPr>
          <w:lang w:val="en-US"/>
        </w:rPr>
      </w:pPr>
      <w:r>
        <w:fldChar w:fldCharType="begin"/>
      </w:r>
      <w:r>
        <w:instrText>HYPERLINK "https://www.3gpp.org/ftp/tsg_ran/TSG_RAN/TSGR_105/Docs/RP-242356.zip"</w:instrText>
      </w:r>
      <w:r>
        <w:fldChar w:fldCharType="separate"/>
      </w:r>
      <w:r>
        <w:rPr>
          <w:rStyle w:val="Hyperlink"/>
        </w:rPr>
        <w:t>RP-242356</w:t>
      </w:r>
      <w:r>
        <w:rPr>
          <w:rStyle w:val="Hyperlink"/>
        </w:rPr>
        <w:fldChar w:fldCharType="end"/>
      </w:r>
      <w:r>
        <w:rPr>
          <w:rStyle w:val="Hyperlink"/>
        </w:rPr>
        <w:t xml:space="preserve">, </w:t>
      </w:r>
      <w:r>
        <w:t xml:space="preserve">  </w:t>
      </w:r>
      <w:bookmarkEnd w:id="6"/>
      <w:r>
        <w:t>“</w:t>
      </w:r>
      <w:r w:rsidRPr="00337677">
        <w:t>Revised Work Item: NR mobility enhancements Phase 4</w:t>
      </w:r>
      <w:r>
        <w:t>”</w:t>
      </w:r>
    </w:p>
    <w:p w14:paraId="251D25AE" w14:textId="77777777" w:rsidR="00E00848" w:rsidRDefault="00E00848" w:rsidP="00E00848">
      <w:pPr>
        <w:pStyle w:val="Reference"/>
        <w:numPr>
          <w:ilvl w:val="0"/>
          <w:numId w:val="0"/>
        </w:numPr>
        <w:ind w:left="567"/>
        <w:jc w:val="both"/>
        <w:rPr>
          <w:lang w:val="en-US"/>
        </w:rPr>
      </w:pP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768AE" w14:textId="77777777" w:rsidR="00AE3497" w:rsidRDefault="00AE3497">
      <w:r>
        <w:separator/>
      </w:r>
    </w:p>
  </w:endnote>
  <w:endnote w:type="continuationSeparator" w:id="0">
    <w:p w14:paraId="2F821474" w14:textId="77777777" w:rsidR="00AE3497" w:rsidRDefault="00AE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17027" w14:textId="77777777" w:rsidR="00AE3497" w:rsidRDefault="00AE3497">
      <w:r>
        <w:separator/>
      </w:r>
    </w:p>
  </w:footnote>
  <w:footnote w:type="continuationSeparator" w:id="0">
    <w:p w14:paraId="24DFD676" w14:textId="77777777" w:rsidR="00AE3497" w:rsidRDefault="00AE34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53F18"/>
    <w:multiLevelType w:val="hybridMultilevel"/>
    <w:tmpl w:val="EE86176E"/>
    <w:lvl w:ilvl="0" w:tplc="99E6B50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D51FD0"/>
    <w:multiLevelType w:val="hybridMultilevel"/>
    <w:tmpl w:val="6C26694A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FFFFFFFF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44"/>
  </w:num>
  <w:num w:numId="4" w16cid:durableId="463742866">
    <w:abstractNumId w:val="35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4"/>
  </w:num>
  <w:num w:numId="8" w16cid:durableId="577136566">
    <w:abstractNumId w:val="29"/>
  </w:num>
  <w:num w:numId="9" w16cid:durableId="1605189811">
    <w:abstractNumId w:val="14"/>
  </w:num>
  <w:num w:numId="10" w16cid:durableId="840970720">
    <w:abstractNumId w:val="19"/>
  </w:num>
  <w:num w:numId="11" w16cid:durableId="196354157">
    <w:abstractNumId w:val="39"/>
  </w:num>
  <w:num w:numId="12" w16cid:durableId="333148338">
    <w:abstractNumId w:val="33"/>
  </w:num>
  <w:num w:numId="13" w16cid:durableId="90980657">
    <w:abstractNumId w:val="22"/>
    <w:lvlOverride w:ilvl="0">
      <w:startOverride w:val="1"/>
    </w:lvlOverride>
  </w:num>
  <w:num w:numId="14" w16cid:durableId="1221139031">
    <w:abstractNumId w:val="23"/>
  </w:num>
  <w:num w:numId="15" w16cid:durableId="1145272553">
    <w:abstractNumId w:val="37"/>
  </w:num>
  <w:num w:numId="16" w16cid:durableId="418722276">
    <w:abstractNumId w:val="30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9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9"/>
  </w:num>
  <w:num w:numId="24" w16cid:durableId="1536428878">
    <w:abstractNumId w:val="38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32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6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8"/>
  </w:num>
  <w:num w:numId="34" w16cid:durableId="43725344">
    <w:abstractNumId w:val="2"/>
  </w:num>
  <w:num w:numId="35" w16cid:durableId="300497305">
    <w:abstractNumId w:val="41"/>
  </w:num>
  <w:num w:numId="36" w16cid:durableId="1976370776">
    <w:abstractNumId w:val="28"/>
  </w:num>
  <w:num w:numId="37" w16cid:durableId="598756540">
    <w:abstractNumId w:val="42"/>
  </w:num>
  <w:num w:numId="38" w16cid:durableId="483350942">
    <w:abstractNumId w:val="26"/>
  </w:num>
  <w:num w:numId="39" w16cid:durableId="1828935576">
    <w:abstractNumId w:val="20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5"/>
  </w:num>
  <w:num w:numId="43" w16cid:durableId="1124617831">
    <w:abstractNumId w:val="9"/>
  </w:num>
  <w:num w:numId="44" w16cid:durableId="1402554592">
    <w:abstractNumId w:val="34"/>
  </w:num>
  <w:num w:numId="45" w16cid:durableId="491719827">
    <w:abstractNumId w:val="31"/>
  </w:num>
  <w:num w:numId="46" w16cid:durableId="1013848472">
    <w:abstractNumId w:val="27"/>
  </w:num>
  <w:num w:numId="47" w16cid:durableId="1967614257">
    <w:abstractNumId w:val="43"/>
  </w:num>
  <w:num w:numId="48" w16cid:durableId="1703168360">
    <w:abstractNumId w:val="40"/>
  </w:num>
  <w:num w:numId="49" w16cid:durableId="19728078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06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27CE2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0243"/>
    <w:rsid w:val="00061B84"/>
    <w:rsid w:val="00062292"/>
    <w:rsid w:val="000622D3"/>
    <w:rsid w:val="00062A3B"/>
    <w:rsid w:val="00063700"/>
    <w:rsid w:val="00064173"/>
    <w:rsid w:val="00064C3C"/>
    <w:rsid w:val="000655EF"/>
    <w:rsid w:val="000667C1"/>
    <w:rsid w:val="00067AC9"/>
    <w:rsid w:val="00070CDD"/>
    <w:rsid w:val="00072EDF"/>
    <w:rsid w:val="00072FAC"/>
    <w:rsid w:val="000737BB"/>
    <w:rsid w:val="00073C97"/>
    <w:rsid w:val="00075247"/>
    <w:rsid w:val="00075690"/>
    <w:rsid w:val="00075EE9"/>
    <w:rsid w:val="00076BAB"/>
    <w:rsid w:val="00076E9F"/>
    <w:rsid w:val="00080733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17AA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4F2C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2D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B7B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5BE6"/>
    <w:rsid w:val="0010634F"/>
    <w:rsid w:val="0010641E"/>
    <w:rsid w:val="00106E26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5DAF"/>
    <w:rsid w:val="00135E25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52A1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598B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0B6"/>
    <w:rsid w:val="001A1B88"/>
    <w:rsid w:val="001A1F92"/>
    <w:rsid w:val="001A2382"/>
    <w:rsid w:val="001A2CEB"/>
    <w:rsid w:val="001A34F0"/>
    <w:rsid w:val="001A38C1"/>
    <w:rsid w:val="001A68F4"/>
    <w:rsid w:val="001A6CB0"/>
    <w:rsid w:val="001B135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B3E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66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387D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472AA"/>
    <w:rsid w:val="0025022A"/>
    <w:rsid w:val="00250854"/>
    <w:rsid w:val="0025228F"/>
    <w:rsid w:val="002530BE"/>
    <w:rsid w:val="00253E55"/>
    <w:rsid w:val="00254C91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90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14C"/>
    <w:rsid w:val="002D721E"/>
    <w:rsid w:val="002D756C"/>
    <w:rsid w:val="002D7E29"/>
    <w:rsid w:val="002E068A"/>
    <w:rsid w:val="002E0B07"/>
    <w:rsid w:val="002E0E6D"/>
    <w:rsid w:val="002E0F73"/>
    <w:rsid w:val="002E15A7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4B1E"/>
    <w:rsid w:val="00305706"/>
    <w:rsid w:val="003059C0"/>
    <w:rsid w:val="00305BD4"/>
    <w:rsid w:val="00305CDD"/>
    <w:rsid w:val="00305EE5"/>
    <w:rsid w:val="0030696B"/>
    <w:rsid w:val="003079D9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4F3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5D6B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9CF"/>
    <w:rsid w:val="003C4C53"/>
    <w:rsid w:val="003C5549"/>
    <w:rsid w:val="003C578D"/>
    <w:rsid w:val="003C6D51"/>
    <w:rsid w:val="003C6E67"/>
    <w:rsid w:val="003C7216"/>
    <w:rsid w:val="003D042E"/>
    <w:rsid w:val="003D059B"/>
    <w:rsid w:val="003D0F1F"/>
    <w:rsid w:val="003D17A2"/>
    <w:rsid w:val="003D1A37"/>
    <w:rsid w:val="003D1BC3"/>
    <w:rsid w:val="003D268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07E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0BE"/>
    <w:rsid w:val="0041669D"/>
    <w:rsid w:val="00416961"/>
    <w:rsid w:val="00416AC5"/>
    <w:rsid w:val="00416AC6"/>
    <w:rsid w:val="004201F7"/>
    <w:rsid w:val="00421EAB"/>
    <w:rsid w:val="00423CB6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DC5"/>
    <w:rsid w:val="00443EFE"/>
    <w:rsid w:val="00444983"/>
    <w:rsid w:val="00444B1C"/>
    <w:rsid w:val="00444F8C"/>
    <w:rsid w:val="004453C9"/>
    <w:rsid w:val="00445A1C"/>
    <w:rsid w:val="00445E32"/>
    <w:rsid w:val="0044674B"/>
    <w:rsid w:val="00446771"/>
    <w:rsid w:val="00446D18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05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0F8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06F5D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37CA1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072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3607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837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B6B"/>
    <w:rsid w:val="00666C1F"/>
    <w:rsid w:val="00666DD8"/>
    <w:rsid w:val="006705F0"/>
    <w:rsid w:val="00670B5A"/>
    <w:rsid w:val="00670B7C"/>
    <w:rsid w:val="00670E91"/>
    <w:rsid w:val="00671283"/>
    <w:rsid w:val="006726F6"/>
    <w:rsid w:val="006735A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81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3BE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581B"/>
    <w:rsid w:val="006D610E"/>
    <w:rsid w:val="006D6B98"/>
    <w:rsid w:val="006D6FC7"/>
    <w:rsid w:val="006D7049"/>
    <w:rsid w:val="006D731D"/>
    <w:rsid w:val="006E0194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1CF4"/>
    <w:rsid w:val="00702276"/>
    <w:rsid w:val="00702820"/>
    <w:rsid w:val="0070283A"/>
    <w:rsid w:val="00702A7E"/>
    <w:rsid w:val="00703478"/>
    <w:rsid w:val="0070386F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0DB4"/>
    <w:rsid w:val="0072136C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44DE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543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B21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3601"/>
    <w:rsid w:val="007A39B3"/>
    <w:rsid w:val="007A4999"/>
    <w:rsid w:val="007A4CD1"/>
    <w:rsid w:val="007A6450"/>
    <w:rsid w:val="007A76A0"/>
    <w:rsid w:val="007A791E"/>
    <w:rsid w:val="007B0865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82A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6DA"/>
    <w:rsid w:val="00801B02"/>
    <w:rsid w:val="00802CD1"/>
    <w:rsid w:val="00804A7D"/>
    <w:rsid w:val="00807E69"/>
    <w:rsid w:val="00810E58"/>
    <w:rsid w:val="00811EB2"/>
    <w:rsid w:val="00811F4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2162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6AE"/>
    <w:rsid w:val="00905879"/>
    <w:rsid w:val="00905B1B"/>
    <w:rsid w:val="00906320"/>
    <w:rsid w:val="0090645C"/>
    <w:rsid w:val="0090710A"/>
    <w:rsid w:val="00910004"/>
    <w:rsid w:val="00910153"/>
    <w:rsid w:val="009108B8"/>
    <w:rsid w:val="009118A8"/>
    <w:rsid w:val="009152AE"/>
    <w:rsid w:val="00915E90"/>
    <w:rsid w:val="0091623F"/>
    <w:rsid w:val="00916611"/>
    <w:rsid w:val="009173E2"/>
    <w:rsid w:val="00917868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5E7"/>
    <w:rsid w:val="00957C93"/>
    <w:rsid w:val="009612A1"/>
    <w:rsid w:val="009619D3"/>
    <w:rsid w:val="00962CA1"/>
    <w:rsid w:val="00962CA4"/>
    <w:rsid w:val="009636DE"/>
    <w:rsid w:val="00963B71"/>
    <w:rsid w:val="00964456"/>
    <w:rsid w:val="00964DEA"/>
    <w:rsid w:val="0096589D"/>
    <w:rsid w:val="00966E9C"/>
    <w:rsid w:val="00967109"/>
    <w:rsid w:val="0096782C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75F15"/>
    <w:rsid w:val="0097645A"/>
    <w:rsid w:val="00980067"/>
    <w:rsid w:val="00980612"/>
    <w:rsid w:val="00981B7A"/>
    <w:rsid w:val="00982B90"/>
    <w:rsid w:val="00982FBF"/>
    <w:rsid w:val="0098341C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CA7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9F67CE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267"/>
    <w:rsid w:val="00A53BB6"/>
    <w:rsid w:val="00A55128"/>
    <w:rsid w:val="00A55835"/>
    <w:rsid w:val="00A570EF"/>
    <w:rsid w:val="00A57800"/>
    <w:rsid w:val="00A57BE5"/>
    <w:rsid w:val="00A61AD2"/>
    <w:rsid w:val="00A61D78"/>
    <w:rsid w:val="00A62B37"/>
    <w:rsid w:val="00A632EB"/>
    <w:rsid w:val="00A638C7"/>
    <w:rsid w:val="00A63C72"/>
    <w:rsid w:val="00A64F6B"/>
    <w:rsid w:val="00A6697F"/>
    <w:rsid w:val="00A671CE"/>
    <w:rsid w:val="00A677DD"/>
    <w:rsid w:val="00A67F68"/>
    <w:rsid w:val="00A707DC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0F2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3497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3D1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814"/>
    <w:rsid w:val="00B21E5B"/>
    <w:rsid w:val="00B22C78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0C70"/>
    <w:rsid w:val="00B60E81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609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1CC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C04"/>
    <w:rsid w:val="00BC5C31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BF79D3"/>
    <w:rsid w:val="00C0058C"/>
    <w:rsid w:val="00C00D2D"/>
    <w:rsid w:val="00C011C8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4FD2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4B50"/>
    <w:rsid w:val="00C367B1"/>
    <w:rsid w:val="00C36B90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117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5C5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1995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0F4"/>
    <w:rsid w:val="00CC1B29"/>
    <w:rsid w:val="00CC475F"/>
    <w:rsid w:val="00CC4EE0"/>
    <w:rsid w:val="00CC4F30"/>
    <w:rsid w:val="00CC552C"/>
    <w:rsid w:val="00CC5DA5"/>
    <w:rsid w:val="00CC5DE6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1762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07DDA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37907"/>
    <w:rsid w:val="00D405E0"/>
    <w:rsid w:val="00D40C3D"/>
    <w:rsid w:val="00D413F6"/>
    <w:rsid w:val="00D41622"/>
    <w:rsid w:val="00D44952"/>
    <w:rsid w:val="00D464BD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573D5"/>
    <w:rsid w:val="00D60117"/>
    <w:rsid w:val="00D61CFF"/>
    <w:rsid w:val="00D61E64"/>
    <w:rsid w:val="00D624C9"/>
    <w:rsid w:val="00D6280A"/>
    <w:rsid w:val="00D6360C"/>
    <w:rsid w:val="00D63656"/>
    <w:rsid w:val="00D64714"/>
    <w:rsid w:val="00D64AC5"/>
    <w:rsid w:val="00D66BC4"/>
    <w:rsid w:val="00D66DB4"/>
    <w:rsid w:val="00D67393"/>
    <w:rsid w:val="00D67E08"/>
    <w:rsid w:val="00D7032C"/>
    <w:rsid w:val="00D7067B"/>
    <w:rsid w:val="00D712EC"/>
    <w:rsid w:val="00D7175C"/>
    <w:rsid w:val="00D722E5"/>
    <w:rsid w:val="00D72B2E"/>
    <w:rsid w:val="00D733BE"/>
    <w:rsid w:val="00D733EB"/>
    <w:rsid w:val="00D7359B"/>
    <w:rsid w:val="00D74B6B"/>
    <w:rsid w:val="00D760A8"/>
    <w:rsid w:val="00D7666A"/>
    <w:rsid w:val="00D76CB8"/>
    <w:rsid w:val="00D77A26"/>
    <w:rsid w:val="00D80C4F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746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F6D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848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1F29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3C46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4B18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7E4"/>
    <w:rsid w:val="00EB4CC3"/>
    <w:rsid w:val="00EB52E7"/>
    <w:rsid w:val="00EB5621"/>
    <w:rsid w:val="00EB59AD"/>
    <w:rsid w:val="00EB63D8"/>
    <w:rsid w:val="00EB68C2"/>
    <w:rsid w:val="00EB7FA8"/>
    <w:rsid w:val="00EC0520"/>
    <w:rsid w:val="00EC0632"/>
    <w:rsid w:val="00EC2DF1"/>
    <w:rsid w:val="00EC3290"/>
    <w:rsid w:val="00EC355E"/>
    <w:rsid w:val="00EC586C"/>
    <w:rsid w:val="00EC6F0F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D7F39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3733"/>
    <w:rsid w:val="00EF4764"/>
    <w:rsid w:val="00EF4F8D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0F1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259"/>
    <w:rsid w:val="00F31C90"/>
    <w:rsid w:val="00F321C1"/>
    <w:rsid w:val="00F33D27"/>
    <w:rsid w:val="00F340F4"/>
    <w:rsid w:val="00F34406"/>
    <w:rsid w:val="00F3440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8D3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68D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2 Char,Head2A Char,2 Char,h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C5DE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Observation">
    <w:name w:val="Observation"/>
    <w:basedOn w:val="Normal"/>
    <w:qFormat/>
    <w:rsid w:val="00CF1762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Resource management at gNB-DU for LTM</vt:lpstr>
    </vt:vector>
  </TitlesOfParts>
  <Manager/>
  <Company>Rakuten Symphony Inc</Company>
  <LinksUpToDate>false</LinksUpToDate>
  <CharactersWithSpaces>5267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 management at gNB-DU for LTM</dc:title>
  <dc:subject/>
  <dc:creator>Subramanya Chandrashekar</dc:creator>
  <cp:keywords/>
  <dc:description/>
  <cp:lastModifiedBy>Chandrashekar, Subramanya | RSI</cp:lastModifiedBy>
  <cp:revision>7</cp:revision>
  <cp:lastPrinted>2009-04-22T07:01:00Z</cp:lastPrinted>
  <dcterms:created xsi:type="dcterms:W3CDTF">2025-02-06T05:57:00Z</dcterms:created>
  <dcterms:modified xsi:type="dcterms:W3CDTF">2025-02-06T08:19:00Z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