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C900325" w:rsidR="004F4425" w:rsidRDefault="004F4425" w:rsidP="0023645A">
      <w:pPr>
        <w:pStyle w:val="Header"/>
        <w:tabs>
          <w:tab w:val="right" w:pos="9923"/>
        </w:tabs>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3B5037">
        <w:rPr>
          <w:rFonts w:cs="Arial"/>
          <w:noProof w:val="0"/>
          <w:sz w:val="24"/>
          <w:szCs w:val="24"/>
        </w:rPr>
        <w:t>3</w:t>
      </w:r>
      <w:r w:rsidR="001634D2">
        <w:rPr>
          <w:rFonts w:cs="Arial"/>
          <w:noProof w:val="0"/>
          <w:sz w:val="24"/>
          <w:szCs w:val="24"/>
        </w:rPr>
        <w:t>bis</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23645A">
        <w:rPr>
          <w:rFonts w:cs="Arial"/>
          <w:bCs/>
          <w:noProof w:val="0"/>
          <w:sz w:val="24"/>
          <w:lang w:eastAsia="ja-JP"/>
        </w:rPr>
        <w:t>1638</w:t>
      </w:r>
    </w:p>
    <w:p w14:paraId="3EA64900" w14:textId="29A00315" w:rsidR="004F4425" w:rsidRDefault="001634D2" w:rsidP="000D77DB">
      <w:pPr>
        <w:pStyle w:val="CRCoverPage"/>
        <w:rPr>
          <w:b/>
          <w:noProof/>
          <w:sz w:val="24"/>
        </w:rPr>
      </w:pPr>
      <w:r>
        <w:rPr>
          <w:b/>
          <w:noProof/>
          <w:sz w:val="24"/>
        </w:rPr>
        <w:t>Changsha, P.R. China, 15</w:t>
      </w:r>
      <w:r w:rsidRPr="001634D2">
        <w:rPr>
          <w:b/>
          <w:noProof/>
          <w:sz w:val="24"/>
          <w:vertAlign w:val="superscript"/>
        </w:rPr>
        <w:t>th</w:t>
      </w:r>
      <w:r>
        <w:rPr>
          <w:b/>
          <w:noProof/>
          <w:sz w:val="24"/>
        </w:rPr>
        <w:t xml:space="preserve"> – 19</w:t>
      </w:r>
      <w:r w:rsidRPr="001634D2">
        <w:rPr>
          <w:b/>
          <w:noProof/>
          <w:sz w:val="24"/>
          <w:vertAlign w:val="superscript"/>
        </w:rPr>
        <w:t>th</w:t>
      </w:r>
      <w:r>
        <w:rPr>
          <w:b/>
          <w:noProof/>
          <w:sz w:val="24"/>
        </w:rPr>
        <w:t xml:space="preserve"> April</w:t>
      </w:r>
      <w:r w:rsidR="00707B18">
        <w:rPr>
          <w:b/>
          <w:noProof/>
          <w:sz w:val="24"/>
        </w:rPr>
        <w:t xml:space="preserve"> 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28607D6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F60E88">
        <w:rPr>
          <w:rFonts w:cs="Arial"/>
          <w:b/>
          <w:bCs/>
          <w:color w:val="000000"/>
          <w:sz w:val="24"/>
          <w:szCs w:val="24"/>
          <w:lang w:val="en-US"/>
        </w:rPr>
        <w:t>16.2</w:t>
      </w:r>
    </w:p>
    <w:p w14:paraId="6BE48DC7" w14:textId="43493A2E"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974B70">
        <w:rPr>
          <w:rFonts w:cs="Arial"/>
          <w:b/>
          <w:bCs/>
          <w:sz w:val="24"/>
          <w:lang w:val="en-US"/>
        </w:rPr>
        <w:t>Ericsson</w:t>
      </w:r>
    </w:p>
    <w:p w14:paraId="3A2005BA" w14:textId="5BC5C6DD"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C30E86">
        <w:rPr>
          <w:rFonts w:cs="Arial"/>
          <w:b/>
          <w:bCs/>
          <w:color w:val="000000"/>
          <w:sz w:val="24"/>
          <w:szCs w:val="24"/>
        </w:rPr>
        <w:t xml:space="preserve">Flows and </w:t>
      </w:r>
      <w:proofErr w:type="gramStart"/>
      <w:r w:rsidR="00862327">
        <w:rPr>
          <w:rFonts w:cs="Arial"/>
          <w:b/>
          <w:bCs/>
          <w:color w:val="000000"/>
          <w:sz w:val="24"/>
          <w:szCs w:val="24"/>
        </w:rPr>
        <w:t>Time Line</w:t>
      </w:r>
      <w:r w:rsidR="00A5753F">
        <w:rPr>
          <w:rFonts w:cs="Arial"/>
          <w:b/>
          <w:bCs/>
          <w:color w:val="000000"/>
          <w:sz w:val="24"/>
          <w:szCs w:val="24"/>
        </w:rPr>
        <w:t>s</w:t>
      </w:r>
      <w:proofErr w:type="gramEnd"/>
      <w:r w:rsidR="00862327">
        <w:rPr>
          <w:rFonts w:cs="Arial"/>
          <w:b/>
          <w:bCs/>
          <w:color w:val="000000"/>
          <w:sz w:val="24"/>
          <w:szCs w:val="24"/>
        </w:rPr>
        <w:t xml:space="preserve"> for </w:t>
      </w:r>
      <w:r w:rsidR="00734125">
        <w:rPr>
          <w:rFonts w:cs="Arial"/>
          <w:b/>
          <w:bCs/>
          <w:color w:val="000000"/>
          <w:sz w:val="24"/>
          <w:szCs w:val="24"/>
        </w:rPr>
        <w:t>A</w:t>
      </w:r>
      <w:r w:rsidR="00974B70">
        <w:rPr>
          <w:rFonts w:cs="Arial"/>
          <w:b/>
          <w:bCs/>
          <w:color w:val="000000"/>
          <w:sz w:val="24"/>
          <w:szCs w:val="24"/>
        </w:rPr>
        <w:t xml:space="preserve">mbient IoT </w:t>
      </w:r>
      <w:r w:rsidR="00292D41">
        <w:rPr>
          <w:rFonts w:cs="Arial"/>
          <w:b/>
          <w:bCs/>
          <w:color w:val="000000"/>
          <w:sz w:val="24"/>
          <w:szCs w:val="24"/>
        </w:rPr>
        <w:t>study</w:t>
      </w:r>
      <w:r w:rsidR="00974B70">
        <w:rPr>
          <w:rFonts w:cs="Arial"/>
          <w:b/>
          <w:bCs/>
          <w:color w:val="000000"/>
          <w:sz w:val="24"/>
          <w:szCs w:val="24"/>
        </w:rPr>
        <w:t xml:space="preserve"> in 3GPP Rel-19</w:t>
      </w:r>
    </w:p>
    <w:p w14:paraId="798882EA" w14:textId="6EA44920"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974B70">
        <w:rPr>
          <w:rFonts w:cs="Arial"/>
          <w:b/>
          <w:bCs/>
          <w:sz w:val="24"/>
          <w:szCs w:val="24"/>
        </w:rPr>
        <w:t>Discussion and Agreement</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4611F6A7" w:rsidR="00CD7395" w:rsidRPr="00117327" w:rsidRDefault="00A5753F" w:rsidP="00117327">
      <w:r>
        <w:t xml:space="preserve">This document continues discussions on system functions for </w:t>
      </w:r>
      <w:proofErr w:type="spellStart"/>
      <w:r>
        <w:t>AIoT</w:t>
      </w:r>
      <w:proofErr w:type="spellEnd"/>
      <w:r>
        <w:t xml:space="preserve"> and puts them into relation from a timing perspective.</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54540249" w14:textId="5C626C1B" w:rsidR="00C30E86" w:rsidRDefault="00C30E86" w:rsidP="00C30E86">
      <w:pPr>
        <w:pStyle w:val="Heading2"/>
      </w:pPr>
      <w:r>
        <w:t>2.1</w:t>
      </w:r>
      <w:r>
        <w:tab/>
        <w:t>Registration</w:t>
      </w:r>
    </w:p>
    <w:p w14:paraId="33E49AD7" w14:textId="1B31BFEF" w:rsidR="00CA133C" w:rsidRPr="00CA133C" w:rsidRDefault="00CA133C" w:rsidP="00CA133C">
      <w:r>
        <w:t>Figure 2.1-1 shows the interaction of example communication elements discussed in other papers</w:t>
      </w:r>
      <w:r w:rsidR="000B51C7">
        <w:t xml:space="preserve"> for Registration</w:t>
      </w:r>
      <w:r>
        <w:t>.</w:t>
      </w:r>
    </w:p>
    <w:p w14:paraId="3CCA86A1" w14:textId="26750E59" w:rsidR="00C30E86" w:rsidRDefault="000B51C7" w:rsidP="00CA133C">
      <w:pPr>
        <w:pStyle w:val="TH"/>
      </w:pPr>
      <w:r>
        <w:object w:dxaOrig="9973" w:dyaOrig="4585" w14:anchorId="74FA5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229.15pt" o:ole="">
            <v:imagedata r:id="rId11" o:title=""/>
          </v:shape>
          <o:OLEObject Type="Embed" ProgID="Visio.Drawing.15" ShapeID="_x0000_i1025" DrawAspect="Content" ObjectID="_1773838135" r:id="rId12"/>
        </w:object>
      </w:r>
    </w:p>
    <w:p w14:paraId="4D25D0AF" w14:textId="3F7A3B95" w:rsidR="00CA133C" w:rsidRDefault="00CA133C" w:rsidP="00CA133C">
      <w:pPr>
        <w:pStyle w:val="TF"/>
      </w:pPr>
      <w:r>
        <w:t>Figure 2.1-1: Example communication elements for Registration</w:t>
      </w:r>
    </w:p>
    <w:p w14:paraId="706CC1AE" w14:textId="1959044F" w:rsidR="00CA133C" w:rsidRDefault="00CA133C" w:rsidP="00CA133C">
      <w:pPr>
        <w:pStyle w:val="B1"/>
      </w:pPr>
      <w:r>
        <w:t>1.</w:t>
      </w:r>
      <w:r>
        <w:tab/>
        <w:t>NG-RAN periodically scans its AIoT operation area for AIoT devices to register. Registration may be necessary because the AIoT device moved to another network or another area or for periodic registration. NG-RAN provides respective information (Network identification, area identification, time) and energy for the AIoT device to react on the request if necessary.</w:t>
      </w:r>
    </w:p>
    <w:p w14:paraId="364B683D" w14:textId="7DB8A70F" w:rsidR="00CA133C" w:rsidRDefault="00CA133C" w:rsidP="00CA133C">
      <w:pPr>
        <w:pStyle w:val="B1"/>
      </w:pPr>
      <w:r>
        <w:t>2.</w:t>
      </w:r>
      <w:r>
        <w:tab/>
        <w:t>The AIoT device recognises that it needs to register.</w:t>
      </w:r>
    </w:p>
    <w:p w14:paraId="54306759" w14:textId="6562A149" w:rsidR="00CA133C" w:rsidRDefault="00CA133C" w:rsidP="00CA133C">
      <w:pPr>
        <w:pStyle w:val="B1"/>
      </w:pPr>
      <w:r>
        <w:t>3.</w:t>
      </w:r>
      <w:r>
        <w:tab/>
        <w:t xml:space="preserve">The AIoT </w:t>
      </w:r>
      <w:r w:rsidR="000B51C7">
        <w:t xml:space="preserve">device </w:t>
      </w:r>
      <w:r>
        <w:t>performs random access and gets resources allocated to communicate with the network.</w:t>
      </w:r>
    </w:p>
    <w:p w14:paraId="233C2E2D" w14:textId="49CF27C2" w:rsidR="00CA133C" w:rsidRDefault="000B51C7" w:rsidP="00CA133C">
      <w:pPr>
        <w:pStyle w:val="B1"/>
      </w:pPr>
      <w:r>
        <w:t>4.</w:t>
      </w:r>
      <w:r>
        <w:tab/>
        <w:t>The AIoT device performs registration with the 5GC.</w:t>
      </w:r>
    </w:p>
    <w:p w14:paraId="3516FBE3" w14:textId="3EA98E95" w:rsidR="000B51C7" w:rsidRDefault="000B51C7" w:rsidP="00CA133C">
      <w:pPr>
        <w:pStyle w:val="B1"/>
      </w:pPr>
      <w:r>
        <w:lastRenderedPageBreak/>
        <w:t>5.</w:t>
      </w:r>
      <w:r>
        <w:tab/>
        <w:t>NG-RAN realises that no more AIoT devices request access</w:t>
      </w:r>
    </w:p>
    <w:p w14:paraId="03AEE67C" w14:textId="7CE7E38E" w:rsidR="000B51C7" w:rsidRPr="00C30E86" w:rsidRDefault="000B51C7" w:rsidP="00CA133C">
      <w:pPr>
        <w:pStyle w:val="B1"/>
      </w:pPr>
      <w:r>
        <w:t>6.</w:t>
      </w:r>
      <w:r>
        <w:tab/>
        <w:t>NG-RAN stops registration request.</w:t>
      </w:r>
    </w:p>
    <w:p w14:paraId="3239AB03" w14:textId="11CE3B2E" w:rsidR="002A3731" w:rsidRDefault="002A3731" w:rsidP="00E01172">
      <w:pPr>
        <w:pStyle w:val="Heading2"/>
      </w:pPr>
      <w:r>
        <w:t>2.</w:t>
      </w:r>
      <w:r w:rsidR="000A54F3">
        <w:t>2</w:t>
      </w:r>
      <w:r>
        <w:tab/>
      </w:r>
      <w:r w:rsidR="000A54F3">
        <w:t>Inventory</w:t>
      </w:r>
    </w:p>
    <w:p w14:paraId="3D40E87F" w14:textId="6764C0E6" w:rsidR="000B51C7" w:rsidRPr="00CA133C" w:rsidRDefault="000B51C7" w:rsidP="000B51C7">
      <w:r>
        <w:t>Figure 2.2-1 shows the interaction of example communication elements discussed in other papers for Inventory.</w:t>
      </w:r>
    </w:p>
    <w:p w14:paraId="1EB00669" w14:textId="2267BE21" w:rsidR="000A54F3" w:rsidRDefault="000B51C7" w:rsidP="00CA133C">
      <w:pPr>
        <w:pStyle w:val="TH"/>
      </w:pPr>
      <w:r>
        <w:object w:dxaOrig="9973" w:dyaOrig="4489" w14:anchorId="64C44B2E">
          <v:shape id="_x0000_i1026" type="#_x0000_t75" style="width:498.35pt;height:224.15pt" o:ole="">
            <v:imagedata r:id="rId13" o:title=""/>
          </v:shape>
          <o:OLEObject Type="Embed" ProgID="Visio.Drawing.15" ShapeID="_x0000_i1026" DrawAspect="Content" ObjectID="_1773838136" r:id="rId14"/>
        </w:object>
      </w:r>
    </w:p>
    <w:p w14:paraId="678A6F42" w14:textId="063BC149" w:rsidR="00CA133C" w:rsidRDefault="00CA133C" w:rsidP="00CA133C">
      <w:pPr>
        <w:pStyle w:val="TF"/>
      </w:pPr>
      <w:r>
        <w:t>Figure 2.2-1: Example communication elements for Inventory</w:t>
      </w:r>
    </w:p>
    <w:p w14:paraId="538DDB52" w14:textId="77777777" w:rsidR="000B51C7" w:rsidRDefault="000B51C7" w:rsidP="000B51C7">
      <w:pPr>
        <w:pStyle w:val="B1"/>
      </w:pPr>
      <w:r>
        <w:t>1.</w:t>
      </w:r>
      <w:r>
        <w:tab/>
        <w:t>5GC executes the AIoT Inventory Control procedure, containing information about AIoT devices IDs, area IDs, inventory characteristics (on-demand, periodic) and others.</w:t>
      </w:r>
    </w:p>
    <w:p w14:paraId="1EE8547D" w14:textId="77777777" w:rsidR="000B51C7" w:rsidRDefault="000B51C7" w:rsidP="000B51C7">
      <w:pPr>
        <w:pStyle w:val="B1"/>
      </w:pPr>
      <w:r>
        <w:t>2.</w:t>
      </w:r>
      <w:r>
        <w:tab/>
        <w:t xml:space="preserve">NG-RAN starts Inventory command. NG-RAN provides respective network information (Network identification, area identification, time) and AIoT device identification information to trigger all or a subset of devices within the indicated </w:t>
      </w:r>
      <w:proofErr w:type="gramStart"/>
      <w:r>
        <w:t>area</w:t>
      </w:r>
      <w:proofErr w:type="gramEnd"/>
    </w:p>
    <w:p w14:paraId="51AB9BAC" w14:textId="2D4BE226" w:rsidR="000B51C7" w:rsidRDefault="000B51C7" w:rsidP="000B51C7">
      <w:pPr>
        <w:pStyle w:val="B1"/>
      </w:pPr>
      <w:r>
        <w:t>3.</w:t>
      </w:r>
      <w:r>
        <w:tab/>
        <w:t xml:space="preserve">The AIoT device recognises that it </w:t>
      </w:r>
      <w:proofErr w:type="gramStart"/>
      <w:r>
        <w:t>has to</w:t>
      </w:r>
      <w:proofErr w:type="gramEnd"/>
      <w:r>
        <w:t xml:space="preserve"> react to the Inventory command.</w:t>
      </w:r>
    </w:p>
    <w:p w14:paraId="62B981BA" w14:textId="31C04E16" w:rsidR="000B51C7" w:rsidRDefault="000B51C7" w:rsidP="000B51C7">
      <w:pPr>
        <w:pStyle w:val="B1"/>
      </w:pPr>
      <w:r>
        <w:t>4.</w:t>
      </w:r>
      <w:r>
        <w:tab/>
        <w:t>The AIoT device performs random access and gets resources allocated to communicate with the network.</w:t>
      </w:r>
    </w:p>
    <w:p w14:paraId="0F975D83" w14:textId="6F0C083B" w:rsidR="000B51C7" w:rsidRDefault="000B51C7" w:rsidP="000B51C7">
      <w:pPr>
        <w:pStyle w:val="B1"/>
      </w:pPr>
      <w:r>
        <w:t>5.</w:t>
      </w:r>
      <w:r>
        <w:tab/>
        <w:t>The AIoT device replies to Inventory command.</w:t>
      </w:r>
    </w:p>
    <w:p w14:paraId="3989AB46" w14:textId="62EEE22F" w:rsidR="000B51C7" w:rsidRDefault="000B51C7" w:rsidP="000B51C7">
      <w:pPr>
        <w:pStyle w:val="B1"/>
      </w:pPr>
      <w:r>
        <w:t>6.</w:t>
      </w:r>
      <w:r>
        <w:tab/>
        <w:t>NG-RAN reports to 5GC the result of the Inventory procedure. Figure 2.2-1 depicts a single reply from NG-RAN, possibly containing multiple device IDs, and an indication that indicates the end of the Inventory transaction.</w:t>
      </w:r>
    </w:p>
    <w:p w14:paraId="6FF2D588" w14:textId="60F44277" w:rsidR="000B51C7" w:rsidRDefault="000B51C7" w:rsidP="000B51C7">
      <w:pPr>
        <w:pStyle w:val="B1"/>
      </w:pPr>
      <w:r>
        <w:t>7.</w:t>
      </w:r>
      <w:r>
        <w:tab/>
        <w:t>If all UEs have answered, or if no</w:t>
      </w:r>
      <w:r w:rsidR="00DD1794">
        <w:t xml:space="preserve"> more AIoT devices request access, NG-RAN stops the Inventory.</w:t>
      </w:r>
    </w:p>
    <w:p w14:paraId="24BEE0FA" w14:textId="3F70B5F0" w:rsidR="00CA133C" w:rsidRPr="000A54F3" w:rsidRDefault="005B045C" w:rsidP="005B045C">
      <w:pPr>
        <w:pStyle w:val="NO"/>
      </w:pPr>
      <w:r>
        <w:t>NOTE:</w:t>
      </w:r>
      <w:r>
        <w:tab/>
        <w:t xml:space="preserve">Registration may take place </w:t>
      </w:r>
      <w:proofErr w:type="gramStart"/>
      <w:r>
        <w:t>in the course of</w:t>
      </w:r>
      <w:proofErr w:type="gramEnd"/>
      <w:r>
        <w:t xml:space="preserve"> Inventory (before step 3) if the AIoT device hasn’t registered yet.</w:t>
      </w:r>
    </w:p>
    <w:p w14:paraId="37B1C32B" w14:textId="1ACB816E" w:rsidR="000A54F3" w:rsidRDefault="000A54F3" w:rsidP="000A54F3">
      <w:pPr>
        <w:pStyle w:val="Heading2"/>
      </w:pPr>
      <w:r>
        <w:t>2.</w:t>
      </w:r>
      <w:r w:rsidR="005B045C">
        <w:t>3</w:t>
      </w:r>
      <w:r>
        <w:tab/>
        <w:t>Timing of Registration and Inventory</w:t>
      </w:r>
    </w:p>
    <w:p w14:paraId="59A7A47A" w14:textId="5288D69A" w:rsidR="005B045C" w:rsidRPr="00CA133C" w:rsidRDefault="005B045C" w:rsidP="005B045C">
      <w:r>
        <w:t>Figure 2.3-1 depicts the timing of Registration and Inventory.</w:t>
      </w:r>
    </w:p>
    <w:p w14:paraId="399918B8" w14:textId="7BEA12DF" w:rsidR="000A54F3" w:rsidRDefault="00CA133C" w:rsidP="005B045C">
      <w:pPr>
        <w:pStyle w:val="TH"/>
      </w:pPr>
      <w:r>
        <w:object w:dxaOrig="8533" w:dyaOrig="3157" w14:anchorId="779A7792">
          <v:shape id="_x0000_i1027" type="#_x0000_t75" style="width:426.35pt;height:157.75pt" o:ole="">
            <v:imagedata r:id="rId15" o:title=""/>
          </v:shape>
          <o:OLEObject Type="Embed" ProgID="Visio.Drawing.15" ShapeID="_x0000_i1027" DrawAspect="Content" ObjectID="_1773838137" r:id="rId16"/>
        </w:object>
      </w:r>
    </w:p>
    <w:p w14:paraId="4E80D0E8" w14:textId="07779867" w:rsidR="00CA133C" w:rsidRDefault="005B045C" w:rsidP="005B045C">
      <w:pPr>
        <w:pStyle w:val="TF"/>
      </w:pPr>
      <w:r>
        <w:t>Figure 2.3-1: Timing of Registration and Inventory</w:t>
      </w:r>
    </w:p>
    <w:p w14:paraId="6EE2E1EA" w14:textId="5A8FFB75" w:rsidR="005B045C" w:rsidRDefault="005B045C" w:rsidP="000A54F3">
      <w:r>
        <w:t>Figure 2.3-1 shows an exemplified timing with triggers for Registration (blue lines) occurring in a certain time-intervall (</w:t>
      </w:r>
      <w:proofErr w:type="gramStart"/>
      <w:r>
        <w:t>e.g.</w:t>
      </w:r>
      <w:proofErr w:type="gramEnd"/>
      <w:r>
        <w:t xml:space="preserve"> every 30 minutes) allowing to trigger </w:t>
      </w:r>
      <w:proofErr w:type="spellStart"/>
      <w:r>
        <w:t>AIoT</w:t>
      </w:r>
      <w:proofErr w:type="spellEnd"/>
      <w:r>
        <w:t xml:space="preserve"> devices which </w:t>
      </w:r>
      <w:r w:rsidR="003265EB">
        <w:t xml:space="preserve">e.g. </w:t>
      </w:r>
      <w:r>
        <w:t>have been moved to a new area to perform mobility registration.</w:t>
      </w:r>
    </w:p>
    <w:p w14:paraId="786B799B" w14:textId="00E57C1C" w:rsidR="00CA133C" w:rsidRDefault="005B045C" w:rsidP="000A54F3">
      <w:r>
        <w:t xml:space="preserve">In between the Registration triggers, </w:t>
      </w:r>
      <w:proofErr w:type="gramStart"/>
      <w:r>
        <w:t>e.g.</w:t>
      </w:r>
      <w:proofErr w:type="gramEnd"/>
      <w:r>
        <w:t xml:space="preserve"> on-demand triggers for Inventory of Command may occur.</w:t>
      </w:r>
    </w:p>
    <w:p w14:paraId="1AC5E18F" w14:textId="7804E52C" w:rsidR="003265EB" w:rsidRPr="000A54F3" w:rsidRDefault="003265EB" w:rsidP="000A54F3">
      <w:r>
        <w:t xml:space="preserve">De-coupling Registration and Inventory/Command allows </w:t>
      </w:r>
      <w:r>
        <w:t>reduc</w:t>
      </w:r>
      <w:r>
        <w:t>ing instant</w:t>
      </w:r>
      <w:r>
        <w:t xml:space="preserve"> resource usage for performing Inventory</w:t>
      </w:r>
      <w:r>
        <w:t>/Command.</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1417568F" w:rsidR="00D80F19" w:rsidRDefault="002D7E93" w:rsidP="00D80F19">
      <w:r>
        <w:t xml:space="preserve">We have tried to provide a first depiction of simplified example message flows and a </w:t>
      </w:r>
      <w:proofErr w:type="gramStart"/>
      <w:r>
        <w:t>time line</w:t>
      </w:r>
      <w:proofErr w:type="gramEnd"/>
      <w:r>
        <w:t xml:space="preserve"> for Registration and Inventory.</w:t>
      </w:r>
    </w:p>
    <w:p w14:paraId="0484D00D" w14:textId="47E092F3" w:rsidR="00974B70" w:rsidRDefault="00974B70" w:rsidP="00974B70">
      <w:pPr>
        <w:pStyle w:val="Eyecatcher"/>
      </w:pPr>
      <w:r>
        <w:t>Proposal:</w:t>
      </w:r>
      <w:r>
        <w:tab/>
      </w:r>
      <w:r w:rsidR="002D7E93">
        <w:t xml:space="preserve">Discuss the simplified message flows and </w:t>
      </w:r>
      <w:proofErr w:type="gramStart"/>
      <w:r w:rsidR="002D7E93">
        <w:t>time-line</w:t>
      </w:r>
      <w:proofErr w:type="gramEnd"/>
      <w:r w:rsidR="002D7E93">
        <w:t xml:space="preserve"> and consider them being captured in the TR.</w:t>
      </w:r>
    </w:p>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2B4A6E99" w:rsidR="00CD7395" w:rsidRDefault="00CD7395" w:rsidP="00EF403A">
      <w:pPr>
        <w:pStyle w:val="Reference"/>
      </w:pPr>
      <w:r>
        <w:rPr>
          <w:rFonts w:eastAsia="SimSun" w:hint="eastAsia"/>
          <w:bCs/>
          <w:lang w:eastAsia="zh-CN"/>
        </w:rPr>
        <w:t>[1]</w:t>
      </w:r>
      <w:r>
        <w:rPr>
          <w:rFonts w:eastAsia="SimSun" w:hint="eastAsia"/>
          <w:bCs/>
          <w:lang w:eastAsia="zh-CN"/>
        </w:rPr>
        <w:tab/>
      </w:r>
      <w:r w:rsidR="00CA7DF9">
        <w:rPr>
          <w:rFonts w:eastAsia="SimSun"/>
          <w:bCs/>
          <w:lang w:eastAsia="zh-CN"/>
        </w:rPr>
        <w:t>RP-240826</w:t>
      </w:r>
      <w:r w:rsidR="00CA7DF9">
        <w:rPr>
          <w:rFonts w:eastAsia="SimSun"/>
          <w:bCs/>
          <w:lang w:eastAsia="zh-CN"/>
        </w:rPr>
        <w:tab/>
      </w:r>
      <w:r w:rsidR="00D80F19" w:rsidRPr="00CA7DF9">
        <w:rPr>
          <w:rFonts w:eastAsia="SimSun"/>
          <w:bCs/>
          <w:lang w:eastAsia="zh-CN"/>
        </w:rPr>
        <w:t>"</w:t>
      </w:r>
      <w:r w:rsidR="00CA7DF9" w:rsidRPr="00CA7DF9">
        <w:rPr>
          <w:rFonts w:eastAsia="SimSun" w:hint="eastAsia"/>
          <w:bCs/>
          <w:lang w:eastAsia="zh-CN"/>
        </w:rPr>
        <w:t>Revised</w:t>
      </w:r>
      <w:r w:rsidR="00CA7DF9" w:rsidRPr="00CA7DF9">
        <w:rPr>
          <w:rFonts w:eastAsia="SimSun"/>
          <w:bCs/>
          <w:lang w:eastAsia="zh-CN"/>
        </w:rPr>
        <w:t xml:space="preserve"> SID: Study on solutions for Ambient IoT (Internet of Things) in NR</w:t>
      </w:r>
      <w:r w:rsidR="00D80F19" w:rsidRPr="00CA7DF9">
        <w:rPr>
          <w:rFonts w:eastAsia="SimSun"/>
          <w:bCs/>
          <w:lang w:eastAsia="zh-CN"/>
        </w:rPr>
        <w:t>"</w:t>
      </w:r>
      <w:bookmarkEnd w:id="22"/>
      <w:r w:rsidR="00CA7DF9" w:rsidRPr="00CA7DF9">
        <w:rPr>
          <w:rFonts w:eastAsia="SimSun"/>
          <w:bCs/>
          <w:lang w:eastAsia="zh-CN"/>
        </w:rPr>
        <w:t xml:space="preserve"> Latest</w:t>
      </w:r>
      <w:r w:rsidR="00CA7DF9">
        <w:t xml:space="preserve"> Work Item Description for the RAN NR AIoT Study</w:t>
      </w:r>
    </w:p>
    <w:sectPr w:rsidR="00CD7395" w:rsidSect="00E71F43">
      <w:footerReference w:type="even" r:id="rId17"/>
      <w:footerReference w:type="default" r:id="rId18"/>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C4625" w14:textId="77777777" w:rsidR="007B1150" w:rsidRDefault="007B1150">
      <w:r>
        <w:separator/>
      </w:r>
    </w:p>
  </w:endnote>
  <w:endnote w:type="continuationSeparator" w:id="0">
    <w:p w14:paraId="21DCA338" w14:textId="77777777" w:rsidR="007B1150" w:rsidRDefault="007B1150">
      <w:r>
        <w:continuationSeparator/>
      </w:r>
    </w:p>
  </w:endnote>
  <w:endnote w:type="continuationNotice" w:id="1">
    <w:p w14:paraId="6455C80B" w14:textId="77777777" w:rsidR="00CE2719" w:rsidRDefault="00CE2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9CAE" w14:textId="77777777" w:rsidR="007B1150" w:rsidRDefault="007B1150">
      <w:r>
        <w:separator/>
      </w:r>
    </w:p>
  </w:footnote>
  <w:footnote w:type="continuationSeparator" w:id="0">
    <w:p w14:paraId="3C102BD1" w14:textId="77777777" w:rsidR="007B1150" w:rsidRDefault="007B1150">
      <w:r>
        <w:continuationSeparator/>
      </w:r>
    </w:p>
  </w:footnote>
  <w:footnote w:type="continuationNotice" w:id="1">
    <w:p w14:paraId="0DEF75F7" w14:textId="77777777" w:rsidR="00CE2719" w:rsidRDefault="00CE27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A54F3"/>
    <w:rsid w:val="000B318F"/>
    <w:rsid w:val="000B51C7"/>
    <w:rsid w:val="000C2BFF"/>
    <w:rsid w:val="000D77DB"/>
    <w:rsid w:val="000F02C3"/>
    <w:rsid w:val="0010503B"/>
    <w:rsid w:val="00117327"/>
    <w:rsid w:val="00122EA7"/>
    <w:rsid w:val="00126984"/>
    <w:rsid w:val="001601A9"/>
    <w:rsid w:val="00162A98"/>
    <w:rsid w:val="001634D2"/>
    <w:rsid w:val="001A54EF"/>
    <w:rsid w:val="001D1142"/>
    <w:rsid w:val="001D3360"/>
    <w:rsid w:val="00203F86"/>
    <w:rsid w:val="002174CA"/>
    <w:rsid w:val="002177A7"/>
    <w:rsid w:val="002300C6"/>
    <w:rsid w:val="00230764"/>
    <w:rsid w:val="002336F5"/>
    <w:rsid w:val="0023645A"/>
    <w:rsid w:val="00237F7C"/>
    <w:rsid w:val="00247F22"/>
    <w:rsid w:val="00257E42"/>
    <w:rsid w:val="00292D41"/>
    <w:rsid w:val="00294C24"/>
    <w:rsid w:val="002A3731"/>
    <w:rsid w:val="002A739F"/>
    <w:rsid w:val="002B54A1"/>
    <w:rsid w:val="002D7E93"/>
    <w:rsid w:val="00305FE0"/>
    <w:rsid w:val="00312F43"/>
    <w:rsid w:val="003229C8"/>
    <w:rsid w:val="003265EB"/>
    <w:rsid w:val="003514CE"/>
    <w:rsid w:val="00362FD6"/>
    <w:rsid w:val="003658DB"/>
    <w:rsid w:val="00383916"/>
    <w:rsid w:val="003A0811"/>
    <w:rsid w:val="003A6BAA"/>
    <w:rsid w:val="003A72C5"/>
    <w:rsid w:val="003A7669"/>
    <w:rsid w:val="003B1332"/>
    <w:rsid w:val="003B5037"/>
    <w:rsid w:val="003B602E"/>
    <w:rsid w:val="003D108B"/>
    <w:rsid w:val="003D15C1"/>
    <w:rsid w:val="003F04CA"/>
    <w:rsid w:val="003F438B"/>
    <w:rsid w:val="003F49ED"/>
    <w:rsid w:val="00412C70"/>
    <w:rsid w:val="00431125"/>
    <w:rsid w:val="00436463"/>
    <w:rsid w:val="00440215"/>
    <w:rsid w:val="00440EB3"/>
    <w:rsid w:val="00456756"/>
    <w:rsid w:val="00456836"/>
    <w:rsid w:val="00464F3D"/>
    <w:rsid w:val="00474F20"/>
    <w:rsid w:val="00486CAA"/>
    <w:rsid w:val="0049743E"/>
    <w:rsid w:val="004A605A"/>
    <w:rsid w:val="004E3A07"/>
    <w:rsid w:val="004E3AF3"/>
    <w:rsid w:val="004F4425"/>
    <w:rsid w:val="00501135"/>
    <w:rsid w:val="00506D99"/>
    <w:rsid w:val="00507D9D"/>
    <w:rsid w:val="00523AA3"/>
    <w:rsid w:val="00536615"/>
    <w:rsid w:val="00543DB8"/>
    <w:rsid w:val="005475C5"/>
    <w:rsid w:val="005718AB"/>
    <w:rsid w:val="005747E1"/>
    <w:rsid w:val="00580121"/>
    <w:rsid w:val="005855D2"/>
    <w:rsid w:val="00594B91"/>
    <w:rsid w:val="005A1D2C"/>
    <w:rsid w:val="005B045C"/>
    <w:rsid w:val="005B14C0"/>
    <w:rsid w:val="005C1208"/>
    <w:rsid w:val="005D0EC8"/>
    <w:rsid w:val="005E193E"/>
    <w:rsid w:val="005E51D2"/>
    <w:rsid w:val="005E68AB"/>
    <w:rsid w:val="005F22CB"/>
    <w:rsid w:val="006014A7"/>
    <w:rsid w:val="00604237"/>
    <w:rsid w:val="0060423C"/>
    <w:rsid w:val="006103E2"/>
    <w:rsid w:val="00612679"/>
    <w:rsid w:val="00617344"/>
    <w:rsid w:val="00620E77"/>
    <w:rsid w:val="00621D84"/>
    <w:rsid w:val="006264D8"/>
    <w:rsid w:val="00631729"/>
    <w:rsid w:val="00631954"/>
    <w:rsid w:val="006367F1"/>
    <w:rsid w:val="0064585D"/>
    <w:rsid w:val="00665891"/>
    <w:rsid w:val="00671A7F"/>
    <w:rsid w:val="006A4516"/>
    <w:rsid w:val="006A461D"/>
    <w:rsid w:val="006A4FF6"/>
    <w:rsid w:val="006A693D"/>
    <w:rsid w:val="006C0235"/>
    <w:rsid w:val="006C7ADE"/>
    <w:rsid w:val="00707B18"/>
    <w:rsid w:val="007159BF"/>
    <w:rsid w:val="007200BD"/>
    <w:rsid w:val="00734125"/>
    <w:rsid w:val="0073451F"/>
    <w:rsid w:val="007433DE"/>
    <w:rsid w:val="007466BD"/>
    <w:rsid w:val="007554A3"/>
    <w:rsid w:val="0079087F"/>
    <w:rsid w:val="00796EFE"/>
    <w:rsid w:val="0079764C"/>
    <w:rsid w:val="007B1150"/>
    <w:rsid w:val="007B42A3"/>
    <w:rsid w:val="007D41E9"/>
    <w:rsid w:val="007F669C"/>
    <w:rsid w:val="00805AD4"/>
    <w:rsid w:val="008514ED"/>
    <w:rsid w:val="00853BBD"/>
    <w:rsid w:val="00862327"/>
    <w:rsid w:val="008644A2"/>
    <w:rsid w:val="00873094"/>
    <w:rsid w:val="008775B7"/>
    <w:rsid w:val="008925B8"/>
    <w:rsid w:val="008A4843"/>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74B70"/>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37911"/>
    <w:rsid w:val="00A5753F"/>
    <w:rsid w:val="00A57FBC"/>
    <w:rsid w:val="00A6152D"/>
    <w:rsid w:val="00A71A00"/>
    <w:rsid w:val="00A72A5B"/>
    <w:rsid w:val="00A8073C"/>
    <w:rsid w:val="00A97481"/>
    <w:rsid w:val="00AA22F9"/>
    <w:rsid w:val="00AA3AC6"/>
    <w:rsid w:val="00AB4E41"/>
    <w:rsid w:val="00AE2347"/>
    <w:rsid w:val="00AF1555"/>
    <w:rsid w:val="00AF1A71"/>
    <w:rsid w:val="00AF780A"/>
    <w:rsid w:val="00B059BF"/>
    <w:rsid w:val="00B06C16"/>
    <w:rsid w:val="00B117E3"/>
    <w:rsid w:val="00B13580"/>
    <w:rsid w:val="00B15DB4"/>
    <w:rsid w:val="00B17533"/>
    <w:rsid w:val="00B231F4"/>
    <w:rsid w:val="00B329D3"/>
    <w:rsid w:val="00B532EB"/>
    <w:rsid w:val="00B56F1A"/>
    <w:rsid w:val="00B7329F"/>
    <w:rsid w:val="00B85C0E"/>
    <w:rsid w:val="00B868C5"/>
    <w:rsid w:val="00BA0C6E"/>
    <w:rsid w:val="00BB35EA"/>
    <w:rsid w:val="00BB7AD2"/>
    <w:rsid w:val="00BD509A"/>
    <w:rsid w:val="00BD588D"/>
    <w:rsid w:val="00BE4262"/>
    <w:rsid w:val="00BF2E54"/>
    <w:rsid w:val="00BF626B"/>
    <w:rsid w:val="00C04DB5"/>
    <w:rsid w:val="00C06704"/>
    <w:rsid w:val="00C17C56"/>
    <w:rsid w:val="00C24258"/>
    <w:rsid w:val="00C270D1"/>
    <w:rsid w:val="00C30E86"/>
    <w:rsid w:val="00C344A0"/>
    <w:rsid w:val="00C53883"/>
    <w:rsid w:val="00C61AA7"/>
    <w:rsid w:val="00C70DF4"/>
    <w:rsid w:val="00C778A5"/>
    <w:rsid w:val="00CA133C"/>
    <w:rsid w:val="00CA7DF9"/>
    <w:rsid w:val="00CB5951"/>
    <w:rsid w:val="00CC1F81"/>
    <w:rsid w:val="00CD0FFD"/>
    <w:rsid w:val="00CD6923"/>
    <w:rsid w:val="00CD7395"/>
    <w:rsid w:val="00CE153C"/>
    <w:rsid w:val="00CE2719"/>
    <w:rsid w:val="00CE3F90"/>
    <w:rsid w:val="00CF0789"/>
    <w:rsid w:val="00D0317F"/>
    <w:rsid w:val="00D115B3"/>
    <w:rsid w:val="00D25476"/>
    <w:rsid w:val="00D371F0"/>
    <w:rsid w:val="00D53C0D"/>
    <w:rsid w:val="00D67DC3"/>
    <w:rsid w:val="00D727B5"/>
    <w:rsid w:val="00D7590A"/>
    <w:rsid w:val="00D75F06"/>
    <w:rsid w:val="00D80F19"/>
    <w:rsid w:val="00D8543C"/>
    <w:rsid w:val="00D91A1D"/>
    <w:rsid w:val="00D9600A"/>
    <w:rsid w:val="00D971BA"/>
    <w:rsid w:val="00DA0B34"/>
    <w:rsid w:val="00DB5364"/>
    <w:rsid w:val="00DB797B"/>
    <w:rsid w:val="00DC3007"/>
    <w:rsid w:val="00DC3BE7"/>
    <w:rsid w:val="00DC4DA8"/>
    <w:rsid w:val="00DC53D2"/>
    <w:rsid w:val="00DD1794"/>
    <w:rsid w:val="00DD35C8"/>
    <w:rsid w:val="00E01172"/>
    <w:rsid w:val="00E26242"/>
    <w:rsid w:val="00E27896"/>
    <w:rsid w:val="00E329B4"/>
    <w:rsid w:val="00E37069"/>
    <w:rsid w:val="00E40689"/>
    <w:rsid w:val="00E57587"/>
    <w:rsid w:val="00E712C8"/>
    <w:rsid w:val="00E71F43"/>
    <w:rsid w:val="00E76F07"/>
    <w:rsid w:val="00E774D6"/>
    <w:rsid w:val="00E774EB"/>
    <w:rsid w:val="00E8005C"/>
    <w:rsid w:val="00E9780A"/>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31F35"/>
    <w:rsid w:val="00F57241"/>
    <w:rsid w:val="00F60E88"/>
    <w:rsid w:val="00F6139A"/>
    <w:rsid w:val="00F6616C"/>
    <w:rsid w:val="00F812EA"/>
    <w:rsid w:val="00FA3CAD"/>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Normal"/>
    <w:link w:val="B1Char1"/>
    <w:qFormat/>
    <w:rsid w:val="0023645A"/>
    <w:pPr>
      <w:spacing w:after="180"/>
      <w:ind w:left="568" w:hanging="284"/>
    </w:pPr>
  </w:style>
  <w:style w:type="paragraph" w:customStyle="1" w:styleId="B2">
    <w:name w:val="B2"/>
    <w:basedOn w:val="Normal"/>
    <w:rsid w:val="0023645A"/>
    <w:pPr>
      <w:spacing w:after="180"/>
      <w:ind w:left="851" w:hanging="284"/>
    </w:pPr>
  </w:style>
  <w:style w:type="paragraph" w:customStyle="1" w:styleId="B3">
    <w:name w:val="B3"/>
    <w:basedOn w:val="Normal"/>
    <w:rsid w:val="0023645A"/>
    <w:pPr>
      <w:spacing w:after="180"/>
      <w:ind w:left="1135" w:hanging="284"/>
    </w:pPr>
  </w:style>
  <w:style w:type="paragraph" w:customStyle="1" w:styleId="B5">
    <w:name w:val="B5"/>
    <w:basedOn w:val="Normal"/>
    <w:rsid w:val="0023645A"/>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EditorsNote">
    <w:name w:val="Editor's Note"/>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8DD91347-5312-4D9C-B83F-DFFB07C2645E}">
  <ds:schemaRefs>
    <ds:schemaRef ds:uri="http://schemas.openxmlformats.org/package/2006/metadata/core-properties"/>
    <ds:schemaRef ds:uri="http://schemas.microsoft.com/office/2006/documentManagement/types"/>
    <ds:schemaRef ds:uri="http://purl.org/dc/elements/1.1/"/>
    <ds:schemaRef ds:uri="9b239327-9e80-40e4-b1b7-4394fed77a33"/>
    <ds:schemaRef ds:uri="http://purl.org/dc/dcmitype/"/>
    <ds:schemaRef ds:uri="http://schemas.microsoft.com/office/2006/metadata/properties"/>
    <ds:schemaRef ds:uri="http://purl.org/dc/terms/"/>
    <ds:schemaRef ds:uri="2f282d3b-eb4a-4b09-b61f-b9593442e286"/>
    <ds:schemaRef ds:uri="http://www.w3.org/XML/1998/namespace"/>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4090A2C4-E5BA-4313-8F31-D08ED5B10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8FB4D1-ED97-4D7B-85D6-79426BA4A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3108</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123bis</vt:lpstr>
      <vt:lpstr>3GPP TSG-RAN WG3 Meeting #60</vt:lpstr>
    </vt:vector>
  </TitlesOfParts>
  <Company>Siemens AG</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123bis</dc:title>
  <dc:subject/>
  <dc:creator>Ericsson</dc:creator>
  <cp:keywords/>
  <cp:lastModifiedBy>Ericsson User</cp:lastModifiedBy>
  <cp:revision>2</cp:revision>
  <dcterms:created xsi:type="dcterms:W3CDTF">2024-04-05T13:45:00Z</dcterms:created>
  <dcterms:modified xsi:type="dcterms:W3CDTF">2024-04-05T13:45:00Z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