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맑은 고딕"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9B62B7"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9B62B7"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4079CC84" w:rsidR="009202AA" w:rsidRPr="001C7633"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14455FED" w14:textId="77777777" w:rsidR="001C7633" w:rsidRDefault="001C7633" w:rsidP="001C7633">
      <w:pPr>
        <w:pStyle w:val="Header"/>
        <w:spacing w:before="240"/>
        <w:rPr>
          <w:rFonts w:cs="Arial"/>
          <w:sz w:val="20"/>
          <w:szCs w:val="20"/>
        </w:rPr>
      </w:pPr>
      <w:r w:rsidRPr="00BE6F55">
        <w:rPr>
          <w:rFonts w:cs="Arial"/>
          <w:sz w:val="20"/>
          <w:szCs w:val="20"/>
        </w:rPr>
        <w:t>Proposal 1: F1AP rapporteur to take care of the correction proposed in R3-223499.</w:t>
      </w:r>
    </w:p>
    <w:p w14:paraId="447DCE48" w14:textId="77777777" w:rsidR="001C7633" w:rsidRPr="001D662A" w:rsidRDefault="001C7633" w:rsidP="001C7633">
      <w:pPr>
        <w:rPr>
          <w:rFonts w:ascii="Arial" w:hAnsi="Arial" w:cs="Arial"/>
          <w:b/>
          <w:bCs/>
          <w:sz w:val="20"/>
          <w:szCs w:val="20"/>
        </w:rPr>
      </w:pPr>
      <w:r>
        <w:rPr>
          <w:rFonts w:ascii="Arial" w:hAnsi="Arial" w:cs="Arial"/>
          <w:b/>
          <w:bCs/>
          <w:sz w:val="20"/>
          <w:szCs w:val="20"/>
        </w:rPr>
        <w:t>Proposal 2-1: Capture the following three points as agreement:</w:t>
      </w:r>
    </w:p>
    <w:p w14:paraId="295F6910" w14:textId="77777777" w:rsidR="001C7633" w:rsidRPr="00454A5D" w:rsidRDefault="001C7633" w:rsidP="001C7633">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C4E5A89" w14:textId="77777777" w:rsidR="001C7633" w:rsidRPr="00454A5D" w:rsidRDefault="001C7633" w:rsidP="001C7633">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is for UL positioning during INACTIVE, which is triggered by LMF (</w:t>
      </w:r>
      <w:proofErr w:type="gramStart"/>
      <w:r w:rsidRPr="00454A5D">
        <w:rPr>
          <w:rFonts w:ascii="Arial" w:hAnsi="Arial" w:cs="Arial"/>
          <w:b/>
          <w:bCs/>
          <w:color w:val="00B050"/>
          <w:sz w:val="20"/>
          <w:szCs w:val="20"/>
        </w:rPr>
        <w:t>i.e.</w:t>
      </w:r>
      <w:proofErr w:type="gramEnd"/>
      <w:r w:rsidRPr="00454A5D">
        <w:rPr>
          <w:rFonts w:ascii="Arial" w:hAnsi="Arial" w:cs="Arial"/>
          <w:b/>
          <w:bCs/>
          <w:color w:val="00B050"/>
          <w:sz w:val="20"/>
          <w:szCs w:val="20"/>
        </w:rPr>
        <w:t xml:space="preserve"> Positioning Information Exchange procedure over NRPPa). </w:t>
      </w:r>
    </w:p>
    <w:p w14:paraId="74F41DCC" w14:textId="77777777" w:rsidR="001C7633" w:rsidRPr="00454A5D" w:rsidRDefault="001C7633" w:rsidP="001C7633">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proofErr w:type="spellStart"/>
      <w:r w:rsidRPr="00454A5D">
        <w:rPr>
          <w:rFonts w:ascii="Arial" w:hAnsi="Arial" w:cs="Arial"/>
          <w:b/>
          <w:bCs/>
          <w:i/>
          <w:iCs/>
          <w:color w:val="00B050"/>
          <w:sz w:val="20"/>
          <w:szCs w:val="20"/>
        </w:rPr>
        <w:t>RRCRelease</w:t>
      </w:r>
      <w:proofErr w:type="spellEnd"/>
      <w:r w:rsidRPr="00454A5D">
        <w:rPr>
          <w:rFonts w:ascii="Arial" w:hAnsi="Arial" w:cs="Arial"/>
          <w:b/>
          <w:bCs/>
          <w:color w:val="00B050"/>
          <w:sz w:val="20"/>
          <w:szCs w:val="20"/>
        </w:rPr>
        <w:t xml:space="preserve">), the F1AP Positioning Information Exchange procedure is necessary, so that DU </w:t>
      </w:r>
      <w:r w:rsidRPr="00454A5D">
        <w:rPr>
          <w:rFonts w:ascii="Arial" w:hAnsi="Arial" w:cs="Arial"/>
          <w:b/>
          <w:bCs/>
          <w:color w:val="00B050"/>
          <w:sz w:val="20"/>
          <w:szCs w:val="20"/>
        </w:rPr>
        <w:lastRenderedPageBreak/>
        <w:t xml:space="preserve">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542807C1" w14:textId="77777777" w:rsidR="001C7633" w:rsidRDefault="001C7633" w:rsidP="001C7633">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1EBE5FA4" w14:textId="77777777" w:rsidR="001C7633" w:rsidRDefault="001C7633" w:rsidP="001C7633">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867D8F8" w14:textId="77777777" w:rsidR="001C7633" w:rsidRPr="001D662A" w:rsidRDefault="001C7633" w:rsidP="001C7633">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2FB5306" w14:textId="77777777" w:rsidR="001C7633" w:rsidRPr="00963D68" w:rsidRDefault="001C7633" w:rsidP="001C7633">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4EACD81B" w14:textId="77777777" w:rsidR="001C7633" w:rsidRPr="001D662A" w:rsidRDefault="001C7633" w:rsidP="001C7633">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57EB7639" w14:textId="77777777" w:rsidR="001C7633" w:rsidRPr="00963D68" w:rsidRDefault="001C7633" w:rsidP="001C7633">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7F23508E" w14:textId="77777777" w:rsidR="001C7633" w:rsidRDefault="001C7633" w:rsidP="001C7633">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8D64E5A" w14:textId="77777777" w:rsidR="001C7633" w:rsidRPr="001D662A" w:rsidRDefault="001C7633" w:rsidP="001C7633">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088826D" w14:textId="77777777" w:rsidR="001C7633" w:rsidRDefault="001C7633" w:rsidP="001C7633">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30005E20" w14:textId="77777777" w:rsidR="001C7633" w:rsidRPr="001D662A" w:rsidRDefault="001C7633" w:rsidP="001C7633">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1927B2E4" w14:textId="77777777" w:rsidR="001C7633" w:rsidRPr="001D662A" w:rsidRDefault="001C7633" w:rsidP="001C7633">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23069053" w14:textId="77777777" w:rsidR="001C7633" w:rsidRDefault="001C7633" w:rsidP="001C7633">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w:t>
      </w:r>
      <w:proofErr w:type="gramStart"/>
      <w:r>
        <w:rPr>
          <w:rFonts w:ascii="Arial" w:hAnsi="Arial" w:cs="Arial"/>
          <w:b/>
          <w:bCs/>
          <w:sz w:val="20"/>
          <w:szCs w:val="20"/>
        </w:rPr>
        <w:t>reply</w:t>
      </w:r>
      <w:proofErr w:type="gramEnd"/>
      <w:r>
        <w:rPr>
          <w:rFonts w:ascii="Arial" w:hAnsi="Arial" w:cs="Arial"/>
          <w:b/>
          <w:bCs/>
          <w:sz w:val="20"/>
          <w:szCs w:val="20"/>
        </w:rPr>
        <w:t xml:space="preserve"> LS text details. CATT to lead on. </w:t>
      </w:r>
    </w:p>
    <w:p w14:paraId="4DDB7C2B" w14:textId="77777777" w:rsidR="001C7633" w:rsidRDefault="001C7633" w:rsidP="001C7633">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7026989F" w14:textId="77777777" w:rsidR="00991DD0" w:rsidRPr="0022676A" w:rsidRDefault="00991DD0">
      <w:pPr>
        <w:rPr>
          <w:rFonts w:ascii="Arial" w:hAnsi="Arial" w:cs="Arial"/>
          <w:sz w:val="20"/>
          <w:szCs w:val="20"/>
        </w:rPr>
      </w:pPr>
    </w:p>
    <w:p w14:paraId="6FDD4131" w14:textId="6743832C" w:rsidR="000C1218" w:rsidRDefault="000B4D50">
      <w:pPr>
        <w:pStyle w:val="Heading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9B62B7"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C61B9F">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C61B9F">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C61B9F">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hint="eastAsia"/>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6075F2D6"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Header"/>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Header"/>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9B62B7"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9B62B7"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9B62B7"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w:t>
            </w:r>
            <w:proofErr w:type="spellStart"/>
            <w:r w:rsidRPr="00572588">
              <w:rPr>
                <w:rFonts w:ascii="Calibri" w:eastAsia="DengXian" w:hAnsi="Calibri" w:cs="Calibri"/>
                <w:sz w:val="18"/>
                <w:szCs w:val="24"/>
              </w:rPr>
              <w:t>ie</w:t>
            </w:r>
            <w:proofErr w:type="spellEnd"/>
            <w:r w:rsidRPr="00572588">
              <w:rPr>
                <w:rFonts w:ascii="Calibri" w:eastAsia="DengXian" w:hAnsi="Calibri" w:cs="Calibri"/>
                <w:sz w:val="18"/>
                <w:szCs w:val="24"/>
              </w:rPr>
              <w:t>, using positioning information exchange procedure. So that gNB-CU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C61B9F">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gNB configures SRS using SRS-PosRRC-</w:t>
            </w:r>
            <w:r w:rsidRPr="008C5CEF">
              <w:rPr>
                <w:rFonts w:ascii="Arial" w:eastAsia="Arial Unicode MS" w:hAnsi="Arial" w:cs="Arial"/>
                <w:sz w:val="20"/>
                <w:szCs w:val="20"/>
              </w:rPr>
              <w:lastRenderedPageBreak/>
              <w:t xml:space="preserve">InactiveConfig-r17 </w:t>
            </w:r>
            <w:r>
              <w:rPr>
                <w:rFonts w:ascii="Arial" w:eastAsia="Arial Unicode MS" w:hAnsi="Arial" w:cs="Arial"/>
                <w:sz w:val="20"/>
                <w:szCs w:val="20"/>
              </w:rPr>
              <w:t xml:space="preserve">in </w:t>
            </w:r>
            <w:proofErr w:type="spellStart"/>
            <w:r w:rsidRPr="008C5CEF">
              <w:rPr>
                <w:rFonts w:ascii="Arial" w:eastAsia="Arial Unicode MS" w:hAnsi="Arial" w:cs="Arial"/>
                <w:sz w:val="20"/>
                <w:szCs w:val="20"/>
              </w:rPr>
              <w:t>RRCRelease</w:t>
            </w:r>
            <w:proofErr w:type="spellEnd"/>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C61B9F">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C61B9F">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4CCCED2C"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ListParagraph"/>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20794E">
      <w:pPr>
        <w:pStyle w:val="ListParagraph"/>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is for UL positioning during INACTIVE, which is triggered by LMF (</w:t>
      </w:r>
      <w:proofErr w:type="gramStart"/>
      <w:r w:rsidRPr="001D662A">
        <w:rPr>
          <w:rFonts w:ascii="Arial" w:hAnsi="Arial" w:cs="Arial"/>
          <w:sz w:val="20"/>
          <w:szCs w:val="20"/>
        </w:rPr>
        <w:t>i.e.</w:t>
      </w:r>
      <w:proofErr w:type="gramEnd"/>
      <w:r w:rsidRPr="001D662A">
        <w:rPr>
          <w:rFonts w:ascii="Arial" w:hAnsi="Arial" w:cs="Arial"/>
          <w:sz w:val="20"/>
          <w:szCs w:val="20"/>
        </w:rPr>
        <w:t xml:space="preserve"> Positioning Information Exchange procedure over NRPPa).</w:t>
      </w:r>
      <w:r w:rsidRPr="001D662A">
        <w:rPr>
          <w:rFonts w:ascii="Arial" w:hAnsi="Arial" w:cs="Arial"/>
          <w:sz w:val="20"/>
          <w:szCs w:val="20"/>
        </w:rPr>
        <w:t xml:space="preserve"> </w:t>
      </w:r>
    </w:p>
    <w:p w14:paraId="64E44AF5" w14:textId="0F5F94C5" w:rsidR="001D662A" w:rsidRPr="001D662A" w:rsidRDefault="001D662A" w:rsidP="0020794E">
      <w:pPr>
        <w:pStyle w:val="ListParagraph"/>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proofErr w:type="spellStart"/>
      <w:r w:rsidRPr="001D662A">
        <w:rPr>
          <w:rFonts w:ascii="Arial" w:hAnsi="Arial" w:cs="Arial"/>
          <w:i/>
          <w:iCs/>
          <w:sz w:val="20"/>
          <w:szCs w:val="20"/>
        </w:rPr>
        <w:t>RRCRelease</w:t>
      </w:r>
      <w:proofErr w:type="spellEnd"/>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Requested SRS Transmission Characteristics</w:t>
      </w:r>
      <w:r w:rsidRPr="001D662A">
        <w:rPr>
          <w:rFonts w:ascii="Arial" w:hAnsi="Arial" w:cs="Arial"/>
          <w:i/>
          <w:iCs/>
          <w:sz w:val="20"/>
          <w:szCs w:val="20"/>
        </w:rPr>
        <w:t xml:space="preserve">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6"/>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w:t>
      </w:r>
      <w:r>
        <w:rPr>
          <w:rFonts w:ascii="Arial" w:hAnsi="Arial" w:cs="Arial"/>
          <w:sz w:val="20"/>
          <w:szCs w:val="20"/>
        </w:rPr>
        <w:t>enhan</w:t>
      </w:r>
      <w:r>
        <w:rPr>
          <w:rFonts w:ascii="Arial" w:hAnsi="Arial" w:cs="Arial"/>
          <w:sz w:val="20"/>
          <w:szCs w:val="20"/>
        </w:rPr>
        <w:t>cement on</w:t>
      </w:r>
      <w:r>
        <w:rPr>
          <w:rFonts w:ascii="Arial" w:hAnsi="Arial" w:cs="Arial"/>
          <w:sz w:val="20"/>
          <w:szCs w:val="20"/>
        </w:rPr>
        <w:t xml:space="preserve"> the Positioning Information Exchange procedure</w:t>
      </w:r>
      <w:r>
        <w:rPr>
          <w:rFonts w:ascii="Arial" w:hAnsi="Arial" w:cs="Arial"/>
          <w:sz w:val="20"/>
          <w:szCs w:val="20"/>
        </w:rPr>
        <w:t xml:space="preserve"> is not enough. </w:t>
      </w:r>
    </w:p>
    <w:p w14:paraId="157F55B7" w14:textId="0D558CBB" w:rsidR="001D662A" w:rsidRDefault="001D662A" w:rsidP="001D662A">
      <w:pPr>
        <w:rPr>
          <w:rFonts w:ascii="Arial" w:hAnsi="Arial" w:cs="Arial"/>
          <w:b/>
          <w:bCs/>
          <w:sz w:val="20"/>
          <w:szCs w:val="20"/>
        </w:rPr>
      </w:pPr>
      <w:bookmarkStart w:id="27"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7"/>
    <w:p w14:paraId="2C1C3D86" w14:textId="512EFCC3" w:rsidR="001D662A" w:rsidRDefault="001D662A" w:rsidP="001D662A">
      <w:pPr>
        <w:rPr>
          <w:rFonts w:ascii="Arial" w:hAnsi="Arial" w:cs="Arial"/>
          <w:sz w:val="20"/>
          <w:szCs w:val="20"/>
        </w:rPr>
      </w:pPr>
      <w:r>
        <w:rPr>
          <w:rFonts w:ascii="Arial" w:hAnsi="Arial" w:cs="Arial"/>
          <w:sz w:val="20"/>
          <w:szCs w:val="20"/>
        </w:rPr>
        <w:t xml:space="preserve">Based on </w:t>
      </w:r>
      <w:r>
        <w:rPr>
          <w:rFonts w:ascii="Arial" w:hAnsi="Arial" w:cs="Arial"/>
          <w:sz w:val="20"/>
          <w:szCs w:val="20"/>
        </w:rPr>
        <w:t>the F1AP Positioning Information Exchange procedure</w:t>
      </w:r>
      <w:r>
        <w:rPr>
          <w:rFonts w:ascii="Arial" w:hAnsi="Arial" w:cs="Arial"/>
          <w:sz w:val="20"/>
          <w:szCs w:val="20"/>
        </w:rPr>
        <w:t>, the moderator thinks there are two options:</w:t>
      </w:r>
    </w:p>
    <w:p w14:paraId="0EF87A45" w14:textId="191A9617"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w:t>
      </w:r>
      <w:r>
        <w:rPr>
          <w:rFonts w:ascii="Arial" w:hAnsi="Arial" w:cs="Arial"/>
          <w:sz w:val="20"/>
          <w:szCs w:val="20"/>
        </w:rPr>
        <w:t xml:space="preserve"> (dedicated query indicator)</w:t>
      </w:r>
    </w:p>
    <w:p w14:paraId="385113A6" w14:textId="6A41DC14" w:rsid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lastRenderedPageBreak/>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9B62B7"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9B62B7"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9B62B7"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Xn for SDT transmission. </w:t>
      </w:r>
    </w:p>
    <w:p w14:paraId="7C3FDCE8" w14:textId="77777777" w:rsidR="00E93405" w:rsidRDefault="00E93405" w:rsidP="00E93405">
      <w:pPr>
        <w:spacing w:after="180"/>
        <w:rPr>
          <w:rFonts w:ascii="Arial" w:eastAsia="맑은 고딕" w:hAnsi="Arial" w:cs="Arial"/>
          <w:sz w:val="20"/>
          <w:szCs w:val="20"/>
        </w:rPr>
      </w:pPr>
    </w:p>
    <w:p w14:paraId="69D90690" w14:textId="3FE2D631" w:rsidR="00E93405" w:rsidRPr="00E93405" w:rsidRDefault="00E93405" w:rsidP="00E93405">
      <w:pPr>
        <w:spacing w:after="180"/>
        <w:rPr>
          <w:rFonts w:ascii="Arial" w:eastAsia="맑은 고딕" w:hAnsi="Arial" w:cs="Arial"/>
          <w:sz w:val="20"/>
          <w:szCs w:val="20"/>
        </w:rPr>
      </w:pPr>
      <w:bookmarkStart w:id="28" w:name="_Hlk103262325"/>
      <w:r w:rsidRPr="00E93405">
        <w:rPr>
          <w:rFonts w:ascii="Arial" w:eastAsia="맑은 고딕"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맑은 고딕"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6.7.x/6.7.y/6.7.z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lastRenderedPageBreak/>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proofErr w:type="spellStart"/>
      <w:r w:rsidRPr="00E93405">
        <w:rPr>
          <w:rFonts w:ascii="Arial" w:eastAsia="DengXian" w:hAnsi="Arial" w:cs="Arial"/>
          <w:iCs/>
          <w:sz w:val="20"/>
          <w:szCs w:val="20"/>
        </w:rPr>
        <w:t>behaviours</w:t>
      </w:r>
      <w:proofErr w:type="spellEnd"/>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We kindly request SA2 to take above into consideration, and do corresponding specification changes if needed.</w:t>
      </w:r>
    </w:p>
    <w:bookmarkEnd w:id="28"/>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sidRPr="00E93405">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C61B9F">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lastRenderedPageBreak/>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C61B9F">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00CE4120"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Header"/>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Header"/>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Header"/>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w:t>
      </w:r>
      <w:proofErr w:type="gramStart"/>
      <w:r>
        <w:rPr>
          <w:rFonts w:ascii="Arial" w:hAnsi="Arial" w:cs="Arial"/>
          <w:b/>
          <w:bCs/>
          <w:sz w:val="20"/>
          <w:szCs w:val="20"/>
        </w:rPr>
        <w:t>reply</w:t>
      </w:r>
      <w:proofErr w:type="gramEnd"/>
      <w:r>
        <w:rPr>
          <w:rFonts w:ascii="Arial" w:hAnsi="Arial" w:cs="Arial"/>
          <w:b/>
          <w:bCs/>
          <w:sz w:val="20"/>
          <w:szCs w:val="20"/>
        </w:rPr>
        <w:t xml:space="preserve"> LS text details. CATT to lead on. </w:t>
      </w:r>
    </w:p>
    <w:p w14:paraId="41F3A76D" w14:textId="1D1337E3"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9B62B7"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603DE095" w:rsidR="005F13AD" w:rsidRDefault="00BD0EC1" w:rsidP="005F13AD">
      <w:pPr>
        <w:pStyle w:val="Heading3"/>
        <w:numPr>
          <w:ilvl w:val="0"/>
          <w:numId w:val="0"/>
        </w:numPr>
        <w:ind w:left="720" w:hanging="720"/>
        <w:rPr>
          <w:b/>
          <w:bCs/>
          <w:color w:val="FF0000"/>
          <w:sz w:val="20"/>
        </w:rPr>
      </w:pPr>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DengXian"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Header"/>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6E36DC31" w14:textId="0F9E0314" w:rsidR="009C70A9" w:rsidRDefault="00454A5D" w:rsidP="00DD0267">
      <w:pPr>
        <w:pStyle w:val="Header"/>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 xml:space="preserve">Proposal 2-1: Capture the </w:t>
      </w:r>
      <w:r>
        <w:rPr>
          <w:rFonts w:ascii="Arial" w:hAnsi="Arial" w:cs="Arial"/>
          <w:b/>
          <w:bCs/>
          <w:sz w:val="20"/>
          <w:szCs w:val="20"/>
        </w:rPr>
        <w:t xml:space="preserve">following </w:t>
      </w:r>
      <w:r>
        <w:rPr>
          <w:rFonts w:ascii="Arial" w:hAnsi="Arial" w:cs="Arial"/>
          <w:b/>
          <w:bCs/>
          <w:sz w:val="20"/>
          <w:szCs w:val="20"/>
        </w:rPr>
        <w:t>three points as agreement</w:t>
      </w:r>
      <w:r>
        <w:rPr>
          <w:rFonts w:ascii="Arial" w:hAnsi="Arial" w:cs="Arial"/>
          <w:b/>
          <w:bCs/>
          <w:sz w:val="20"/>
          <w:szCs w:val="20"/>
        </w:rPr>
        <w:t>:</w:t>
      </w:r>
    </w:p>
    <w:p w14:paraId="3664B12C"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is for UL positioning during INACTIVE, which is triggered by LMF (</w:t>
      </w:r>
      <w:proofErr w:type="gramStart"/>
      <w:r w:rsidRPr="00454A5D">
        <w:rPr>
          <w:rFonts w:ascii="Arial" w:hAnsi="Arial" w:cs="Arial"/>
          <w:b/>
          <w:bCs/>
          <w:color w:val="00B050"/>
          <w:sz w:val="20"/>
          <w:szCs w:val="20"/>
        </w:rPr>
        <w:t>i.e.</w:t>
      </w:r>
      <w:proofErr w:type="gramEnd"/>
      <w:r w:rsidRPr="00454A5D">
        <w:rPr>
          <w:rFonts w:ascii="Arial" w:hAnsi="Arial" w:cs="Arial"/>
          <w:b/>
          <w:bCs/>
          <w:color w:val="00B050"/>
          <w:sz w:val="20"/>
          <w:szCs w:val="20"/>
        </w:rPr>
        <w:t xml:space="preserve"> Positioning Information Exchange procedure over NRPPa). </w:t>
      </w:r>
    </w:p>
    <w:p w14:paraId="6FB5AB33"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proofErr w:type="spellStart"/>
      <w:r w:rsidRPr="00454A5D">
        <w:rPr>
          <w:rFonts w:ascii="Arial" w:hAnsi="Arial" w:cs="Arial"/>
          <w:b/>
          <w:bCs/>
          <w:i/>
          <w:iCs/>
          <w:color w:val="00B050"/>
          <w:sz w:val="20"/>
          <w:szCs w:val="20"/>
        </w:rPr>
        <w:t>RRCRelease</w:t>
      </w:r>
      <w:proofErr w:type="spellEnd"/>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w:t>
      </w:r>
      <w:proofErr w:type="gramStart"/>
      <w:r>
        <w:rPr>
          <w:rFonts w:ascii="Arial" w:hAnsi="Arial" w:cs="Arial"/>
          <w:b/>
          <w:bCs/>
          <w:sz w:val="20"/>
          <w:szCs w:val="20"/>
        </w:rPr>
        <w:t>reply</w:t>
      </w:r>
      <w:proofErr w:type="gramEnd"/>
      <w:r>
        <w:rPr>
          <w:rFonts w:ascii="Arial" w:hAnsi="Arial" w:cs="Arial"/>
          <w:b/>
          <w:bCs/>
          <w:sz w:val="20"/>
          <w:szCs w:val="20"/>
        </w:rPr>
        <w:t xml:space="preserve">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Heading1"/>
      </w:pPr>
      <w:r>
        <w:lastRenderedPageBreak/>
        <w:t>Reference</w:t>
      </w:r>
    </w:p>
    <w:p w14:paraId="1E8833A1" w14:textId="32965293" w:rsidR="00963D68" w:rsidRPr="00963D68" w:rsidRDefault="00963D68" w:rsidP="00963D68">
      <w:pPr>
        <w:pStyle w:val="Header"/>
        <w:spacing w:before="240"/>
        <w:rPr>
          <w:rFonts w:cs="Arial"/>
          <w:b w:val="0"/>
          <w:bCs/>
          <w:sz w:val="20"/>
          <w:szCs w:val="20"/>
        </w:rPr>
      </w:pPr>
      <w:r w:rsidRPr="00963D68">
        <w:rPr>
          <w:rFonts w:cs="Arial"/>
          <w:b w:val="0"/>
          <w:bCs/>
          <w:sz w:val="20"/>
          <w:szCs w:val="20"/>
        </w:rPr>
        <w:t xml:space="preserve">[1] </w:t>
      </w:r>
      <w:r w:rsidRPr="00963D68">
        <w:rPr>
          <w:rFonts w:cs="Arial"/>
          <w:b w:val="0"/>
          <w:bCs/>
          <w:sz w:val="20"/>
          <w:szCs w:val="20"/>
        </w:rPr>
        <w:t>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Header"/>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Header"/>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Header"/>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Header"/>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Header"/>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7E0054E2" w:rsidR="00963D68" w:rsidRPr="00963D68" w:rsidRDefault="00963D68" w:rsidP="00963D68">
      <w:pPr>
        <w:pStyle w:val="Header"/>
        <w:spacing w:before="240"/>
        <w:rPr>
          <w:rFonts w:cs="Arial"/>
          <w:b w:val="0"/>
          <w:bCs/>
          <w:sz w:val="20"/>
          <w:szCs w:val="20"/>
        </w:rPr>
      </w:pPr>
      <w:r>
        <w:rPr>
          <w:rFonts w:cs="Arial"/>
          <w:b w:val="0"/>
          <w:bCs/>
          <w:sz w:val="20"/>
          <w:szCs w:val="20"/>
        </w:rPr>
        <w:t xml:space="preserve">[7] </w:t>
      </w:r>
      <w:r w:rsidRPr="00963D68">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Header"/>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197B" w14:textId="77777777" w:rsidR="009B62B7" w:rsidRDefault="009B62B7">
      <w:r>
        <w:separator/>
      </w:r>
    </w:p>
  </w:endnote>
  <w:endnote w:type="continuationSeparator" w:id="0">
    <w:p w14:paraId="520D97C3" w14:textId="77777777" w:rsidR="009B62B7" w:rsidRDefault="009B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50F81" w:rsidRDefault="003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4B3612">
      <w:rPr>
        <w:rStyle w:val="PageNumber"/>
        <w:noProof/>
      </w:rPr>
      <w:t>1</w:t>
    </w:r>
    <w:r>
      <w:fldChar w:fldCharType="end"/>
    </w:r>
  </w:p>
  <w:p w14:paraId="6FDD42B0" w14:textId="620128C7" w:rsidR="00350F81" w:rsidRDefault="00350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5F6" w14:textId="77777777" w:rsidR="009B62B7" w:rsidRDefault="009B62B7">
      <w:r>
        <w:separator/>
      </w:r>
    </w:p>
  </w:footnote>
  <w:footnote w:type="continuationSeparator" w:id="0">
    <w:p w14:paraId="6E5429E9" w14:textId="77777777" w:rsidR="009B62B7" w:rsidRDefault="009B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62A"/>
    <w:rPr>
      <w:rFonts w:asciiTheme="minorHAnsi" w:eastAsiaTheme="minorEastAsia" w:hAnsiTheme="minorHAnsi" w:cstheme="minorBidi"/>
      <w:sz w:val="22"/>
      <w:szCs w:val="22"/>
      <w:lang w:val="en-US" w:eastAsia="ko-KR"/>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BE6F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F55"/>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바탕"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 w:type="character" w:styleId="UnresolvedMention">
    <w:name w:val="Unresolved Mention"/>
    <w:basedOn w:val="DefaultParagraphFont"/>
    <w:uiPriority w:val="99"/>
    <w:semiHidden/>
    <w:unhideWhenUsed/>
    <w:rsid w:val="00BE6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INTEL-Jaemin</cp:lastModifiedBy>
  <cp:revision>10</cp:revision>
  <cp:lastPrinted>2020-11-12T03:35:00Z</cp:lastPrinted>
  <dcterms:created xsi:type="dcterms:W3CDTF">2022-05-13T07:57:00Z</dcterms:created>
  <dcterms:modified xsi:type="dcterms:W3CDTF">2022-05-16T10:40:00Z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