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E29" w14:textId="24F590F8" w:rsidR="004C25C6" w:rsidRPr="00D1615C" w:rsidRDefault="004C25C6" w:rsidP="004C25C6">
      <w:pPr>
        <w:tabs>
          <w:tab w:val="right" w:pos="9639"/>
        </w:tabs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rPr>
          <w:rFonts w:eastAsia="Malgun Gothic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Heading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Alignment of the criticality of CPC Cancel with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XnAP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CPAC ASN.1 corrections over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MRDC3_ASN</w:t>
            </w:r>
          </w:p>
          <w:p w14:paraId="5C37A9E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contextualSpacing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14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Heading1"/>
      </w:pPr>
      <w:r>
        <w:t>For the Chairman’s Notes</w:t>
      </w:r>
    </w:p>
    <w:p w14:paraId="358E6711" w14:textId="5AB0CA0F" w:rsidR="009202AA" w:rsidRDefault="006C5EEE">
      <w:pPr>
        <w:rPr>
          <w:rFonts w:cs="Arial"/>
        </w:rPr>
      </w:pPr>
      <w:r w:rsidRPr="0022676A">
        <w:rPr>
          <w:rFonts w:cs="Arial"/>
        </w:rPr>
        <w:t xml:space="preserve">The following </w:t>
      </w:r>
      <w:proofErr w:type="spellStart"/>
      <w:r w:rsidRPr="0022676A">
        <w:rPr>
          <w:rFonts w:cs="Arial"/>
        </w:rPr>
        <w:t>tdocs</w:t>
      </w:r>
      <w:proofErr w:type="spellEnd"/>
      <w:r w:rsidRPr="0022676A">
        <w:rPr>
          <w:rFonts w:cs="Arial"/>
        </w:rPr>
        <w:t xml:space="preserve">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rPr>
          <w:rFonts w:cs="Arial"/>
        </w:rPr>
      </w:pPr>
    </w:p>
    <w:p w14:paraId="51C526F8" w14:textId="1374D622" w:rsidR="00991DD0" w:rsidRDefault="00991DD0">
      <w:pPr>
        <w:rPr>
          <w:rFonts w:cs="Arial"/>
        </w:rPr>
      </w:pPr>
    </w:p>
    <w:p w14:paraId="04478842" w14:textId="4742FE67" w:rsidR="00991DD0" w:rsidRDefault="00991DD0">
      <w:pPr>
        <w:rPr>
          <w:rFonts w:cs="Arial"/>
        </w:rPr>
      </w:pPr>
    </w:p>
    <w:p w14:paraId="7026989F" w14:textId="77777777" w:rsidR="00991DD0" w:rsidRPr="0022676A" w:rsidRDefault="00991DD0">
      <w:pPr>
        <w:rPr>
          <w:rFonts w:cs="Arial"/>
        </w:rPr>
      </w:pPr>
    </w:p>
    <w:p w14:paraId="6FDD4131" w14:textId="6743832C" w:rsidR="000C1218" w:rsidRDefault="000B4D50">
      <w:pPr>
        <w:pStyle w:val="Heading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 xml:space="preserve">Conditional </w:t>
      </w:r>
      <w:proofErr w:type="spellStart"/>
      <w:r w:rsidRPr="004C25C6">
        <w:rPr>
          <w:rFonts w:cs="Arial"/>
          <w:b/>
          <w:bCs/>
          <w:i/>
          <w:iCs/>
          <w:u w:val="single"/>
        </w:rPr>
        <w:t>PSCell</w:t>
      </w:r>
      <w:proofErr w:type="spellEnd"/>
      <w:r w:rsidRPr="004C25C6">
        <w:rPr>
          <w:rFonts w:cs="Arial"/>
          <w:b/>
          <w:bCs/>
          <w:i/>
          <w:iCs/>
          <w:u w:val="single"/>
        </w:rPr>
        <w:t xml:space="preserve">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CPAC ASN.1 corrections over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 xml:space="preserve">E/// proposed to change the criticality of this IE in SN CHG CNFM messages from "reject" to "ignore", because </w:t>
      </w:r>
      <w:r w:rsidRPr="004C25C6">
        <w:rPr>
          <w:rFonts w:cs="Arial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lastRenderedPageBreak/>
        <w:t xml:space="preserve">Q1)  </w:t>
      </w:r>
      <w:r>
        <w:rPr>
          <w:rFonts w:cs="Arial"/>
          <w:b/>
          <w:bCs/>
          <w:sz w:val="20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1E9DBED3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cs="Arial"/>
        </w:rPr>
      </w:pPr>
    </w:p>
    <w:p w14:paraId="5DB1D5F6" w14:textId="7875A278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>
        <w:rPr>
          <w:rFonts w:cs="Arial"/>
          <w:b/>
          <w:bCs/>
          <w:sz w:val="20"/>
        </w:rPr>
        <w:t>2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objection</w:t>
      </w:r>
      <w:r w:rsidRPr="0072246C">
        <w:rPr>
          <w:rFonts w:cs="Arial"/>
          <w:b/>
          <w:bCs/>
          <w:sz w:val="20"/>
        </w:rPr>
        <w:t xml:space="preserve">? </w:t>
      </w:r>
      <w:r>
        <w:rPr>
          <w:rFonts w:cs="Arial"/>
          <w:b/>
          <w:bCs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cs="Arial"/>
        </w:rPr>
      </w:pPr>
    </w:p>
    <w:p w14:paraId="6201F3B5" w14:textId="0E9A996F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lastRenderedPageBreak/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67549C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Alignment of the criticality of CPC Cancel with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XnAP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 xml:space="preserve">Regarding the criticality of the CPC Cancel procedures defined in X2AP and 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 xml:space="preserve">, there was a misalignment between tabular ("reject") and ASN.1 ("ignore") in 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>, based on which Nokia proposed to fix/align both X2/</w:t>
      </w:r>
      <w:proofErr w:type="spellStart"/>
      <w:r>
        <w:rPr>
          <w:rFonts w:cs="Arial"/>
        </w:rPr>
        <w:t>XnAP</w:t>
      </w:r>
      <w:proofErr w:type="spellEnd"/>
      <w:r>
        <w:rPr>
          <w:rFonts w:cs="Arial"/>
        </w:rPr>
        <w:t xml:space="preserve">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 w:rsidR="00EE7711">
        <w:rPr>
          <w:rFonts w:cs="Arial"/>
          <w:b/>
          <w:bCs/>
          <w:sz w:val="20"/>
        </w:rPr>
        <w:t>3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preference? Please share your view.</w:t>
      </w:r>
      <w:r w:rsidRPr="0072246C">
        <w:rPr>
          <w:rFonts w:cs="Arial"/>
          <w:b/>
          <w:bCs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ZTE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9E19E6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9E19E6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0D71ABC3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cs="Arial"/>
        </w:rPr>
      </w:pPr>
    </w:p>
    <w:p w14:paraId="442E011B" w14:textId="77777777" w:rsidR="0022676A" w:rsidRPr="0022676A" w:rsidRDefault="0022676A" w:rsidP="0022676A"/>
    <w:p w14:paraId="6FDD42A5" w14:textId="061089E6" w:rsidR="000C1218" w:rsidRDefault="000B4D50">
      <w:pPr>
        <w:pStyle w:val="Heading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Header"/>
        <w:spacing w:before="240"/>
        <w:rPr>
          <w:rFonts w:cs="Arial"/>
          <w:b w:val="0"/>
          <w:bCs/>
          <w:sz w:val="20"/>
        </w:rPr>
      </w:pPr>
      <w:r w:rsidRPr="00563148">
        <w:rPr>
          <w:rFonts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3D07" w14:textId="77777777" w:rsidR="0067549C" w:rsidRDefault="0067549C">
      <w:r>
        <w:separator/>
      </w:r>
    </w:p>
  </w:endnote>
  <w:endnote w:type="continuationSeparator" w:id="0">
    <w:p w14:paraId="424C56CA" w14:textId="77777777" w:rsidR="0067549C" w:rsidRDefault="006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D" w14:textId="77777777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6FDD42AE" w14:textId="77777777" w:rsidR="00350F81" w:rsidRDefault="0035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F" w14:textId="26A662FA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A3F61">
      <w:rPr>
        <w:rStyle w:val="PageNumber"/>
        <w:noProof/>
      </w:rPr>
      <w:t>1</w:t>
    </w:r>
    <w:r>
      <w:fldChar w:fldCharType="end"/>
    </w:r>
  </w:p>
  <w:p w14:paraId="6FDD42B0" w14:textId="6F4B7A69" w:rsidR="00350F81" w:rsidRDefault="0035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5F12" w14:textId="77777777" w:rsidR="0067549C" w:rsidRDefault="0067549C">
      <w:r>
        <w:separator/>
      </w:r>
    </w:p>
  </w:footnote>
  <w:footnote w:type="continuationSeparator" w:id="0">
    <w:p w14:paraId="39A8DA53" w14:textId="77777777" w:rsidR="0067549C" w:rsidRDefault="0067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32919"/>
    <w:multiLevelType w:val="multilevel"/>
    <w:tmpl w:val="0B932919"/>
    <w:lvl w:ilvl="0">
      <w:start w:val="1"/>
      <w:numFmt w:val="decimal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5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30FF"/>
    <w:multiLevelType w:val="hybridMultilevel"/>
    <w:tmpl w:val="CFF813A4"/>
    <w:lvl w:ilvl="0" w:tplc="AFA0FD78">
      <w:start w:val="1"/>
      <w:numFmt w:val="decimal"/>
      <w:lvlText w:val="Observation %1 "/>
      <w:lvlJc w:val="left"/>
      <w:pPr>
        <w:ind w:left="242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44F59F0"/>
    <w:multiLevelType w:val="multilevel"/>
    <w:tmpl w:val="444F59F0"/>
    <w:lvl w:ilvl="0">
      <w:start w:val="1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4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5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6"/>
  </w:num>
  <w:num w:numId="5">
    <w:abstractNumId w:val="43"/>
  </w:num>
  <w:num w:numId="6">
    <w:abstractNumId w:val="41"/>
  </w:num>
  <w:num w:numId="7">
    <w:abstractNumId w:val="24"/>
  </w:num>
  <w:num w:numId="8">
    <w:abstractNumId w:val="5"/>
  </w:num>
  <w:num w:numId="9">
    <w:abstractNumId w:val="42"/>
  </w:num>
  <w:num w:numId="10">
    <w:abstractNumId w:val="23"/>
  </w:num>
  <w:num w:numId="11">
    <w:abstractNumId w:val="34"/>
  </w:num>
  <w:num w:numId="12">
    <w:abstractNumId w:val="28"/>
  </w:num>
  <w:num w:numId="13">
    <w:abstractNumId w:val="36"/>
  </w:num>
  <w:num w:numId="14">
    <w:abstractNumId w:val="13"/>
  </w:num>
  <w:num w:numId="15">
    <w:abstractNumId w:val="25"/>
  </w:num>
  <w:num w:numId="16">
    <w:abstractNumId w:val="7"/>
  </w:num>
  <w:num w:numId="17">
    <w:abstractNumId w:val="38"/>
  </w:num>
  <w:num w:numId="18">
    <w:abstractNumId w:val="32"/>
  </w:num>
  <w:num w:numId="19">
    <w:abstractNumId w:val="27"/>
  </w:num>
  <w:num w:numId="20">
    <w:abstractNumId w:val="10"/>
  </w:num>
  <w:num w:numId="21">
    <w:abstractNumId w:val="40"/>
  </w:num>
  <w:num w:numId="22">
    <w:abstractNumId w:val="19"/>
  </w:num>
  <w:num w:numId="23">
    <w:abstractNumId w:val="39"/>
  </w:num>
  <w:num w:numId="24">
    <w:abstractNumId w:val="26"/>
  </w:num>
  <w:num w:numId="25">
    <w:abstractNumId w:val="8"/>
  </w:num>
  <w:num w:numId="26">
    <w:abstractNumId w:val="29"/>
  </w:num>
  <w:num w:numId="27">
    <w:abstractNumId w:val="9"/>
  </w:num>
  <w:num w:numId="28">
    <w:abstractNumId w:val="12"/>
  </w:num>
  <w:num w:numId="29">
    <w:abstractNumId w:val="33"/>
  </w:num>
  <w:num w:numId="30">
    <w:abstractNumId w:val="1"/>
  </w:num>
  <w:num w:numId="31">
    <w:abstractNumId w:val="11"/>
  </w:num>
  <w:num w:numId="32">
    <w:abstractNumId w:val="18"/>
  </w:num>
  <w:num w:numId="33">
    <w:abstractNumId w:val="31"/>
  </w:num>
  <w:num w:numId="34">
    <w:abstractNumId w:val="35"/>
  </w:num>
  <w:num w:numId="35">
    <w:abstractNumId w:val="3"/>
  </w:num>
  <w:num w:numId="36">
    <w:abstractNumId w:val="2"/>
  </w:num>
  <w:num w:numId="37">
    <w:abstractNumId w:val="30"/>
  </w:num>
  <w:num w:numId="38">
    <w:abstractNumId w:val="37"/>
  </w:num>
  <w:num w:numId="39">
    <w:abstractNumId w:val="21"/>
  </w:num>
  <w:num w:numId="40">
    <w:abstractNumId w:val="15"/>
  </w:num>
  <w:num w:numId="41">
    <w:abstractNumId w:val="4"/>
  </w:num>
  <w:num w:numId="42">
    <w:abstractNumId w:val="14"/>
  </w:num>
  <w:num w:numId="43">
    <w:abstractNumId w:val="22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9E6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sz w:val="36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Doc-title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E19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19E6"/>
  </w:style>
  <w:style w:type="paragraph" w:customStyle="1" w:styleId="Doc-title">
    <w:name w:val="Doc-title"/>
    <w:basedOn w:val="Normal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semiHidden/>
    <w:qFormat/>
    <w:pPr>
      <w:spacing w:before="120"/>
    </w:pPr>
  </w:style>
  <w:style w:type="paragraph" w:styleId="BodyText3">
    <w:name w:val="Body Text 3"/>
    <w:basedOn w:val="Normal"/>
    <w:qFormat/>
    <w:rPr>
      <w:b/>
      <w:i/>
    </w:rPr>
  </w:style>
  <w:style w:type="paragraph" w:styleId="BodyText">
    <w:name w:val="Body Text"/>
    <w:basedOn w:val="Normal"/>
    <w:qFormat/>
    <w:pPr>
      <w:spacing w:after="120"/>
    </w:pPr>
    <w:rPr>
      <w:rFonts w:eastAsia="MS Mincho"/>
    </w:rPr>
  </w:style>
  <w:style w:type="paragraph" w:styleId="BodyTextIndent">
    <w:name w:val="Body Text Indent"/>
    <w:basedOn w:val="Normal"/>
    <w:qFormat/>
    <w:pPr>
      <w:spacing w:before="240"/>
      <w:ind w:left="360"/>
    </w:pPr>
    <w:rPr>
      <w:i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qFormat/>
    <w:pPr>
      <w:ind w:left="568" w:hanging="568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rPr>
      <w:b/>
      <w:sz w:val="18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numPr>
        <w:numId w:val="2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spacing w:before="0"/>
    </w:pPr>
    <w:rPr>
      <w:b/>
      <w:bCs/>
    </w:rPr>
  </w:style>
  <w:style w:type="table" w:styleId="TableGrid">
    <w:name w:val="Table Grid"/>
    <w:basedOn w:val="TableNormal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35A1D4"/>
      <w:u w:val="single"/>
    </w:rPr>
  </w:style>
  <w:style w:type="character" w:styleId="Hyperlink">
    <w:name w:val="Hyperlink"/>
    <w:rPr>
      <w:color w:val="35A1D4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ListBulletChar">
    <w:name w:val="List Bullet Char"/>
    <w:link w:val="ListBullet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List2Char">
    <w:name w:val="List 2 Char"/>
    <w:link w:val="List2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Heading1Char">
    <w:name w:val="Heading 1 Char"/>
    <w:link w:val="Heading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Heading8Char">
    <w:name w:val="Heading 8 Char"/>
    <w:link w:val="Heading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ListChar">
    <w:name w:val="List Char"/>
    <w:link w:val="List"/>
    <w:qFormat/>
    <w:rPr>
      <w:lang w:val="en-GB" w:eastAsia="en-US" w:bidi="ar-SA"/>
    </w:rPr>
  </w:style>
  <w:style w:type="character" w:customStyle="1" w:styleId="ListBullet2Char">
    <w:name w:val="List Bullet 2 Char"/>
    <w:link w:val="ListBullet2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List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ListBullet3Char">
    <w:name w:val="List Bullet 3 Char"/>
    <w:link w:val="ListBullet3"/>
    <w:rPr>
      <w:lang w:val="en-GB" w:eastAsia="en-US" w:bidi="ar-SA"/>
    </w:rPr>
  </w:style>
  <w:style w:type="character" w:customStyle="1" w:styleId="def">
    <w:name w:val="def"/>
    <w:basedOn w:val="DefaultParagraphFont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</w:style>
  <w:style w:type="paragraph" w:customStyle="1" w:styleId="CharCharChar">
    <w:name w:val="Char Char Char"/>
    <w:basedOn w:val="Normal"/>
    <w:next w:val="Normal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paragraph" w:styleId="ListParagraph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,목록 단락"/>
    <w:basedOn w:val="Normal"/>
    <w:link w:val="ListParagraphChar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Normal"/>
    <w:qFormat/>
  </w:style>
  <w:style w:type="paragraph" w:customStyle="1" w:styleId="Style30">
    <w:name w:val="_Style 3"/>
    <w:basedOn w:val="Normal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Normal"/>
    <w:next w:val="Normal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Normal"/>
    <w:qFormat/>
  </w:style>
  <w:style w:type="paragraph" w:customStyle="1" w:styleId="TabList">
    <w:name w:val="TabList"/>
    <w:basedOn w:val="Normal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Normal"/>
    <w:qFormat/>
    <w:pPr>
      <w:spacing w:after="220"/>
    </w:pPr>
  </w:style>
  <w:style w:type="paragraph" w:customStyle="1" w:styleId="Observation">
    <w:name w:val="Observation"/>
    <w:basedOn w:val="Normal"/>
    <w:qFormat/>
    <w:rsid w:val="009E19E6"/>
    <w:pPr>
      <w:numPr>
        <w:numId w:val="43"/>
      </w:numPr>
      <w:spacing w:after="120"/>
      <w:jc w:val="both"/>
    </w:pPr>
    <w:rPr>
      <w:b/>
      <w:lang w:eastAsia="zh-CN"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Normal"/>
    <w:qFormat/>
    <w:rsid w:val="009E19E6"/>
    <w:pPr>
      <w:numPr>
        <w:numId w:val="4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qFormat/>
  </w:style>
  <w:style w:type="paragraph" w:customStyle="1" w:styleId="Style1">
    <w:name w:val="_Style 1"/>
    <w:basedOn w:val="Normal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</w:style>
  <w:style w:type="paragraph" w:customStyle="1" w:styleId="B5">
    <w:name w:val="B5"/>
    <w:basedOn w:val="List5"/>
    <w:qFormat/>
  </w:style>
  <w:style w:type="paragraph" w:customStyle="1" w:styleId="List1">
    <w:name w:val="List1"/>
    <w:basedOn w:val="Normal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List4"/>
    <w:qFormat/>
  </w:style>
  <w:style w:type="paragraph" w:customStyle="1" w:styleId="Char">
    <w:name w:val="Char"/>
    <w:basedOn w:val="DocumentMap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Normal"/>
    <w:pPr>
      <w:spacing w:after="240"/>
    </w:pPr>
    <w:rPr>
      <w:lang w:val="en-AU"/>
    </w:rPr>
  </w:style>
  <w:style w:type="paragraph" w:customStyle="1" w:styleId="normalpuce">
    <w:name w:val="normal puce"/>
    <w:basedOn w:val="Normal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Normal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Normal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Normal"/>
    <w:qFormat/>
    <w:pPr>
      <w:spacing w:before="120"/>
    </w:p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Normal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Normal"/>
    <w:rPr>
      <w:rFonts w:cs="Arial"/>
      <w:color w:val="0000FF"/>
    </w:rPr>
  </w:style>
  <w:style w:type="paragraph" w:customStyle="1" w:styleId="HE">
    <w:name w:val="HE"/>
    <w:basedOn w:val="Normal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List3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Normal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Normal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Normal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2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Normal"/>
    <w:next w:val="Doc-text2"/>
    <w:qFormat/>
    <w:pPr>
      <w:numPr>
        <w:numId w:val="13"/>
      </w:numPr>
      <w:spacing w:before="60"/>
    </w:pPr>
    <w:rPr>
      <w:rFonts w:eastAsia="MS Mincho"/>
      <w:b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목록단락 Char"/>
    <w:link w:val="ListParagraph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E19E6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TSG-RAN Working Group 3</vt:lpstr>
      <vt:lpstr>TSG-RAN Working Group 3</vt:lpstr>
    </vt:vector>
  </TitlesOfParts>
  <Company>ZTE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Congchi</cp:lastModifiedBy>
  <cp:revision>6</cp:revision>
  <cp:lastPrinted>2020-11-12T03:35:00Z</cp:lastPrinted>
  <dcterms:created xsi:type="dcterms:W3CDTF">2022-05-10T03:40:00Z</dcterms:created>
  <dcterms:modified xsi:type="dcterms:W3CDTF">2022-05-10T09:04:00Z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