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DD2C" w14:textId="6FE20E10" w:rsidR="00690F78" w:rsidRPr="009B3BF7" w:rsidRDefault="00690F78" w:rsidP="00577BE0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5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-e</w:t>
      </w:r>
      <w:r w:rsidRPr="009B3BF7"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R3-22</w:t>
      </w:r>
      <w:r w:rsidR="00C4519D"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2440</w:t>
      </w:r>
    </w:p>
    <w:p w14:paraId="7337C34A" w14:textId="223B3C9D" w:rsidR="00690F78" w:rsidRPr="009B3BF7" w:rsidRDefault="00690F78" w:rsidP="00577BE0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Online,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Febr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uary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21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st</w:t>
      </w:r>
      <w:r w:rsidRPr="009B3BF7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–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March 3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3D4BD3B6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2105C144" w14:textId="61D5B052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Agenda Item:</w:t>
      </w:r>
      <w:r w:rsidRPr="009B3BF7">
        <w:rPr>
          <w:rFonts w:ascii="Times New Roman" w:hAnsi="Times New Roman" w:cs="Times New Roman"/>
          <w:lang w:val="en-GB"/>
        </w:rPr>
        <w:tab/>
      </w:r>
      <w:r w:rsidR="00370C77" w:rsidRPr="009B3BF7">
        <w:rPr>
          <w:rFonts w:ascii="Times New Roman" w:hAnsi="Times New Roman" w:cs="Times New Roman"/>
          <w:lang w:val="en-GB"/>
        </w:rPr>
        <w:t>15.2.</w:t>
      </w:r>
      <w:r w:rsidR="002C2FD7">
        <w:rPr>
          <w:rFonts w:ascii="Times New Roman" w:hAnsi="Times New Roman" w:cs="Times New Roman"/>
          <w:lang w:val="en-GB"/>
        </w:rPr>
        <w:t>1.</w:t>
      </w:r>
      <w:r w:rsidR="00370C77" w:rsidRPr="009B3BF7">
        <w:rPr>
          <w:rFonts w:ascii="Times New Roman" w:hAnsi="Times New Roman" w:cs="Times New Roman"/>
          <w:lang w:val="en-GB"/>
        </w:rPr>
        <w:t>2</w:t>
      </w:r>
    </w:p>
    <w:p w14:paraId="74D40080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Source:</w:t>
      </w:r>
      <w:r w:rsidRPr="009B3BF7">
        <w:rPr>
          <w:rFonts w:ascii="Times New Roman" w:hAnsi="Times New Roman" w:cs="Times New Roman"/>
          <w:lang w:val="en-GB"/>
        </w:rPr>
        <w:tab/>
        <w:t>Ericsson (moderator)</w:t>
      </w:r>
    </w:p>
    <w:p w14:paraId="0424348D" w14:textId="7C835B3A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Title:</w:t>
      </w:r>
      <w:r w:rsidRPr="009B3BF7">
        <w:rPr>
          <w:rFonts w:ascii="Times New Roman" w:hAnsi="Times New Roman" w:cs="Times New Roman"/>
          <w:lang w:val="en-GB"/>
        </w:rPr>
        <w:tab/>
      </w:r>
      <w:r w:rsidR="00C4519D">
        <w:rPr>
          <w:rFonts w:ascii="Times New Roman" w:hAnsi="Times New Roman" w:cs="Times New Roman"/>
          <w:lang w:val="en-GB"/>
        </w:rPr>
        <w:t>CB</w:t>
      </w:r>
      <w:r w:rsidR="00C4519D" w:rsidRPr="00C4519D">
        <w:rPr>
          <w:rFonts w:ascii="Times New Roman" w:hAnsi="Times New Roman" w:cs="Times New Roman"/>
          <w:lang w:val="en-GB"/>
        </w:rPr>
        <w:t>: # QoE3_Configuration_Report - Summary of email discussion</w:t>
      </w:r>
    </w:p>
    <w:p w14:paraId="7C00B70C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Document for:</w:t>
      </w:r>
      <w:r w:rsidRPr="009B3BF7">
        <w:rPr>
          <w:rFonts w:ascii="Times New Roman" w:hAnsi="Times New Roman" w:cs="Times New Roman"/>
          <w:lang w:val="en-GB"/>
        </w:rPr>
        <w:tab/>
        <w:t>Approval</w:t>
      </w:r>
    </w:p>
    <w:p w14:paraId="427B3F8B" w14:textId="77777777" w:rsidR="00690F78" w:rsidRPr="009B3BF7" w:rsidRDefault="00690F78" w:rsidP="00577BE0">
      <w:pPr>
        <w:pStyle w:val="1"/>
        <w:spacing w:before="120" w:after="0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Introduction</w:t>
      </w:r>
    </w:p>
    <w:p w14:paraId="0D419ED3" w14:textId="1B9A0AF2" w:rsidR="00690F78" w:rsidRPr="009B3BF7" w:rsidRDefault="00690F78" w:rsidP="00577BE0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32"/>
      <w:bookmarkStart w:id="2" w:name="_Hlk72145577"/>
      <w:r w:rsidRPr="009B3BF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 w:rsidR="00705A36"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Fri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day, 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Febru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ary 2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5</w:t>
      </w:r>
      <w:r w:rsidR="00705A36"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h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2976CAA3" w14:textId="2BB2AFF6" w:rsidR="00690F78" w:rsidRPr="009B3BF7" w:rsidRDefault="00690F78" w:rsidP="00577BE0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48795E3" w14:textId="6FD923EA" w:rsidR="00E813F7" w:rsidRDefault="00E813F7" w:rsidP="00577BE0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1676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E813F7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QoE BL CR for TS 38.300) Stage-2 Aspects of NR QoE Management (Ericsson)</w:t>
      </w:r>
      <w:r w:rsidRPr="00E813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20AEAAEA" w14:textId="470FF4B6" w:rsidR="00EB676E" w:rsidRPr="004C0B18" w:rsidRDefault="004C0B18" w:rsidP="00577BE0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 w:rsidR="0037452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QoE BL CR for TS 38.413) QoE Configuration and Reporting (Ericsson)</w:t>
      </w:r>
    </w:p>
    <w:p w14:paraId="67DF965E" w14:textId="40FFCF94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Nok2107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to TS 38.413) NGAP rapporteur corrections (Nokia, Nokia Shanghai Bell)</w:t>
      </w:r>
    </w:p>
    <w:p w14:paraId="15FC2D84" w14:textId="5714AC01" w:rsidR="004C0B18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38.413) Discussion on NR QoE configuration procedures (CATT)</w:t>
      </w:r>
    </w:p>
    <w:p w14:paraId="0798794E" w14:textId="4F179215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Discussion on NR QoE configuration details (CATT)</w:t>
      </w:r>
    </w:p>
    <w:p w14:paraId="7F72610D" w14:textId="735BF128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Hua2222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bookmarkEnd w:id="3"/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Further discussion on configuration details (Huawei)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62022702" w14:textId="0F9F7519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Hua2223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TP to 38.413 on configuration details (Huawei)</w:t>
      </w:r>
    </w:p>
    <w:p w14:paraId="4753C40B" w14:textId="04FFA75C" w:rsidR="00690F78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ZTE2365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to BL CR of TS38.300) Consideration on NR QoE Configuration (ZTE)</w:t>
      </w:r>
      <w:r w:rsidR="00D822EF" w:rsidRPr="009B3BF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14:paraId="5EC42845" w14:textId="3D888AE1" w:rsidR="00900428" w:rsidRPr="00900428" w:rsidRDefault="00900428" w:rsidP="00577BE0">
      <w:pPr>
        <w:spacing w:before="120" w:after="0"/>
        <w:rPr>
          <w:rFonts w:ascii="Arial" w:hAnsi="Arial" w:cs="Arial"/>
          <w:lang w:val="en-GB"/>
        </w:rPr>
      </w:pP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A TP for QoE BL CR for TS 38.413 will be drafted based on the outcome of this round.</w:t>
      </w:r>
    </w:p>
    <w:p w14:paraId="49E08A63" w14:textId="4A33C48E" w:rsidR="00EB676E" w:rsidRPr="009B3BF7" w:rsidRDefault="00EB676E" w:rsidP="00577BE0">
      <w:pPr>
        <w:pStyle w:val="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4EBB8DFD" w14:textId="77777777" w:rsidR="00EB676E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1075F403" w14:textId="77777777" w:rsidR="00EB676E" w:rsidRPr="009B3BF7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 w14:paraId="2B0047B3" w14:textId="77777777" w:rsidR="00690F78" w:rsidRPr="009B3BF7" w:rsidRDefault="00690F78" w:rsidP="00577BE0">
      <w:pPr>
        <w:pStyle w:val="1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lastRenderedPageBreak/>
        <w:t>Discussion</w:t>
      </w:r>
    </w:p>
    <w:p w14:paraId="3436620A" w14:textId="77777777" w:rsidR="00F908A6" w:rsidRPr="00F908A6" w:rsidRDefault="00F908A6" w:rsidP="00577BE0">
      <w:pPr>
        <w:pStyle w:val="2"/>
        <w:rPr>
          <w:rFonts w:ascii="Arial" w:hAnsi="Arial" w:cs="Arial"/>
          <w:lang w:val="en-GB"/>
        </w:rPr>
      </w:pPr>
      <w:r w:rsidRPr="00F908A6">
        <w:rPr>
          <w:rFonts w:ascii="Arial" w:hAnsi="Arial" w:cs="Arial"/>
          <w:lang w:val="en-GB"/>
        </w:rPr>
        <w:t>Slice ID in RVQoE report</w:t>
      </w:r>
    </w:p>
    <w:p w14:paraId="255BE157" w14:textId="4B480D9C" w:rsidR="00F908A6" w:rsidRPr="00F908A6" w:rsidRDefault="00F908A6" w:rsidP="00577BE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 w:rsidR="003B04F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that a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20759">
        <w:rPr>
          <w:rFonts w:ascii="Times New Roman" w:hAnsi="Times New Roman" w:cs="Times New Roman"/>
          <w:sz w:val="20"/>
          <w:szCs w:val="20"/>
          <w:lang w:val="en-GB"/>
        </w:rPr>
        <w:t>RV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QoE report received from the UE can include the S-NSSAI used by the UE during the QoE measurement collection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and to liaise 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RAN2, SA4 and CT1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 xml:space="preserve"> request the signalling support for a slice identifier (S-NSSAI) in the </w:t>
      </w:r>
      <w:r w:rsidR="00F20759">
        <w:rPr>
          <w:rFonts w:ascii="Times New Roman" w:hAnsi="Times New Roman" w:cs="Times New Roman"/>
          <w:sz w:val="20"/>
          <w:szCs w:val="20"/>
          <w:lang w:val="en-GB"/>
        </w:rPr>
        <w:t>RV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QoE report.</w:t>
      </w:r>
    </w:p>
    <w:p w14:paraId="50E099ED" w14:textId="0BC76930" w:rsidR="00F908A6" w:rsidRPr="00F908A6" w:rsidRDefault="00F908A6" w:rsidP="00577BE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Hua2222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color w:val="000000"/>
          <w:sz w:val="20"/>
          <w:szCs w:val="20"/>
          <w:lang w:val="en-GB"/>
        </w:rPr>
        <w:t>and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color w:val="000000"/>
          <w:sz w:val="20"/>
          <w:szCs w:val="20"/>
          <w:lang w:val="en-GB"/>
        </w:rPr>
        <w:t>suggest that the indication of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 xml:space="preserve">PDU session ID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 the 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F20759">
        <w:rPr>
          <w:rFonts w:ascii="Times New Roman" w:hAnsi="Times New Roman" w:cs="Times New Roman"/>
          <w:sz w:val="20"/>
          <w:szCs w:val="20"/>
          <w:lang w:val="en-GB"/>
        </w:rPr>
        <w:t>V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QoE measurement report is enough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that there is no need to introduce the slice ID</w:t>
      </w:r>
      <w:r w:rsidRPr="00F908A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37DF256" w14:textId="5990E603" w:rsidR="00F908A6" w:rsidRPr="009B3BF7" w:rsidRDefault="00F908A6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F908A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the slice identifier (S-NSSAI)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be included </w:t>
      </w:r>
      <w:r w:rsidRPr="00F908A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in the </w:t>
      </w:r>
      <w:r w:rsidR="002F6C6D">
        <w:rPr>
          <w:rFonts w:ascii="Times New Roman" w:hAnsi="Times New Roman" w:cs="Times New Roman"/>
          <w:b/>
          <w:bCs/>
          <w:sz w:val="20"/>
          <w:szCs w:val="20"/>
          <w:lang w:val="en-GB"/>
        </w:rPr>
        <w:t>RV</w:t>
      </w:r>
      <w:r w:rsidRPr="00F908A6">
        <w:rPr>
          <w:rFonts w:ascii="Times New Roman" w:hAnsi="Times New Roman" w:cs="Times New Roman"/>
          <w:b/>
          <w:bCs/>
          <w:sz w:val="20"/>
          <w:szCs w:val="20"/>
          <w:lang w:val="en-GB"/>
        </w:rPr>
        <w:t>QoE report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F908A6" w:rsidRPr="009B3BF7" w14:paraId="17DF79B0" w14:textId="77777777" w:rsidTr="006A49A4">
        <w:trPr>
          <w:trHeight w:val="325"/>
        </w:trPr>
        <w:tc>
          <w:tcPr>
            <w:tcW w:w="1378" w:type="dxa"/>
          </w:tcPr>
          <w:p w14:paraId="21C6B3E5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5EF02C2F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EDBF8AA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F908A6" w:rsidRPr="009B3BF7" w14:paraId="77C6BED9" w14:textId="77777777" w:rsidTr="006A49A4">
        <w:trPr>
          <w:trHeight w:val="357"/>
        </w:trPr>
        <w:tc>
          <w:tcPr>
            <w:tcW w:w="1378" w:type="dxa"/>
          </w:tcPr>
          <w:p w14:paraId="734C05F0" w14:textId="77777777" w:rsidR="00F908A6" w:rsidRPr="009B3BF7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468CC073" w14:textId="21DD0B9A" w:rsidR="00F908A6" w:rsidRPr="00F908A6" w:rsidRDefault="00F908A6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90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0" w:type="dxa"/>
          </w:tcPr>
          <w:p w14:paraId="20BFC3C9" w14:textId="18C8FC77" w:rsidR="00F908A6" w:rsidRPr="00423477" w:rsidRDefault="002F6C6D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our understanding, the reply LS from SA4 does not indicate that the</w:t>
            </w:r>
            <w:r w:rsidR="003223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mapping of an application to a PDU session ID is readily available at the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 layer</w:t>
            </w:r>
            <w:r w:rsidR="003223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In our understanding, the App layer could “dig out” the PDU session ID. On the other hand, the S-NSSAI is readily available at the App layer.</w:t>
            </w:r>
            <w:r w:rsidR="008D50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DU is the consumer of RVQoE and it knows the mapping between S-NSSAI and DRB ID, where the DRB is what ultimately needs to be modified. </w:t>
            </w:r>
          </w:p>
        </w:tc>
      </w:tr>
      <w:tr w:rsidR="00F908A6" w:rsidRPr="009B3BF7" w14:paraId="7E6CF66F" w14:textId="77777777" w:rsidTr="006A49A4">
        <w:trPr>
          <w:trHeight w:val="342"/>
        </w:trPr>
        <w:tc>
          <w:tcPr>
            <w:tcW w:w="1378" w:type="dxa"/>
          </w:tcPr>
          <w:p w14:paraId="1E9479F4" w14:textId="41FCC16C" w:rsidR="00F908A6" w:rsidRPr="009B3BF7" w:rsidRDefault="0088195E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209" w:type="dxa"/>
          </w:tcPr>
          <w:p w14:paraId="41174781" w14:textId="2AE88F56" w:rsidR="00F908A6" w:rsidRPr="009B3BF7" w:rsidRDefault="0088195E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74F372EB" w14:textId="404CFE60" w:rsidR="00B27C49" w:rsidRDefault="00597E9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SA4 reply LS</w:t>
            </w:r>
            <w:r w:rsidR="00AE032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in </w:t>
            </w:r>
            <w:r w:rsidR="00931993" w:rsidRP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S4-211225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clearly states that the </w:t>
            </w:r>
            <w:r w:rsidR="008654D6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application client can identify both the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PDU 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session and</w:t>
            </w:r>
            <w:r w:rsidR="008654D6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S-NSSAI via the AT command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as </w:t>
            </w:r>
            <w:r w:rsidR="00931993" w:rsidRPr="00931993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en-GB" w:eastAsia="zh-CN"/>
              </w:rPr>
              <w:t>highlighted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here</w:t>
            </w:r>
            <w:r w:rsidR="008654D6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AE032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Not sure why application has to “dig” out as E/// has </w:t>
            </w:r>
            <w:r w:rsidR="0093199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commented above</w:t>
            </w:r>
            <w:r w:rsidR="00AE032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  <w:p w14:paraId="64C77021" w14:textId="1E7C55D0" w:rsidR="0065758F" w:rsidRDefault="0065758F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….</w:t>
            </w:r>
          </w:p>
          <w:p w14:paraId="57386734" w14:textId="22F4DA7D" w:rsidR="00AA331C" w:rsidRDefault="00AA331C" w:rsidP="00AA331C">
            <w:pPr>
              <w:spacing w:before="120" w:after="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</w:pPr>
            <w:r w:rsidRPr="007B662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highlight w:val="yellow"/>
                <w:lang w:val="en-GB" w:eastAsia="zh-CN"/>
              </w:rPr>
              <w:t>The MSH and the MTSI client are able to identify the PDU session and the corresponding S-NSSAI and DNN, over which the media streaming session or the MTSI call is running</w:t>
            </w:r>
            <w:r w:rsidRPr="00FF7C6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highlight w:val="yellow"/>
                <w:lang w:val="en-GB" w:eastAsia="zh-CN"/>
              </w:rPr>
              <w:t>. One way to discover the used S-NSSAI is through the +CGDCONT? AT command.</w:t>
            </w:r>
            <w:r w:rsidRPr="007B662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  <w:t xml:space="preserve"> </w:t>
            </w:r>
          </w:p>
          <w:p w14:paraId="266EC3A8" w14:textId="0F8B9155" w:rsidR="0065758F" w:rsidRPr="007B662B" w:rsidRDefault="0065758F" w:rsidP="00AA331C">
            <w:pPr>
              <w:spacing w:before="120" w:after="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GB" w:eastAsia="zh-CN"/>
              </w:rPr>
              <w:t>….</w:t>
            </w:r>
          </w:p>
          <w:p w14:paraId="351EECBE" w14:textId="299CD2F7" w:rsidR="001149FF" w:rsidRPr="009B3BF7" w:rsidRDefault="00AA331C" w:rsidP="001149F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Also, NG-RAN should be able to map the PDU session ID to S-NSSAI if needed.</w:t>
            </w:r>
            <w:r w:rsidR="00E7479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Also please note CB#</w:t>
            </w:r>
            <w:r w:rsidR="00030A30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QoE</w:t>
            </w:r>
            <w:r w:rsidR="00E7479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5</w:t>
            </w:r>
            <w:r w:rsidR="00030A30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also h</w:t>
            </w:r>
            <w:r w:rsidR="004D5F9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 a similar question</w:t>
            </w:r>
            <w:r w:rsidR="001A33E8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 also discusses QoS flow ID and DRB ID in addition to S-NSSAI</w:t>
            </w:r>
            <w:r w:rsidR="001149FF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800188" w:rsidRPr="009B3BF7" w14:paraId="49A619D5" w14:textId="77777777" w:rsidTr="006A49A4">
        <w:trPr>
          <w:trHeight w:val="325"/>
        </w:trPr>
        <w:tc>
          <w:tcPr>
            <w:tcW w:w="1378" w:type="dxa"/>
          </w:tcPr>
          <w:p w14:paraId="3536F01E" w14:textId="0ADEE2A0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uawei </w:t>
            </w:r>
          </w:p>
        </w:tc>
        <w:tc>
          <w:tcPr>
            <w:tcW w:w="1209" w:type="dxa"/>
          </w:tcPr>
          <w:p w14:paraId="17A6890A" w14:textId="23A8C31B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</w:t>
            </w:r>
          </w:p>
        </w:tc>
        <w:tc>
          <w:tcPr>
            <w:tcW w:w="7200" w:type="dxa"/>
          </w:tcPr>
          <w:p w14:paraId="6AE40BD0" w14:textId="1C51B861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 already discussed, we think the inclusion of PDU session info would help understand the relation among service type, slice type and PDU session.</w:t>
            </w:r>
          </w:p>
        </w:tc>
      </w:tr>
      <w:tr w:rsidR="00F908A6" w:rsidRPr="009B3BF7" w14:paraId="60004386" w14:textId="77777777" w:rsidTr="006A49A4">
        <w:trPr>
          <w:trHeight w:val="325"/>
        </w:trPr>
        <w:tc>
          <w:tcPr>
            <w:tcW w:w="1378" w:type="dxa"/>
          </w:tcPr>
          <w:p w14:paraId="0439D02E" w14:textId="7B9E38A4" w:rsidR="00F908A6" w:rsidRPr="009B3BF7" w:rsidRDefault="003E264C" w:rsidP="00577BE0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  <w:t>China Unicom</w:t>
            </w:r>
          </w:p>
        </w:tc>
        <w:tc>
          <w:tcPr>
            <w:tcW w:w="1209" w:type="dxa"/>
          </w:tcPr>
          <w:p w14:paraId="38F43959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0C48CD7F" w14:textId="2B49E121" w:rsidR="00F908A6" w:rsidRPr="009B3BF7" w:rsidRDefault="003E264C" w:rsidP="009B244D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lice ID </w:t>
            </w:r>
            <w:r w:rsidR="009B244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can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be an option IE for slice related statistic for gNB convenient.</w:t>
            </w:r>
          </w:p>
        </w:tc>
      </w:tr>
      <w:tr w:rsidR="009A1435" w:rsidRPr="009B3BF7" w14:paraId="3C619042" w14:textId="77777777" w:rsidTr="00685105">
        <w:trPr>
          <w:trHeight w:val="325"/>
        </w:trPr>
        <w:tc>
          <w:tcPr>
            <w:tcW w:w="1378" w:type="dxa"/>
          </w:tcPr>
          <w:p w14:paraId="4F53DDD3" w14:textId="77777777" w:rsidR="009A1435" w:rsidRPr="009B3BF7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CATT</w:t>
            </w:r>
          </w:p>
        </w:tc>
        <w:tc>
          <w:tcPr>
            <w:tcW w:w="1209" w:type="dxa"/>
          </w:tcPr>
          <w:p w14:paraId="5F71C1DD" w14:textId="77777777" w:rsidR="009A1435" w:rsidRPr="009B3BF7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2A272FCD" w14:textId="77777777" w:rsidR="009A1435" w:rsidRPr="009B3BF7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Agree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with QC that NG-RAN can map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the PDU session ID to S-NSSAI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, so </w:t>
            </w:r>
            <w:r w:rsidRPr="00D5784F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indication of PDU session ID in the RVQoE measurement report is enough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F908A6" w:rsidRPr="009B3BF7" w14:paraId="56D1D84D" w14:textId="77777777" w:rsidTr="006A49A4">
        <w:trPr>
          <w:trHeight w:val="342"/>
        </w:trPr>
        <w:tc>
          <w:tcPr>
            <w:tcW w:w="1378" w:type="dxa"/>
          </w:tcPr>
          <w:p w14:paraId="052B42FA" w14:textId="337CF7E5" w:rsidR="00F908A6" w:rsidRPr="009A1435" w:rsidRDefault="00C91C8B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Samsung </w:t>
            </w:r>
          </w:p>
        </w:tc>
        <w:tc>
          <w:tcPr>
            <w:tcW w:w="1209" w:type="dxa"/>
          </w:tcPr>
          <w:p w14:paraId="67B51562" w14:textId="20692170" w:rsidR="00F908A6" w:rsidRPr="009B3BF7" w:rsidRDefault="00C91C8B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Yes</w:t>
            </w:r>
          </w:p>
        </w:tc>
        <w:tc>
          <w:tcPr>
            <w:tcW w:w="7200" w:type="dxa"/>
          </w:tcPr>
          <w:p w14:paraId="29024305" w14:textId="7865E19D" w:rsidR="00F908A6" w:rsidRPr="009B3BF7" w:rsidRDefault="00C91C8B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Agree with E///</w:t>
            </w:r>
          </w:p>
        </w:tc>
      </w:tr>
      <w:tr w:rsidR="00F908A6" w:rsidRPr="009B3BF7" w14:paraId="385BF4EE" w14:textId="77777777" w:rsidTr="006A49A4">
        <w:trPr>
          <w:trHeight w:val="342"/>
        </w:trPr>
        <w:tc>
          <w:tcPr>
            <w:tcW w:w="1378" w:type="dxa"/>
          </w:tcPr>
          <w:p w14:paraId="4B63F8BC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554A1A50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16E05CFC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908A6" w:rsidRPr="009B3BF7" w14:paraId="3F9921C9" w14:textId="77777777" w:rsidTr="006A49A4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FF1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674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B2E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908A6" w:rsidRPr="009B3BF7" w14:paraId="4D3224F4" w14:textId="77777777" w:rsidTr="006A49A4">
        <w:trPr>
          <w:trHeight w:val="325"/>
        </w:trPr>
        <w:tc>
          <w:tcPr>
            <w:tcW w:w="1378" w:type="dxa"/>
          </w:tcPr>
          <w:p w14:paraId="70B20032" w14:textId="77777777" w:rsidR="00F908A6" w:rsidRPr="009B3BF7" w:rsidRDefault="00F908A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77BE78BE" w14:textId="77777777" w:rsidR="00F908A6" w:rsidRPr="009B3BF7" w:rsidRDefault="00F908A6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612B1785" w14:textId="77777777" w:rsidR="00F908A6" w:rsidRPr="009B3BF7" w:rsidRDefault="00F908A6" w:rsidP="00577BE0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17C0841A" w14:textId="77777777" w:rsidR="00F908A6" w:rsidRPr="009B3BF7" w:rsidRDefault="00F908A6" w:rsidP="00577BE0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4F989CA8" w14:textId="77777777" w:rsidR="00F908A6" w:rsidRPr="009B3BF7" w:rsidRDefault="00F908A6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2CBEB040" w14:textId="77777777" w:rsidR="00F908A6" w:rsidRDefault="00F908A6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363FA3DF" w14:textId="0D8B8271" w:rsidR="00D94375" w:rsidRPr="00110B0F" w:rsidRDefault="00110B0F" w:rsidP="00577BE0">
      <w:pPr>
        <w:pStyle w:val="2"/>
        <w:rPr>
          <w:rFonts w:ascii="Arial" w:hAnsi="Arial" w:cs="Arial"/>
          <w:lang w:val="en-GB"/>
        </w:rPr>
      </w:pPr>
      <w:r w:rsidRPr="00110B0F">
        <w:rPr>
          <w:rFonts w:ascii="Arial" w:hAnsi="Arial" w:cs="Arial"/>
          <w:lang w:val="en-GB"/>
        </w:rPr>
        <w:t>Failure due to interaction with handover</w:t>
      </w:r>
    </w:p>
    <w:p w14:paraId="68F4271E" w14:textId="36920402" w:rsidR="00AD5651" w:rsidRPr="009B3BF7" w:rsidRDefault="00AD5651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AD5651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that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NG-RAN send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a meaningless UE CONTEXT MODIFICATION RESPONSE to AMF immediately</w:t>
      </w:r>
      <w:r w:rsidR="00EE4FB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no matter whether QMC (de)activation is successful or not.</w:t>
      </w:r>
      <w:r w:rsidR="00EE4FBD">
        <w:rPr>
          <w:rFonts w:ascii="Times New Roman" w:hAnsi="Times New Roman" w:cs="Times New Roman"/>
          <w:sz w:val="20"/>
          <w:szCs w:val="20"/>
          <w:lang w:val="en-GB"/>
        </w:rPr>
        <w:t xml:space="preserve"> If the (de)activation fails, a 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UE CONTEXT MODIFICATION FAILURE message </w:t>
      </w:r>
      <w:r w:rsidR="00EE4FBD">
        <w:rPr>
          <w:rFonts w:ascii="Times New Roman" w:hAnsi="Times New Roman" w:cs="Times New Roman"/>
          <w:sz w:val="20"/>
          <w:szCs w:val="20"/>
          <w:lang w:val="en-GB"/>
        </w:rPr>
        <w:t>is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initiated to AMF to indicate QMC (de)activation failure due to an interaction with a handover procedure. </w:t>
      </w:r>
    </w:p>
    <w:p w14:paraId="11BBFA39" w14:textId="6C669009" w:rsidR="00CC48F6" w:rsidRPr="00CC48F6" w:rsidRDefault="00CC48F6" w:rsidP="00577BE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 w:rsidR="003B04F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507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CC48F6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a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>ddress the scenario of (de)activation failure due to an interaction with a handover procedure in a future release.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Hua2222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CC48F6">
        <w:rPr>
          <w:rFonts w:ascii="Times New Roman" w:hAnsi="Times New Roman" w:cs="Times New Roman"/>
          <w:color w:val="000000"/>
          <w:sz w:val="20"/>
          <w:szCs w:val="20"/>
          <w:lang w:val="en-GB"/>
        </w:rPr>
        <w:t>suggests reusing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the existing procedure to indicate QMC (de)activation failure due to an interaction with a handover procedure. No enhancement is needed. </w:t>
      </w:r>
    </w:p>
    <w:p w14:paraId="20B19A30" w14:textId="4CB2DB3B" w:rsidR="00D94375" w:rsidRPr="009B3BF7" w:rsidRDefault="00D94375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 w:rsidR="00CC48F6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: </w:t>
      </w:r>
      <w:r w:rsidR="00A0415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Are any enhancements needed to enable the scenario described by </w:t>
      </w:r>
      <w:r w:rsidR="00A0415F"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 w:rsidR="00A0415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="00A0415F"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 w:rsidR="00A0415F"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D94375" w:rsidRPr="009B3BF7" w14:paraId="594CBBCB" w14:textId="77777777" w:rsidTr="00AE2FCB">
        <w:trPr>
          <w:trHeight w:val="325"/>
        </w:trPr>
        <w:tc>
          <w:tcPr>
            <w:tcW w:w="1378" w:type="dxa"/>
          </w:tcPr>
          <w:p w14:paraId="5874E7C5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17EC6396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62B51DFF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D94375" w:rsidRPr="009B3BF7" w14:paraId="4BCF3C1A" w14:textId="77777777" w:rsidTr="00AE2FCB">
        <w:trPr>
          <w:trHeight w:val="357"/>
        </w:trPr>
        <w:tc>
          <w:tcPr>
            <w:tcW w:w="1378" w:type="dxa"/>
          </w:tcPr>
          <w:p w14:paraId="6FCD33C2" w14:textId="77777777" w:rsidR="00D94375" w:rsidRPr="009B3BF7" w:rsidRDefault="00D94375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0AA907EE" w14:textId="4F2242EB" w:rsidR="00D94375" w:rsidRPr="00423477" w:rsidRDefault="00A0415F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Not in this release</w:t>
            </w:r>
          </w:p>
        </w:tc>
        <w:tc>
          <w:tcPr>
            <w:tcW w:w="7200" w:type="dxa"/>
          </w:tcPr>
          <w:p w14:paraId="0A21BFFE" w14:textId="079FC661" w:rsidR="00D94375" w:rsidRPr="00A0415F" w:rsidRDefault="00A0415F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41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Pr="00A041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 Rel-17,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it is good enough to assume that the scenario can be avoided by the RAN node configuring the UE with QMC before handing it over. </w:t>
            </w:r>
            <w:r w:rsidR="004060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other WF at this time would be a hack.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D94375" w:rsidRPr="009B3BF7" w14:paraId="7619F59C" w14:textId="77777777" w:rsidTr="00AE2FCB">
        <w:trPr>
          <w:trHeight w:val="342"/>
        </w:trPr>
        <w:tc>
          <w:tcPr>
            <w:tcW w:w="1378" w:type="dxa"/>
          </w:tcPr>
          <w:p w14:paraId="6841A090" w14:textId="27912022" w:rsidR="00D94375" w:rsidRPr="009B3BF7" w:rsidRDefault="006B4A9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209" w:type="dxa"/>
          </w:tcPr>
          <w:p w14:paraId="38B99C77" w14:textId="3AE87D4A" w:rsidR="00D94375" w:rsidRPr="009B3BF7" w:rsidRDefault="006B4A96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 strong view</w:t>
            </w:r>
          </w:p>
        </w:tc>
        <w:tc>
          <w:tcPr>
            <w:tcW w:w="7200" w:type="dxa"/>
          </w:tcPr>
          <w:p w14:paraId="09A00030" w14:textId="77777777" w:rsidR="00174EDD" w:rsidRDefault="00C2722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Agree with E/// that</w:t>
            </w:r>
            <w:r w:rsidR="00DC30B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this could be a corner case scenario and </w:t>
            </w:r>
            <w:r w:rsidR="002245B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can be avoided by RAN configuring the UE at an appropriate time.</w:t>
            </w:r>
          </w:p>
          <w:p w14:paraId="5D4A9CC9" w14:textId="77777777" w:rsidR="001E5520" w:rsidRDefault="00332625" w:rsidP="0033262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But i</w:t>
            </w:r>
            <w:r w:rsidR="00174ED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f we don’t want to initiate UE CONTEXT MODFICATION FAILURE and introduce new cause values informing the AMF upon such a scenario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in Rel-17</w:t>
            </w:r>
            <w:r w:rsidR="00174ED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, we should at least have a </w:t>
            </w:r>
            <w:r w:rsidR="000C4B2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stage-2 text mentioning that this can be handled via NG-RAN implementation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  <w:r w:rsidR="00E23BD0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14:paraId="43B44723" w14:textId="23B7377C" w:rsidR="00D94375" w:rsidRPr="009B3BF7" w:rsidRDefault="00E23BD0" w:rsidP="001E552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Alternati</w:t>
            </w:r>
            <w:r w:rsidR="00720FA9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vely, we are fine if </w:t>
            </w:r>
            <w:r w:rsidR="005E3D1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we handle this via specification support as well as per CATT’s proposal.</w:t>
            </w:r>
            <w:r w:rsidR="00DC30B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800188" w:rsidRPr="009B3BF7" w14:paraId="2A766173" w14:textId="77777777" w:rsidTr="00AE2FCB">
        <w:trPr>
          <w:trHeight w:val="325"/>
        </w:trPr>
        <w:tc>
          <w:tcPr>
            <w:tcW w:w="1378" w:type="dxa"/>
          </w:tcPr>
          <w:p w14:paraId="5CF05117" w14:textId="025C6BA7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uawei </w:t>
            </w:r>
          </w:p>
        </w:tc>
        <w:tc>
          <w:tcPr>
            <w:tcW w:w="1209" w:type="dxa"/>
          </w:tcPr>
          <w:p w14:paraId="0A63BD18" w14:textId="2E9A8E21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Maybe not</w:t>
            </w:r>
          </w:p>
        </w:tc>
        <w:tc>
          <w:tcPr>
            <w:tcW w:w="7200" w:type="dxa"/>
          </w:tcPr>
          <w:p w14:paraId="2F59FE1D" w14:textId="7A4B6520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 pointed in our discussion, existing procedure could be reused if this issue is to be recognized and solved.</w:t>
            </w:r>
          </w:p>
        </w:tc>
      </w:tr>
      <w:tr w:rsidR="00031FD6" w:rsidRPr="009B3BF7" w14:paraId="4539C62A" w14:textId="77777777" w:rsidTr="00AE2FCB">
        <w:trPr>
          <w:trHeight w:val="325"/>
        </w:trPr>
        <w:tc>
          <w:tcPr>
            <w:tcW w:w="1378" w:type="dxa"/>
          </w:tcPr>
          <w:p w14:paraId="1A853420" w14:textId="52353E68" w:rsidR="00031FD6" w:rsidRPr="009B3BF7" w:rsidRDefault="00031FD6" w:rsidP="00031FD6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hina Unicom</w:t>
            </w:r>
          </w:p>
        </w:tc>
        <w:tc>
          <w:tcPr>
            <w:tcW w:w="1209" w:type="dxa"/>
          </w:tcPr>
          <w:p w14:paraId="032D5DB6" w14:textId="5FA7EAE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gree with Ericsson</w:t>
            </w:r>
          </w:p>
        </w:tc>
        <w:tc>
          <w:tcPr>
            <w:tcW w:w="7200" w:type="dxa"/>
          </w:tcPr>
          <w:p w14:paraId="7E70B76D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9A1435" w:rsidRPr="009B3BF7" w14:paraId="48FBF202" w14:textId="77777777" w:rsidTr="00685105">
        <w:trPr>
          <w:trHeight w:val="325"/>
        </w:trPr>
        <w:tc>
          <w:tcPr>
            <w:tcW w:w="1378" w:type="dxa"/>
          </w:tcPr>
          <w:p w14:paraId="4CBE922A" w14:textId="77777777" w:rsidR="009A1435" w:rsidRPr="009B3BF7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CATT</w:t>
            </w:r>
          </w:p>
        </w:tc>
        <w:tc>
          <w:tcPr>
            <w:tcW w:w="1209" w:type="dxa"/>
          </w:tcPr>
          <w:p w14:paraId="45FA3697" w14:textId="77777777" w:rsidR="009A1435" w:rsidRPr="009B3BF7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dd text in </w:t>
            </w:r>
            <w:r w:rsidRPr="000B4DD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UE CONTEXT MODIFICATION FAILURE</w:t>
            </w:r>
          </w:p>
        </w:tc>
        <w:tc>
          <w:tcPr>
            <w:tcW w:w="7200" w:type="dxa"/>
          </w:tcPr>
          <w:p w14:paraId="2B0D16D3" w14:textId="77777777" w:rsidR="009A1435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W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e do not think it is a corner case as trace activation has considered the interaction with handover.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s there any difference with trace procedures?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W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e shall take the same criteria to judge whether it is a corner case.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ctually,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andover procedure is common case and for most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of procedures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, the description on interaction with handover has been captured in 38.413.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o, we think it is a legacy requirement to </w:t>
            </w:r>
            <w:r w:rsidRPr="008F03CB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describe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the interaction with handover.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o we add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the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text description for this case. </w:t>
            </w:r>
          </w:p>
          <w:p w14:paraId="30315992" w14:textId="77777777" w:rsidR="009A1435" w:rsidRPr="009A1435" w:rsidRDefault="009A1435" w:rsidP="00685105">
            <w:pPr>
              <w:tabs>
                <w:tab w:val="right" w:pos="9641"/>
              </w:tabs>
              <w:rPr>
                <w:rFonts w:eastAsiaTheme="minorEastAsia"/>
                <w:i/>
                <w:color w:val="FF0000"/>
                <w:sz w:val="20"/>
                <w:lang w:eastAsia="zh-CN"/>
              </w:rPr>
            </w:pPr>
            <w:r w:rsidRPr="009A1435">
              <w:rPr>
                <w:color w:val="FF0000"/>
                <w:sz w:val="20"/>
              </w:rPr>
              <w:t xml:space="preserve">If the </w:t>
            </w:r>
            <w:r w:rsidRPr="009A1435">
              <w:rPr>
                <w:i/>
                <w:color w:val="FF0000"/>
                <w:sz w:val="20"/>
              </w:rPr>
              <w:t xml:space="preserve">QMC </w:t>
            </w:r>
            <w:r w:rsidRPr="009A1435">
              <w:rPr>
                <w:rFonts w:hint="eastAsia"/>
                <w:i/>
                <w:color w:val="FF0000"/>
                <w:sz w:val="20"/>
              </w:rPr>
              <w:t>(de)</w:t>
            </w:r>
            <w:r w:rsidRPr="009A1435">
              <w:rPr>
                <w:i/>
                <w:color w:val="FF0000"/>
                <w:sz w:val="20"/>
              </w:rPr>
              <w:t xml:space="preserve">activation </w:t>
            </w:r>
            <w:r w:rsidRPr="009A1435">
              <w:rPr>
                <w:color w:val="FF0000"/>
                <w:sz w:val="20"/>
              </w:rPr>
              <w:t>IE is included in the UE CONTEXT MODIFICATION REQUEST message, the NG-RAN node may</w:t>
            </w:r>
            <w:r w:rsidRPr="009A1435">
              <w:rPr>
                <w:rFonts w:hint="eastAsia"/>
                <w:color w:val="FF0000"/>
                <w:sz w:val="20"/>
              </w:rPr>
              <w:t xml:space="preserve"> initiate</w:t>
            </w:r>
            <w:r w:rsidRPr="009A1435">
              <w:rPr>
                <w:color w:val="FF0000"/>
                <w:sz w:val="20"/>
              </w:rPr>
              <w:t xml:space="preserve"> UE CONTEXT MODIFICATION FAILURE message</w:t>
            </w:r>
            <w:r w:rsidRPr="009A1435">
              <w:rPr>
                <w:rFonts w:hint="eastAsia"/>
                <w:color w:val="FF0000"/>
                <w:sz w:val="20"/>
              </w:rPr>
              <w:t xml:space="preserve"> due to </w:t>
            </w:r>
            <w:r w:rsidRPr="009A1435">
              <w:rPr>
                <w:color w:val="FF0000"/>
                <w:sz w:val="20"/>
              </w:rPr>
              <w:t>an interaction with a handover procedure</w:t>
            </w:r>
            <w:r w:rsidRPr="009A1435">
              <w:rPr>
                <w:rFonts w:hint="eastAsia"/>
                <w:color w:val="FF0000"/>
                <w:sz w:val="20"/>
              </w:rPr>
              <w:t>.</w:t>
            </w:r>
          </w:p>
          <w:p w14:paraId="7046035D" w14:textId="4078F2EE" w:rsidR="009A1435" w:rsidRPr="000B4DDD" w:rsidRDefault="004668CB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T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here is no ASN.1 IE introduced</w:t>
            </w:r>
          </w:p>
        </w:tc>
      </w:tr>
      <w:tr w:rsidR="009A1435" w:rsidRPr="009B3BF7" w14:paraId="0F04BFD1" w14:textId="77777777" w:rsidTr="00685105">
        <w:trPr>
          <w:trHeight w:val="325"/>
        </w:trPr>
        <w:tc>
          <w:tcPr>
            <w:tcW w:w="1378" w:type="dxa"/>
          </w:tcPr>
          <w:p w14:paraId="03C19D95" w14:textId="2ADD2090" w:rsidR="009A1435" w:rsidRPr="009B3BF7" w:rsidRDefault="00C91C8B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Samsung </w:t>
            </w:r>
          </w:p>
        </w:tc>
        <w:tc>
          <w:tcPr>
            <w:tcW w:w="1209" w:type="dxa"/>
          </w:tcPr>
          <w:p w14:paraId="35C6FE9F" w14:textId="77777777" w:rsidR="009A1435" w:rsidRPr="009B3BF7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2E22FB05" w14:textId="3A5ED95B" w:rsidR="009A1435" w:rsidRPr="009B3BF7" w:rsidRDefault="00C91C8B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Fine with CATT’s proposal</w:t>
            </w:r>
            <w:bookmarkStart w:id="5" w:name="_GoBack"/>
            <w:bookmarkEnd w:id="5"/>
          </w:p>
        </w:tc>
      </w:tr>
      <w:tr w:rsidR="00031FD6" w:rsidRPr="009B3BF7" w14:paraId="66F6F8EA" w14:textId="77777777" w:rsidTr="00AE2FCB">
        <w:trPr>
          <w:trHeight w:val="342"/>
        </w:trPr>
        <w:tc>
          <w:tcPr>
            <w:tcW w:w="1378" w:type="dxa"/>
          </w:tcPr>
          <w:p w14:paraId="54740383" w14:textId="77777777" w:rsidR="00031FD6" w:rsidRPr="009A1435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09" w:type="dxa"/>
          </w:tcPr>
          <w:p w14:paraId="01B792A8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7A81F73E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031FD6" w:rsidRPr="009B3BF7" w14:paraId="21EE73E8" w14:textId="77777777" w:rsidTr="00AE2FCB">
        <w:trPr>
          <w:trHeight w:val="342"/>
        </w:trPr>
        <w:tc>
          <w:tcPr>
            <w:tcW w:w="1378" w:type="dxa"/>
          </w:tcPr>
          <w:p w14:paraId="2BB80F70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4F34FAC7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3E857BE2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031FD6" w:rsidRPr="009B3BF7" w14:paraId="28B2DB4A" w14:textId="77777777" w:rsidTr="00AE2FCB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6D9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C2F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963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031FD6" w:rsidRPr="009B3BF7" w14:paraId="5B6AE4C1" w14:textId="77777777" w:rsidTr="00AE2FCB">
        <w:trPr>
          <w:trHeight w:val="325"/>
        </w:trPr>
        <w:tc>
          <w:tcPr>
            <w:tcW w:w="1378" w:type="dxa"/>
          </w:tcPr>
          <w:p w14:paraId="709374EE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63F9C080" w14:textId="77777777" w:rsidR="00031FD6" w:rsidRPr="009B3BF7" w:rsidRDefault="00031FD6" w:rsidP="00031FD6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7F5ADA05" w14:textId="77777777" w:rsidR="00031FD6" w:rsidRPr="009B3BF7" w:rsidRDefault="00031FD6" w:rsidP="00031FD6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2ED6B288" w14:textId="77777777" w:rsidR="00D94375" w:rsidRPr="009B3BF7" w:rsidRDefault="00D94375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7D8BCCE4" w14:textId="77777777" w:rsidR="00D94375" w:rsidRPr="009B3BF7" w:rsidRDefault="00D94375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7B5D928B" w14:textId="732DAB64" w:rsidR="00A4069D" w:rsidRPr="00A638D3" w:rsidRDefault="00900428" w:rsidP="00577BE0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Recording session</w:t>
      </w:r>
      <w:r w:rsidR="00A638D3" w:rsidRPr="00A638D3">
        <w:rPr>
          <w:rFonts w:ascii="Arial" w:hAnsi="Arial" w:cs="Arial"/>
          <w:lang w:val="en-GB"/>
        </w:rPr>
        <w:t xml:space="preserve"> </w:t>
      </w:r>
      <w:r w:rsidR="00A638D3">
        <w:rPr>
          <w:rFonts w:ascii="Arial" w:hAnsi="Arial" w:cs="Arial"/>
          <w:lang w:val="en-GB"/>
        </w:rPr>
        <w:t>indication to the NM</w:t>
      </w:r>
    </w:p>
    <w:p w14:paraId="5E4552E5" w14:textId="750D7C29" w:rsidR="00BA0922" w:rsidRPr="009B3BF7" w:rsidRDefault="00BA0922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CATT2205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>propose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 to reuse </w:t>
      </w:r>
      <w:r w:rsidR="00900428" w:rsidRPr="00CC48F6">
        <w:rPr>
          <w:rFonts w:ascii="Times New Roman" w:hAnsi="Times New Roman" w:cs="Times New Roman"/>
          <w:sz w:val="20"/>
          <w:szCs w:val="20"/>
          <w:lang w:val="en-GB"/>
        </w:rPr>
        <w:t xml:space="preserve">CELL TRAFFIC TRACE 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NGAP </w:t>
      </w:r>
      <w:r w:rsidRPr="00CC48F6">
        <w:rPr>
          <w:rFonts w:ascii="Times New Roman" w:hAnsi="Times New Roman" w:cs="Times New Roman"/>
          <w:sz w:val="20"/>
          <w:szCs w:val="20"/>
          <w:lang w:val="en-GB"/>
        </w:rPr>
        <w:t>message to provide TR/TRSR from NG-RAN to 5GC.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The reason is step 9 in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subsection 4.2.1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TS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28.40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saying that, for m-based QoE, the 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>eNB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reports the recording session indication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="00900428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900428" w:rsidRPr="00900428">
        <w:rPr>
          <w:rFonts w:ascii="Times New Roman" w:hAnsi="Times New Roman" w:cs="Times New Roman"/>
          <w:sz w:val="20"/>
          <w:szCs w:val="20"/>
          <w:lang w:val="en-GB"/>
        </w:rPr>
        <w:t xml:space="preserve"> NM.</w:t>
      </w:r>
    </w:p>
    <w:p w14:paraId="014B3D88" w14:textId="66DECEDD" w:rsidR="00900428" w:rsidRDefault="00A4069D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 w:rsidR="00900428">
        <w:rPr>
          <w:rFonts w:ascii="Times New Roman" w:hAnsi="Times New Roman" w:cs="Times New Roman"/>
          <w:b/>
          <w:bCs/>
          <w:sz w:val="20"/>
          <w:szCs w:val="20"/>
          <w:lang w:val="en-GB"/>
        </w:rPr>
        <w:t>3-1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: Should</w:t>
      </w:r>
      <w:r w:rsidR="0090042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the NG-RAN report the recording session indication to the 5GC</w:t>
      </w:r>
      <w:r w:rsidR="00A0415F"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p w14:paraId="5C9B3A38" w14:textId="6A7E7A20" w:rsidR="00A4069D" w:rsidRPr="009B3BF7" w:rsidRDefault="00900428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3-2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If you answered “yes”, which NGAP message should be used?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839"/>
        <w:gridCol w:w="6570"/>
      </w:tblGrid>
      <w:tr w:rsidR="00A4069D" w:rsidRPr="009B3BF7" w14:paraId="7F10E01C" w14:textId="77777777" w:rsidTr="00423477">
        <w:trPr>
          <w:trHeight w:val="325"/>
        </w:trPr>
        <w:tc>
          <w:tcPr>
            <w:tcW w:w="1378" w:type="dxa"/>
          </w:tcPr>
          <w:p w14:paraId="4A15604B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839" w:type="dxa"/>
          </w:tcPr>
          <w:p w14:paraId="311BF0F1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6570" w:type="dxa"/>
          </w:tcPr>
          <w:p w14:paraId="17F72346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A4069D" w:rsidRPr="009B3BF7" w14:paraId="06A55083" w14:textId="77777777" w:rsidTr="00423477">
        <w:trPr>
          <w:trHeight w:val="357"/>
        </w:trPr>
        <w:tc>
          <w:tcPr>
            <w:tcW w:w="1378" w:type="dxa"/>
          </w:tcPr>
          <w:p w14:paraId="45728E67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839" w:type="dxa"/>
          </w:tcPr>
          <w:p w14:paraId="3511C00D" w14:textId="30F6E25D" w:rsidR="00A4069D" w:rsidRDefault="00423477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Q3-1: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Liaise SA5</w:t>
            </w:r>
            <w:r w:rsidR="00661B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56CDE58D" w14:textId="701CF58F" w:rsidR="00423477" w:rsidRPr="009B3BF7" w:rsidRDefault="00423477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Q3-2: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Depends on SA5 answer.</w:t>
            </w:r>
          </w:p>
        </w:tc>
        <w:tc>
          <w:tcPr>
            <w:tcW w:w="6570" w:type="dxa"/>
          </w:tcPr>
          <w:p w14:paraId="33EC2DC9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4069D" w:rsidRPr="009B3BF7" w14:paraId="636C82AA" w14:textId="77777777" w:rsidTr="00423477">
        <w:trPr>
          <w:trHeight w:val="342"/>
        </w:trPr>
        <w:tc>
          <w:tcPr>
            <w:tcW w:w="1378" w:type="dxa"/>
          </w:tcPr>
          <w:p w14:paraId="0F0E78ED" w14:textId="72560E23" w:rsidR="00A4069D" w:rsidRPr="009B3BF7" w:rsidRDefault="000F062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839" w:type="dxa"/>
          </w:tcPr>
          <w:p w14:paraId="3941CC94" w14:textId="30CE1045" w:rsidR="00A4069D" w:rsidRPr="009B3BF7" w:rsidRDefault="000F062D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Unclear</w:t>
            </w:r>
          </w:p>
        </w:tc>
        <w:tc>
          <w:tcPr>
            <w:tcW w:w="6570" w:type="dxa"/>
          </w:tcPr>
          <w:p w14:paraId="5F21C074" w14:textId="1BA872D3" w:rsidR="00C961F3" w:rsidRDefault="00C961F3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Is this proposal specific to s-based QoE or or m-based QoE or both?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(Not sure why core network needs to be involved at least for m-based QoE)</w:t>
            </w:r>
          </w:p>
          <w:p w14:paraId="2C521140" w14:textId="049BEEB2" w:rsidR="00DF5D0B" w:rsidRPr="009B3BF7" w:rsidRDefault="00F810D6" w:rsidP="00AC126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Also, what is recording session indication? Is this same as the session start/end indication? </w:t>
            </w:r>
            <w:r w:rsidR="003120BC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If not, does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NG-RAN </w:t>
            </w:r>
            <w:r w:rsidR="003120BC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need UE to indicate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this recording session indication </w:t>
            </w:r>
            <w:r w:rsidR="003120BC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over Uu as well?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800188" w:rsidRPr="009B3BF7" w14:paraId="7C08B76B" w14:textId="77777777" w:rsidTr="00423477">
        <w:trPr>
          <w:trHeight w:val="325"/>
        </w:trPr>
        <w:tc>
          <w:tcPr>
            <w:tcW w:w="1378" w:type="dxa"/>
          </w:tcPr>
          <w:p w14:paraId="54DD995C" w14:textId="537751B7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839" w:type="dxa"/>
          </w:tcPr>
          <w:p w14:paraId="545143F3" w14:textId="2386B678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ot sure</w:t>
            </w:r>
          </w:p>
        </w:tc>
        <w:tc>
          <w:tcPr>
            <w:tcW w:w="6570" w:type="dxa"/>
          </w:tcPr>
          <w:p w14:paraId="4CA89FD6" w14:textId="0212DD09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We don’t see anything broken so far.</w:t>
            </w:r>
          </w:p>
        </w:tc>
      </w:tr>
      <w:tr w:rsidR="00031FD6" w:rsidRPr="009B3BF7" w14:paraId="04EEEEC2" w14:textId="77777777" w:rsidTr="00423477">
        <w:trPr>
          <w:trHeight w:val="325"/>
        </w:trPr>
        <w:tc>
          <w:tcPr>
            <w:tcW w:w="1378" w:type="dxa"/>
          </w:tcPr>
          <w:p w14:paraId="75718C8A" w14:textId="0D6C03F7" w:rsidR="00031FD6" w:rsidRPr="009B3BF7" w:rsidRDefault="00031FD6" w:rsidP="00031FD6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hina Unicom</w:t>
            </w:r>
          </w:p>
        </w:tc>
        <w:tc>
          <w:tcPr>
            <w:tcW w:w="1839" w:type="dxa"/>
          </w:tcPr>
          <w:p w14:paraId="03E0D661" w14:textId="77777777" w:rsidR="00031FD6" w:rsidRDefault="00031FD6" w:rsidP="00031FD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3-1: Yes</w:t>
            </w:r>
          </w:p>
          <w:p w14:paraId="20296FF6" w14:textId="638CEAD4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Q3-2: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New message</w:t>
            </w:r>
          </w:p>
        </w:tc>
        <w:tc>
          <w:tcPr>
            <w:tcW w:w="6570" w:type="dxa"/>
          </w:tcPr>
          <w:p w14:paraId="70B90482" w14:textId="4DE7F96F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Since QoE will not reuse the Trace procedure, the TR/TRSR are also different with trace procedure, new message may need to be defined to inform QoE </w:t>
            </w:r>
            <w:r w:rsidRPr="00430EA7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specific information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to 5GC.</w:t>
            </w:r>
            <w:r w:rsidR="00F34B6D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9A1435" w:rsidRPr="009B3BF7" w14:paraId="2549E3C0" w14:textId="77777777" w:rsidTr="00685105">
        <w:trPr>
          <w:trHeight w:val="325"/>
        </w:trPr>
        <w:tc>
          <w:tcPr>
            <w:tcW w:w="1378" w:type="dxa"/>
          </w:tcPr>
          <w:p w14:paraId="0B1197C6" w14:textId="77777777" w:rsidR="009A1435" w:rsidRPr="009B3BF7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CATT</w:t>
            </w:r>
          </w:p>
        </w:tc>
        <w:tc>
          <w:tcPr>
            <w:tcW w:w="1839" w:type="dxa"/>
          </w:tcPr>
          <w:p w14:paraId="3CF83576" w14:textId="77777777" w:rsidR="009A1435" w:rsidRPr="00FD316F" w:rsidRDefault="009A1435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 w:rsidRPr="004234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Q3-1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0"/>
                <w:szCs w:val="20"/>
                <w:lang w:val="en-GB" w:eastAsia="zh-CN"/>
              </w:rPr>
              <w:t>:agree to LS SA5</w:t>
            </w:r>
          </w:p>
        </w:tc>
        <w:tc>
          <w:tcPr>
            <w:tcW w:w="6570" w:type="dxa"/>
          </w:tcPr>
          <w:p w14:paraId="1927C1FE" w14:textId="7BD60E9F" w:rsidR="009A1435" w:rsidRPr="009B3BF7" w:rsidRDefault="004668CB" w:rsidP="004668CB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Response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to QC, the detail may be found in 28.405. the proposal </w:t>
            </w:r>
            <w:r w:rsidR="009A1435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</w:t>
            </w:r>
            <w:r w:rsidR="009A143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</w:t>
            </w:r>
            <w:r w:rsidR="009A1435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s </w:t>
            </w:r>
            <w:r w:rsidR="009A143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only for S-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based QoE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F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or M-based QoE, the </w:t>
            </w:r>
            <w:r w:rsidRPr="004668CB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recording session indication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is sent to OAM directly.</w:t>
            </w:r>
          </w:p>
        </w:tc>
      </w:tr>
      <w:tr w:rsidR="00031FD6" w:rsidRPr="009B3BF7" w14:paraId="096C1797" w14:textId="77777777" w:rsidTr="00423477">
        <w:trPr>
          <w:trHeight w:val="342"/>
        </w:trPr>
        <w:tc>
          <w:tcPr>
            <w:tcW w:w="1378" w:type="dxa"/>
          </w:tcPr>
          <w:p w14:paraId="5D4A41F2" w14:textId="30C0202C" w:rsidR="00031FD6" w:rsidRPr="009A1435" w:rsidRDefault="00C91C8B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Samsung</w:t>
            </w:r>
          </w:p>
        </w:tc>
        <w:tc>
          <w:tcPr>
            <w:tcW w:w="1839" w:type="dxa"/>
          </w:tcPr>
          <w:p w14:paraId="04D0C6F8" w14:textId="1EEB54E4" w:rsidR="00031FD6" w:rsidRPr="009B3BF7" w:rsidRDefault="00BE4831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o</w:t>
            </w:r>
          </w:p>
        </w:tc>
        <w:tc>
          <w:tcPr>
            <w:tcW w:w="6570" w:type="dxa"/>
          </w:tcPr>
          <w:p w14:paraId="1A141376" w14:textId="55A3C029" w:rsidR="00BE4831" w:rsidRDefault="00BE4831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state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d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in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TS 28.405 for s-based QMC below</w:t>
            </w:r>
          </w:p>
          <w:p w14:paraId="4F2C5370" w14:textId="77777777" w:rsidR="00BE4831" w:rsidRDefault="00BE4831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  <w:p w14:paraId="72BB84B1" w14:textId="77777777" w:rsidR="00BE4831" w:rsidRPr="00BE4831" w:rsidRDefault="00BE4831" w:rsidP="00BE4831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8)</w:t>
            </w: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ab/>
              <w:t xml:space="preserve">The application layer sends the AT command +CAPPLEVMR including </w:t>
            </w: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en-US"/>
              </w:rPr>
              <w:t>a recording session indication that indicates that a session is started to the access stratum.</w:t>
            </w:r>
          </w:p>
          <w:p w14:paraId="1EDE69B9" w14:textId="77777777" w:rsidR="00BE4831" w:rsidRPr="00BE4831" w:rsidRDefault="00BE4831" w:rsidP="00BE4831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9)</w:t>
            </w: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ab/>
              <w:t xml:space="preserve">The UE sends the message </w:t>
            </w:r>
            <w:r w:rsidRPr="00BE4831">
              <w:rPr>
                <w:rFonts w:ascii="Courier New" w:eastAsia="Times New Roman" w:hAnsi="Courier New" w:cs="Courier New"/>
                <w:sz w:val="20"/>
                <w:szCs w:val="20"/>
                <w:lang w:val="en-GB" w:eastAsia="en-US"/>
              </w:rPr>
              <w:t>MeasReportAppLayer</w:t>
            </w: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 xml:space="preserve"> including the recording session indication to the eNB.</w:t>
            </w:r>
          </w:p>
          <w:p w14:paraId="558A9594" w14:textId="77777777" w:rsidR="00BE4831" w:rsidRPr="00BE4831" w:rsidRDefault="00BE4831" w:rsidP="00BE4831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10)</w:t>
            </w: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ab/>
            </w:r>
            <w:r w:rsidRPr="00BE483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en-US"/>
              </w:rPr>
              <w:t>The eNB sends a notification including the recording session indication to the NM.</w:t>
            </w:r>
          </w:p>
          <w:p w14:paraId="586DDAB4" w14:textId="514399D6" w:rsidR="00BE4831" w:rsidRPr="00BE4831" w:rsidRDefault="00BE4831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sv-SE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sv-SE" w:eastAsia="zh-CN"/>
              </w:rPr>
              <w:t>The recoridng session indicaiton is the same as session start/end indication, the eNB will send it to the NM, i.e. OAM, instead of 5GC.</w:t>
            </w:r>
          </w:p>
        </w:tc>
      </w:tr>
      <w:tr w:rsidR="00031FD6" w:rsidRPr="009B3BF7" w14:paraId="6C6D6E44" w14:textId="77777777" w:rsidTr="00423477">
        <w:trPr>
          <w:trHeight w:val="342"/>
        </w:trPr>
        <w:tc>
          <w:tcPr>
            <w:tcW w:w="1378" w:type="dxa"/>
          </w:tcPr>
          <w:p w14:paraId="12D1BA6C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</w:tcPr>
          <w:p w14:paraId="12E98E6A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</w:tcPr>
          <w:p w14:paraId="25092F6F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031FD6" w:rsidRPr="009B3BF7" w14:paraId="35152CE4" w14:textId="77777777" w:rsidTr="004234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B4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0EC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E46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031FD6" w:rsidRPr="009B3BF7" w14:paraId="1F1DECC0" w14:textId="77777777" w:rsidTr="00423477">
        <w:trPr>
          <w:trHeight w:val="325"/>
        </w:trPr>
        <w:tc>
          <w:tcPr>
            <w:tcW w:w="1378" w:type="dxa"/>
          </w:tcPr>
          <w:p w14:paraId="0867EB2B" w14:textId="77777777" w:rsidR="00031FD6" w:rsidRPr="009B3BF7" w:rsidRDefault="00031FD6" w:rsidP="00031FD6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839" w:type="dxa"/>
          </w:tcPr>
          <w:p w14:paraId="15B576EA" w14:textId="77777777" w:rsidR="00031FD6" w:rsidRPr="009B3BF7" w:rsidRDefault="00031FD6" w:rsidP="00031FD6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6570" w:type="dxa"/>
          </w:tcPr>
          <w:p w14:paraId="6D9F9B83" w14:textId="77777777" w:rsidR="00031FD6" w:rsidRPr="009B3BF7" w:rsidRDefault="00031FD6" w:rsidP="00031FD6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709E1376" w14:textId="5A10347A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3ABA0509" w14:textId="0D600682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1EF1AF5D" w14:textId="4B5B87A3" w:rsidR="00A4069D" w:rsidRPr="00704250" w:rsidRDefault="00704250" w:rsidP="00577BE0">
      <w:pPr>
        <w:pStyle w:val="2"/>
        <w:rPr>
          <w:rFonts w:ascii="Arial" w:hAnsi="Arial" w:cs="Arial"/>
          <w:lang w:val="en-GB"/>
        </w:rPr>
      </w:pPr>
      <w:r w:rsidRPr="00704250">
        <w:rPr>
          <w:rFonts w:ascii="Arial" w:hAnsi="Arial" w:cs="Arial"/>
          <w:lang w:val="en-GB"/>
        </w:rPr>
        <w:t>Indicating reporting pause/resume to the MCE</w:t>
      </w:r>
    </w:p>
    <w:p w14:paraId="167AEDC0" w14:textId="718A0792" w:rsidR="00900428" w:rsidRDefault="00900428" w:rsidP="00577BE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CATT2206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704250" w:rsidRPr="00704250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consult SA5 with respect to sending the pause/resume indication to the MCE</w:t>
      </w:r>
      <w:r w:rsidR="00577BE0">
        <w:rPr>
          <w:rFonts w:ascii="Times New Roman" w:hAnsi="Times New Roman" w:cs="Times New Roman"/>
          <w:color w:val="000000"/>
          <w:sz w:val="20"/>
          <w:szCs w:val="20"/>
          <w:lang w:val="en-GB"/>
        </w:rPr>
        <w:t>. The proposal is based on a TBC from RAN3#114-e.</w:t>
      </w:r>
    </w:p>
    <w:p w14:paraId="32F9D95E" w14:textId="7C88545D" w:rsidR="00A4069D" w:rsidRPr="009B3BF7" w:rsidRDefault="00A4069D" w:rsidP="00577BE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</w:t>
      </w:r>
      <w:r w:rsidR="00577BE0">
        <w:rPr>
          <w:rFonts w:ascii="Times New Roman" w:hAnsi="Times New Roman" w:cs="Times New Roman"/>
          <w:b/>
          <w:bCs/>
          <w:sz w:val="20"/>
          <w:szCs w:val="20"/>
          <w:lang w:val="en-GB"/>
        </w:rPr>
        <w:t>4</w:t>
      </w: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: Should</w:t>
      </w:r>
      <w:r w:rsidR="00577BE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RAN3 liaise SA5, asking whether the TS 28.404 requires that pause/resume indication need</w:t>
      </w:r>
      <w:r w:rsidR="000F2C4F">
        <w:rPr>
          <w:rFonts w:ascii="Times New Roman" w:hAnsi="Times New Roman" w:cs="Times New Roman"/>
          <w:b/>
          <w:bCs/>
          <w:sz w:val="20"/>
          <w:szCs w:val="20"/>
          <w:lang w:val="en-GB"/>
        </w:rPr>
        <w:t>s</w:t>
      </w:r>
      <w:r w:rsidR="00577BE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to be sent to the MCE?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A4069D" w:rsidRPr="009B3BF7" w14:paraId="383DB391" w14:textId="77777777" w:rsidTr="002C01C9">
        <w:trPr>
          <w:trHeight w:val="325"/>
        </w:trPr>
        <w:tc>
          <w:tcPr>
            <w:tcW w:w="1378" w:type="dxa"/>
          </w:tcPr>
          <w:p w14:paraId="3614AFEF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52AE33EC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000AC53F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A4069D" w:rsidRPr="009B3BF7" w14:paraId="37C8E1DF" w14:textId="77777777" w:rsidTr="002C01C9">
        <w:trPr>
          <w:trHeight w:val="357"/>
        </w:trPr>
        <w:tc>
          <w:tcPr>
            <w:tcW w:w="1378" w:type="dxa"/>
          </w:tcPr>
          <w:p w14:paraId="321E8590" w14:textId="77777777" w:rsidR="00A4069D" w:rsidRPr="009B3BF7" w:rsidRDefault="00A4069D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57F6BC27" w14:textId="28A5F3C1" w:rsidR="00A4069D" w:rsidRPr="00A0415F" w:rsidRDefault="00A0415F" w:rsidP="00577BE0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041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0" w:type="dxa"/>
          </w:tcPr>
          <w:p w14:paraId="2F9D1204" w14:textId="139F4A5B" w:rsidR="00A4069D" w:rsidRPr="000F2C4F" w:rsidRDefault="000F2C4F" w:rsidP="00577BE0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2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However, it is unclear what RAN3 should do with this information.</w:t>
            </w:r>
          </w:p>
        </w:tc>
      </w:tr>
      <w:tr w:rsidR="00A4069D" w:rsidRPr="009B3BF7" w14:paraId="66405CE0" w14:textId="77777777" w:rsidTr="002C01C9">
        <w:trPr>
          <w:trHeight w:val="342"/>
        </w:trPr>
        <w:tc>
          <w:tcPr>
            <w:tcW w:w="1378" w:type="dxa"/>
          </w:tcPr>
          <w:p w14:paraId="308DE741" w14:textId="00A8EF39" w:rsidR="00A4069D" w:rsidRPr="009B3BF7" w:rsidRDefault="00AC126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Qualcomm</w:t>
            </w:r>
          </w:p>
        </w:tc>
        <w:tc>
          <w:tcPr>
            <w:tcW w:w="1209" w:type="dxa"/>
          </w:tcPr>
          <w:p w14:paraId="4EED67C7" w14:textId="389A2207" w:rsidR="00A4069D" w:rsidRPr="009B3BF7" w:rsidRDefault="00AC1265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Yes</w:t>
            </w:r>
          </w:p>
        </w:tc>
        <w:tc>
          <w:tcPr>
            <w:tcW w:w="7200" w:type="dxa"/>
          </w:tcPr>
          <w:p w14:paraId="254CF175" w14:textId="77777777" w:rsidR="00A4069D" w:rsidRDefault="00DF5D0B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In addition to pause/resume, w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e should also check with SA5 whether RAN should indicate to MCE when a QoE configuration has been released. This is important because if MCE doesn’t know when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an 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NG-RAN triggers a QoE release, it </w:t>
            </w:r>
            <w:r w:rsidR="00632E53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might be </w:t>
            </w:r>
            <w:r w:rsidR="00AC1265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awaiting QoE reports which will never arrive and cause misunderstanding.</w:t>
            </w:r>
          </w:p>
          <w:p w14:paraId="04B31BDB" w14:textId="7E267B16" w:rsidR="00632E53" w:rsidRPr="009B3BF7" w:rsidRDefault="00632E53" w:rsidP="00577BE0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800188" w:rsidRPr="009B3BF7" w14:paraId="686BCE96" w14:textId="77777777" w:rsidTr="002C01C9">
        <w:trPr>
          <w:trHeight w:val="325"/>
        </w:trPr>
        <w:tc>
          <w:tcPr>
            <w:tcW w:w="1378" w:type="dxa"/>
          </w:tcPr>
          <w:p w14:paraId="4E37DFAE" w14:textId="6A18B725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uawei</w:t>
            </w:r>
          </w:p>
        </w:tc>
        <w:tc>
          <w:tcPr>
            <w:tcW w:w="1209" w:type="dxa"/>
          </w:tcPr>
          <w:p w14:paraId="508CFC0A" w14:textId="5136EAEB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</w:t>
            </w:r>
          </w:p>
        </w:tc>
        <w:tc>
          <w:tcPr>
            <w:tcW w:w="7200" w:type="dxa"/>
          </w:tcPr>
          <w:p w14:paraId="4BADDFB4" w14:textId="0600B0D0" w:rsidR="00800188" w:rsidRPr="009B3BF7" w:rsidRDefault="00800188" w:rsidP="00800188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94715F" w:rsidRPr="009B3BF7" w14:paraId="0C5A2262" w14:textId="77777777" w:rsidTr="002C01C9">
        <w:trPr>
          <w:trHeight w:val="325"/>
        </w:trPr>
        <w:tc>
          <w:tcPr>
            <w:tcW w:w="1378" w:type="dxa"/>
          </w:tcPr>
          <w:p w14:paraId="0AE1344D" w14:textId="29B14A89" w:rsidR="0094715F" w:rsidRPr="009B3BF7" w:rsidRDefault="0094715F" w:rsidP="0094715F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hina Unicom</w:t>
            </w:r>
          </w:p>
        </w:tc>
        <w:tc>
          <w:tcPr>
            <w:tcW w:w="1209" w:type="dxa"/>
          </w:tcPr>
          <w:p w14:paraId="7CA01F59" w14:textId="118535E6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 w14:paraId="25DF8E12" w14:textId="3E718103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The overload situation should be send to MCE to avoid the unnecessary QoE deactivation and to avoid new QoE configuration. Anyway, liaise SA5 is needed.</w:t>
            </w:r>
          </w:p>
        </w:tc>
      </w:tr>
      <w:tr w:rsidR="004668CB" w:rsidRPr="009B3BF7" w14:paraId="44523D9F" w14:textId="77777777" w:rsidTr="00685105">
        <w:trPr>
          <w:trHeight w:val="325"/>
        </w:trPr>
        <w:tc>
          <w:tcPr>
            <w:tcW w:w="1378" w:type="dxa"/>
          </w:tcPr>
          <w:p w14:paraId="4C21DF6A" w14:textId="77777777" w:rsidR="004668CB" w:rsidRPr="009B3BF7" w:rsidRDefault="004668CB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CATT</w:t>
            </w:r>
          </w:p>
        </w:tc>
        <w:tc>
          <w:tcPr>
            <w:tcW w:w="1209" w:type="dxa"/>
          </w:tcPr>
          <w:p w14:paraId="4A84B528" w14:textId="77777777" w:rsidR="004668CB" w:rsidRPr="009B3BF7" w:rsidRDefault="004668CB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</w:p>
        </w:tc>
        <w:tc>
          <w:tcPr>
            <w:tcW w:w="7200" w:type="dxa"/>
          </w:tcPr>
          <w:p w14:paraId="60269C97" w14:textId="77777777" w:rsidR="004668CB" w:rsidRPr="009B3BF7" w:rsidRDefault="004668CB" w:rsidP="0068510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94715F" w:rsidRPr="009B3BF7" w14:paraId="0E6246C3" w14:textId="77777777" w:rsidTr="002C01C9">
        <w:trPr>
          <w:trHeight w:val="342"/>
        </w:trPr>
        <w:tc>
          <w:tcPr>
            <w:tcW w:w="1378" w:type="dxa"/>
          </w:tcPr>
          <w:p w14:paraId="78E5B4E8" w14:textId="6D7FF1C2" w:rsidR="0094715F" w:rsidRPr="009B3BF7" w:rsidRDefault="00BE4831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Samsung </w:t>
            </w:r>
          </w:p>
        </w:tc>
        <w:tc>
          <w:tcPr>
            <w:tcW w:w="1209" w:type="dxa"/>
          </w:tcPr>
          <w:p w14:paraId="1F5A2809" w14:textId="5D6A5653" w:rsidR="0094715F" w:rsidRPr="009B3BF7" w:rsidRDefault="00BE4831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Yes but </w:t>
            </w:r>
          </w:p>
        </w:tc>
        <w:tc>
          <w:tcPr>
            <w:tcW w:w="7200" w:type="dxa"/>
          </w:tcPr>
          <w:p w14:paraId="0E82978B" w14:textId="1D7091B0" w:rsidR="0094715F" w:rsidRDefault="00BE4831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If it’s to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avoid the unnecessary QoE deactivation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, </w:t>
            </w:r>
            <w:r w:rsidR="00075D8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the indication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should be sent to </w:t>
            </w:r>
            <w:r w:rsidRPr="00BE48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>OAM instead of MCE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, but we’re fine to liaise SA5 to check which </w:t>
            </w:r>
            <w:r w:rsidR="00075D8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is going to use this indication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  <w:p w14:paraId="2637C3AF" w14:textId="2B7E04E2" w:rsidR="00BE4831" w:rsidRDefault="00BE4831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And </w:t>
            </w:r>
            <w:r w:rsidR="00075D8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before that, let’s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make thing clear here,</w:t>
            </w:r>
          </w:p>
          <w:p w14:paraId="5587E387" w14:textId="29FFBCBB" w:rsidR="00BE4831" w:rsidRPr="00BE4831" w:rsidRDefault="00BE4831" w:rsidP="0094715F">
            <w:pPr>
              <w:spacing w:before="120"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BE48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>MCE is responsible for collect</w:t>
            </w:r>
            <w:r w:rsidR="00075D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>ing</w:t>
            </w:r>
            <w:r w:rsidRPr="00BE48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 xml:space="preserve"> and </w:t>
            </w:r>
            <w:r w:rsidR="00075D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>analysing</w:t>
            </w:r>
            <w:r w:rsidRPr="00BE48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 xml:space="preserve"> the QoE report </w:t>
            </w:r>
          </w:p>
          <w:p w14:paraId="7603B567" w14:textId="775E69D9" w:rsidR="00BE4831" w:rsidRDefault="00BE4831" w:rsidP="0094715F">
            <w:pPr>
              <w:spacing w:before="120"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BE48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>OAM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 xml:space="preserve"> </w:t>
            </w:r>
            <w:r w:rsidRPr="00BE48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GB" w:eastAsia="zh-CN"/>
              </w:rPr>
              <w:t>(i.e. NM) is responsible for QoE (de)activation</w:t>
            </w:r>
          </w:p>
          <w:p w14:paraId="60BEAF91" w14:textId="28AE5F6E" w:rsidR="00BE4831" w:rsidRPr="009B3BF7" w:rsidRDefault="00BE4831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Please companies correct me if my understanding is wrong.</w:t>
            </w:r>
          </w:p>
        </w:tc>
      </w:tr>
      <w:tr w:rsidR="0094715F" w:rsidRPr="009B3BF7" w14:paraId="3AE13E14" w14:textId="77777777" w:rsidTr="002C01C9">
        <w:trPr>
          <w:trHeight w:val="342"/>
        </w:trPr>
        <w:tc>
          <w:tcPr>
            <w:tcW w:w="1378" w:type="dxa"/>
          </w:tcPr>
          <w:p w14:paraId="6B416EB2" w14:textId="77777777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484083EC" w14:textId="77777777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6E11C5E1" w14:textId="77777777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94715F" w:rsidRPr="009B3BF7" w14:paraId="4ABE3618" w14:textId="77777777" w:rsidTr="002C01C9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A1F" w14:textId="77777777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4B2" w14:textId="77777777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6D6" w14:textId="77777777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94715F" w:rsidRPr="009B3BF7" w14:paraId="705BB2F6" w14:textId="77777777" w:rsidTr="002C01C9">
        <w:trPr>
          <w:trHeight w:val="325"/>
        </w:trPr>
        <w:tc>
          <w:tcPr>
            <w:tcW w:w="1378" w:type="dxa"/>
          </w:tcPr>
          <w:p w14:paraId="7E2E1533" w14:textId="77777777" w:rsidR="0094715F" w:rsidRPr="009B3BF7" w:rsidRDefault="0094715F" w:rsidP="0094715F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48F0479A" w14:textId="77777777" w:rsidR="0094715F" w:rsidRPr="009B3BF7" w:rsidRDefault="0094715F" w:rsidP="0094715F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44F7C55F" w14:textId="77777777" w:rsidR="0094715F" w:rsidRPr="009B3BF7" w:rsidRDefault="0094715F" w:rsidP="0094715F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37E673B5" w14:textId="08ED8553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1B2081AB" w14:textId="491B3FA8" w:rsidR="00A4069D" w:rsidRDefault="00A4069D" w:rsidP="00577BE0">
      <w:pPr>
        <w:ind w:left="-90"/>
        <w:rPr>
          <w:rFonts w:ascii="Times New Roman" w:hAnsi="Times New Roman" w:cs="Times New Roman"/>
          <w:sz w:val="20"/>
          <w:szCs w:val="22"/>
          <w:lang w:val="en-GB"/>
        </w:rPr>
      </w:pPr>
    </w:p>
    <w:p w14:paraId="237ECE07" w14:textId="4CDEAB16" w:rsidR="00A4069D" w:rsidRPr="00577BE0" w:rsidRDefault="00577BE0" w:rsidP="00577BE0">
      <w:pPr>
        <w:pStyle w:val="2"/>
        <w:rPr>
          <w:rFonts w:ascii="Arial" w:hAnsi="Arial" w:cs="Arial"/>
          <w:lang w:val="en-GB"/>
        </w:rPr>
      </w:pPr>
      <w:r w:rsidRPr="00577BE0">
        <w:rPr>
          <w:rFonts w:ascii="Arial" w:hAnsi="Arial" w:cs="Arial"/>
          <w:lang w:val="en-GB"/>
        </w:rPr>
        <w:t>Stage-3 details of NGAP signalling</w:t>
      </w:r>
    </w:p>
    <w:p w14:paraId="3565F543" w14:textId="034A3F28" w:rsidR="00A4069D" w:rsidRDefault="00D54E36" w:rsidP="0040606F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54E3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[Hua2222] </w:t>
      </w:r>
      <w:r w:rsidRPr="00D54E36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D54E3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[Eri</w:t>
      </w:r>
      <w:r w:rsidR="003B04F3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="00925650">
        <w:rPr>
          <w:rFonts w:ascii="Times New Roman" w:hAnsi="Times New Roman" w:cs="Times New Roman"/>
          <w:b/>
          <w:bCs/>
          <w:sz w:val="20"/>
          <w:szCs w:val="20"/>
          <w:lang w:val="en-GB"/>
        </w:rPr>
        <w:t>507</w:t>
      </w:r>
      <w:r w:rsidRPr="00D54E3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] </w:t>
      </w:r>
      <w:r w:rsidRPr="00D54E36">
        <w:rPr>
          <w:rFonts w:ascii="Times New Roman" w:hAnsi="Times New Roman" w:cs="Times New Roman"/>
          <w:sz w:val="20"/>
          <w:szCs w:val="20"/>
          <w:lang w:val="en-GB"/>
        </w:rPr>
        <w:t>propose several stage-3 details for NGAP signalling</w:t>
      </w:r>
      <w:r w:rsidRPr="0040606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CF7384" w:rsidRPr="0040606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0606F" w:rsidRPr="0032429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[Nok2107]</w:t>
      </w:r>
      <w:r w:rsidR="0040606F" w:rsidRPr="0040606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proposes several rapporteur corrections.</w:t>
      </w:r>
    </w:p>
    <w:p w14:paraId="1410516B" w14:textId="1B8FA614" w:rsidR="0032429C" w:rsidRDefault="0032429C" w:rsidP="0040606F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32429C">
        <w:rPr>
          <w:rFonts w:ascii="Times New Roman" w:hAnsi="Times New Roman" w:cs="Times New Roman"/>
          <w:color w:val="000000"/>
          <w:sz w:val="20"/>
          <w:szCs w:val="20"/>
          <w:lang w:val="en-GB"/>
        </w:rPr>
        <w:t>A draft TP for the QOE BL CR for TS 38.413 is uploaded in the CB folder.</w:t>
      </w:r>
    </w:p>
    <w:sectPr w:rsidR="0032429C" w:rsidSect="0078493E">
      <w:footerReference w:type="default" r:id="rId13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99E2" w14:textId="77777777" w:rsidR="004A3751" w:rsidRDefault="004A3751">
      <w:pPr>
        <w:spacing w:after="0"/>
      </w:pPr>
      <w:r>
        <w:separator/>
      </w:r>
    </w:p>
  </w:endnote>
  <w:endnote w:type="continuationSeparator" w:id="0">
    <w:p w14:paraId="120ECB8A" w14:textId="77777777" w:rsidR="004A3751" w:rsidRDefault="004A3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charset w:val="80"/>
    <w:family w:val="roman"/>
    <w:pitch w:val="default"/>
    <w:sig w:usb0="00000000" w:usb1="00000000" w:usb2="00000010" w:usb3="00000000" w:csb0="0002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DC7" w14:textId="5E9CE3BA" w:rsidR="00F817E5" w:rsidRDefault="003E7EA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D81" w:rsidRPr="00075D81">
      <w:rPr>
        <w:noProof/>
        <w:lang w:val="sv-SE" w:eastAsia="sv-SE"/>
      </w:rPr>
      <w:t>4</w:t>
    </w:r>
    <w:r>
      <w:rPr>
        <w:lang w:val="sv-SE" w:eastAsia="sv-SE"/>
      </w:rPr>
      <w:fldChar w:fldCharType="end"/>
    </w:r>
  </w:p>
  <w:p w14:paraId="0DA74BC5" w14:textId="77777777" w:rsidR="00F817E5" w:rsidRDefault="004A37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0C2F" w14:textId="77777777" w:rsidR="004A3751" w:rsidRDefault="004A3751">
      <w:pPr>
        <w:spacing w:after="0"/>
      </w:pPr>
      <w:r>
        <w:separator/>
      </w:r>
    </w:p>
  </w:footnote>
  <w:footnote w:type="continuationSeparator" w:id="0">
    <w:p w14:paraId="5BBF06B0" w14:textId="77777777" w:rsidR="004A3751" w:rsidRDefault="004A37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ACA"/>
    <w:multiLevelType w:val="hybridMultilevel"/>
    <w:tmpl w:val="C150B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B14"/>
    <w:multiLevelType w:val="hybridMultilevel"/>
    <w:tmpl w:val="B552BC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22990EA2"/>
    <w:multiLevelType w:val="hybridMultilevel"/>
    <w:tmpl w:val="41AA7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17754F9"/>
    <w:multiLevelType w:val="hybridMultilevel"/>
    <w:tmpl w:val="29D40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283B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2BFE"/>
    <w:multiLevelType w:val="hybridMultilevel"/>
    <w:tmpl w:val="D7F680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2681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0495043"/>
    <w:multiLevelType w:val="hybridMultilevel"/>
    <w:tmpl w:val="C2D05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09BA"/>
    <w:multiLevelType w:val="hybridMultilevel"/>
    <w:tmpl w:val="99A26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A6E2F"/>
    <w:multiLevelType w:val="hybridMultilevel"/>
    <w:tmpl w:val="A052E97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857B0F"/>
    <w:multiLevelType w:val="hybridMultilevel"/>
    <w:tmpl w:val="1DEC4D9E"/>
    <w:lvl w:ilvl="0" w:tplc="351E306A">
      <w:start w:val="17"/>
      <w:numFmt w:val="bullet"/>
      <w:lvlText w:val="-"/>
      <w:lvlJc w:val="left"/>
      <w:pPr>
        <w:ind w:left="1314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4" w15:restartNumberingAfterBreak="0">
    <w:nsid w:val="5D967D6B"/>
    <w:multiLevelType w:val="hybridMultilevel"/>
    <w:tmpl w:val="6D9C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47BCF"/>
    <w:multiLevelType w:val="hybridMultilevel"/>
    <w:tmpl w:val="10BC7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402B7"/>
    <w:multiLevelType w:val="hybridMultilevel"/>
    <w:tmpl w:val="8B584C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abstractNum w:abstractNumId="18" w15:restartNumberingAfterBreak="0">
    <w:nsid w:val="722543E6"/>
    <w:multiLevelType w:val="hybridMultilevel"/>
    <w:tmpl w:val="1B12E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A7C42"/>
    <w:multiLevelType w:val="hybridMultilevel"/>
    <w:tmpl w:val="6ADE3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5"/>
  </w:num>
  <w:num w:numId="19">
    <w:abstractNumId w:val="16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30A30"/>
    <w:rsid w:val="00031FD6"/>
    <w:rsid w:val="00041BF4"/>
    <w:rsid w:val="00041DD2"/>
    <w:rsid w:val="00042129"/>
    <w:rsid w:val="00052ABB"/>
    <w:rsid w:val="000618C3"/>
    <w:rsid w:val="000626BD"/>
    <w:rsid w:val="00075D81"/>
    <w:rsid w:val="00076F2D"/>
    <w:rsid w:val="00082EAB"/>
    <w:rsid w:val="000A7190"/>
    <w:rsid w:val="000B0458"/>
    <w:rsid w:val="000B4A83"/>
    <w:rsid w:val="000B53D3"/>
    <w:rsid w:val="000C4B23"/>
    <w:rsid w:val="000F062D"/>
    <w:rsid w:val="000F2C4F"/>
    <w:rsid w:val="000F57E2"/>
    <w:rsid w:val="00104509"/>
    <w:rsid w:val="00110B0F"/>
    <w:rsid w:val="001149F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74EDD"/>
    <w:rsid w:val="00190807"/>
    <w:rsid w:val="00190F49"/>
    <w:rsid w:val="00192E75"/>
    <w:rsid w:val="001A33E8"/>
    <w:rsid w:val="001A6916"/>
    <w:rsid w:val="001A787D"/>
    <w:rsid w:val="001C6E79"/>
    <w:rsid w:val="001D1478"/>
    <w:rsid w:val="001D6182"/>
    <w:rsid w:val="001D6A88"/>
    <w:rsid w:val="001E4FFF"/>
    <w:rsid w:val="001E5520"/>
    <w:rsid w:val="001F3292"/>
    <w:rsid w:val="00200F4A"/>
    <w:rsid w:val="00203D1F"/>
    <w:rsid w:val="00205EB5"/>
    <w:rsid w:val="00206CF3"/>
    <w:rsid w:val="0021041D"/>
    <w:rsid w:val="00217F9A"/>
    <w:rsid w:val="002245B4"/>
    <w:rsid w:val="00234446"/>
    <w:rsid w:val="00234AC7"/>
    <w:rsid w:val="00241BFB"/>
    <w:rsid w:val="00296A85"/>
    <w:rsid w:val="002A3818"/>
    <w:rsid w:val="002B011D"/>
    <w:rsid w:val="002C2FD7"/>
    <w:rsid w:val="002C7B21"/>
    <w:rsid w:val="002D1EC2"/>
    <w:rsid w:val="002D3BFF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20BC"/>
    <w:rsid w:val="00314F9F"/>
    <w:rsid w:val="003223A3"/>
    <w:rsid w:val="0032429C"/>
    <w:rsid w:val="00326839"/>
    <w:rsid w:val="00332625"/>
    <w:rsid w:val="003337D3"/>
    <w:rsid w:val="00334176"/>
    <w:rsid w:val="00341245"/>
    <w:rsid w:val="0034420F"/>
    <w:rsid w:val="00345954"/>
    <w:rsid w:val="00366DE5"/>
    <w:rsid w:val="00367A6B"/>
    <w:rsid w:val="00370C77"/>
    <w:rsid w:val="0037452F"/>
    <w:rsid w:val="00376C2A"/>
    <w:rsid w:val="00380D42"/>
    <w:rsid w:val="003865A8"/>
    <w:rsid w:val="003907BC"/>
    <w:rsid w:val="00390D12"/>
    <w:rsid w:val="00393B5F"/>
    <w:rsid w:val="003A647A"/>
    <w:rsid w:val="003A7E37"/>
    <w:rsid w:val="003B04F3"/>
    <w:rsid w:val="003B7FEA"/>
    <w:rsid w:val="003C0EAB"/>
    <w:rsid w:val="003C3A75"/>
    <w:rsid w:val="003E264C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668CB"/>
    <w:rsid w:val="004764B4"/>
    <w:rsid w:val="004970F8"/>
    <w:rsid w:val="004A3751"/>
    <w:rsid w:val="004A7B2B"/>
    <w:rsid w:val="004B2285"/>
    <w:rsid w:val="004C0B18"/>
    <w:rsid w:val="004D361F"/>
    <w:rsid w:val="004D5F91"/>
    <w:rsid w:val="004F507B"/>
    <w:rsid w:val="005119F9"/>
    <w:rsid w:val="00512281"/>
    <w:rsid w:val="00513D12"/>
    <w:rsid w:val="00514430"/>
    <w:rsid w:val="00523D81"/>
    <w:rsid w:val="0053246D"/>
    <w:rsid w:val="00540E45"/>
    <w:rsid w:val="0054555A"/>
    <w:rsid w:val="00570071"/>
    <w:rsid w:val="00577BE0"/>
    <w:rsid w:val="00587219"/>
    <w:rsid w:val="00597E9D"/>
    <w:rsid w:val="005A0380"/>
    <w:rsid w:val="005A4A66"/>
    <w:rsid w:val="005A59D9"/>
    <w:rsid w:val="005A736B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E3D11"/>
    <w:rsid w:val="005F7AFB"/>
    <w:rsid w:val="0061077A"/>
    <w:rsid w:val="006171AA"/>
    <w:rsid w:val="00624B95"/>
    <w:rsid w:val="006270E6"/>
    <w:rsid w:val="0063001C"/>
    <w:rsid w:val="00632E53"/>
    <w:rsid w:val="00635690"/>
    <w:rsid w:val="00637AC0"/>
    <w:rsid w:val="00642CC6"/>
    <w:rsid w:val="006458E0"/>
    <w:rsid w:val="00646BD2"/>
    <w:rsid w:val="0065160D"/>
    <w:rsid w:val="00652D7E"/>
    <w:rsid w:val="0065508C"/>
    <w:rsid w:val="0065758F"/>
    <w:rsid w:val="00661B26"/>
    <w:rsid w:val="00690F78"/>
    <w:rsid w:val="006A1168"/>
    <w:rsid w:val="006A1383"/>
    <w:rsid w:val="006A5C35"/>
    <w:rsid w:val="006B3398"/>
    <w:rsid w:val="006B474D"/>
    <w:rsid w:val="006B4A96"/>
    <w:rsid w:val="006C0E2F"/>
    <w:rsid w:val="006C2B0F"/>
    <w:rsid w:val="006D1050"/>
    <w:rsid w:val="006D4098"/>
    <w:rsid w:val="006E16D1"/>
    <w:rsid w:val="006F162C"/>
    <w:rsid w:val="006F2543"/>
    <w:rsid w:val="006F3C20"/>
    <w:rsid w:val="006F7E52"/>
    <w:rsid w:val="007002B3"/>
    <w:rsid w:val="00704250"/>
    <w:rsid w:val="00705A36"/>
    <w:rsid w:val="00716045"/>
    <w:rsid w:val="00720FA9"/>
    <w:rsid w:val="007247FD"/>
    <w:rsid w:val="00732938"/>
    <w:rsid w:val="00737E11"/>
    <w:rsid w:val="00747719"/>
    <w:rsid w:val="007517A3"/>
    <w:rsid w:val="00791700"/>
    <w:rsid w:val="007A1F4E"/>
    <w:rsid w:val="007B662B"/>
    <w:rsid w:val="007C1ED9"/>
    <w:rsid w:val="007C4D62"/>
    <w:rsid w:val="007D65C5"/>
    <w:rsid w:val="007E66D0"/>
    <w:rsid w:val="00800188"/>
    <w:rsid w:val="00801E93"/>
    <w:rsid w:val="00826B08"/>
    <w:rsid w:val="00835C18"/>
    <w:rsid w:val="008626F8"/>
    <w:rsid w:val="008654D6"/>
    <w:rsid w:val="00874D93"/>
    <w:rsid w:val="0088195E"/>
    <w:rsid w:val="00885FBD"/>
    <w:rsid w:val="008863B8"/>
    <w:rsid w:val="0088657E"/>
    <w:rsid w:val="00893361"/>
    <w:rsid w:val="008A05BB"/>
    <w:rsid w:val="008A317E"/>
    <w:rsid w:val="008B1CBD"/>
    <w:rsid w:val="008C6B44"/>
    <w:rsid w:val="008D506A"/>
    <w:rsid w:val="00900428"/>
    <w:rsid w:val="00904A91"/>
    <w:rsid w:val="00923377"/>
    <w:rsid w:val="00925650"/>
    <w:rsid w:val="00926B54"/>
    <w:rsid w:val="00931993"/>
    <w:rsid w:val="00932BF0"/>
    <w:rsid w:val="0094715F"/>
    <w:rsid w:val="009639EA"/>
    <w:rsid w:val="00967B3A"/>
    <w:rsid w:val="00980B27"/>
    <w:rsid w:val="00982329"/>
    <w:rsid w:val="00990231"/>
    <w:rsid w:val="0099087B"/>
    <w:rsid w:val="00994D50"/>
    <w:rsid w:val="0099508F"/>
    <w:rsid w:val="009A1435"/>
    <w:rsid w:val="009B244D"/>
    <w:rsid w:val="009B3BF7"/>
    <w:rsid w:val="009B3D14"/>
    <w:rsid w:val="009B73DF"/>
    <w:rsid w:val="009D79D0"/>
    <w:rsid w:val="009E178C"/>
    <w:rsid w:val="00A0415F"/>
    <w:rsid w:val="00A13E0E"/>
    <w:rsid w:val="00A22E7E"/>
    <w:rsid w:val="00A3135D"/>
    <w:rsid w:val="00A354E8"/>
    <w:rsid w:val="00A4069D"/>
    <w:rsid w:val="00A52B53"/>
    <w:rsid w:val="00A638D3"/>
    <w:rsid w:val="00A66D19"/>
    <w:rsid w:val="00A71079"/>
    <w:rsid w:val="00A727C6"/>
    <w:rsid w:val="00A7327E"/>
    <w:rsid w:val="00A77AFE"/>
    <w:rsid w:val="00A77DAE"/>
    <w:rsid w:val="00A80624"/>
    <w:rsid w:val="00A83764"/>
    <w:rsid w:val="00AA19AE"/>
    <w:rsid w:val="00AA331C"/>
    <w:rsid w:val="00AB0F8A"/>
    <w:rsid w:val="00AB2D50"/>
    <w:rsid w:val="00AB5D97"/>
    <w:rsid w:val="00AC1265"/>
    <w:rsid w:val="00AC3EB9"/>
    <w:rsid w:val="00AD5651"/>
    <w:rsid w:val="00AE0329"/>
    <w:rsid w:val="00AE1354"/>
    <w:rsid w:val="00AE2FCB"/>
    <w:rsid w:val="00AF35FB"/>
    <w:rsid w:val="00AF655F"/>
    <w:rsid w:val="00B255F9"/>
    <w:rsid w:val="00B27C49"/>
    <w:rsid w:val="00B355B5"/>
    <w:rsid w:val="00B5015C"/>
    <w:rsid w:val="00B551EC"/>
    <w:rsid w:val="00B57EC1"/>
    <w:rsid w:val="00B7299B"/>
    <w:rsid w:val="00B83FAA"/>
    <w:rsid w:val="00B84704"/>
    <w:rsid w:val="00B871D0"/>
    <w:rsid w:val="00B90E39"/>
    <w:rsid w:val="00BA0922"/>
    <w:rsid w:val="00BA6C39"/>
    <w:rsid w:val="00BB170B"/>
    <w:rsid w:val="00BD2515"/>
    <w:rsid w:val="00BD491E"/>
    <w:rsid w:val="00BE4831"/>
    <w:rsid w:val="00C21C1A"/>
    <w:rsid w:val="00C267F4"/>
    <w:rsid w:val="00C26A73"/>
    <w:rsid w:val="00C2722D"/>
    <w:rsid w:val="00C351AC"/>
    <w:rsid w:val="00C4519D"/>
    <w:rsid w:val="00C56934"/>
    <w:rsid w:val="00C57236"/>
    <w:rsid w:val="00C611A2"/>
    <w:rsid w:val="00C76916"/>
    <w:rsid w:val="00C839FA"/>
    <w:rsid w:val="00C91C8B"/>
    <w:rsid w:val="00C961F3"/>
    <w:rsid w:val="00CC48F6"/>
    <w:rsid w:val="00CD354E"/>
    <w:rsid w:val="00CE5083"/>
    <w:rsid w:val="00CF36A9"/>
    <w:rsid w:val="00CF6056"/>
    <w:rsid w:val="00CF7384"/>
    <w:rsid w:val="00D43DF7"/>
    <w:rsid w:val="00D45A15"/>
    <w:rsid w:val="00D51F65"/>
    <w:rsid w:val="00D52CA2"/>
    <w:rsid w:val="00D54E36"/>
    <w:rsid w:val="00D57A92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B23F0"/>
    <w:rsid w:val="00DB307F"/>
    <w:rsid w:val="00DB6CE9"/>
    <w:rsid w:val="00DC30B4"/>
    <w:rsid w:val="00DD2683"/>
    <w:rsid w:val="00DD4984"/>
    <w:rsid w:val="00DF5D0B"/>
    <w:rsid w:val="00E126C7"/>
    <w:rsid w:val="00E23BD0"/>
    <w:rsid w:val="00E30FB2"/>
    <w:rsid w:val="00E317E5"/>
    <w:rsid w:val="00E550BF"/>
    <w:rsid w:val="00E7479A"/>
    <w:rsid w:val="00E800A4"/>
    <w:rsid w:val="00E813F7"/>
    <w:rsid w:val="00E834E5"/>
    <w:rsid w:val="00EA2779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F20759"/>
    <w:rsid w:val="00F26B76"/>
    <w:rsid w:val="00F278F2"/>
    <w:rsid w:val="00F27CBB"/>
    <w:rsid w:val="00F34B6D"/>
    <w:rsid w:val="00F36FFE"/>
    <w:rsid w:val="00F406AB"/>
    <w:rsid w:val="00F50DFA"/>
    <w:rsid w:val="00F65179"/>
    <w:rsid w:val="00F659E9"/>
    <w:rsid w:val="00F7515F"/>
    <w:rsid w:val="00F775D5"/>
    <w:rsid w:val="00F810D6"/>
    <w:rsid w:val="00F908A6"/>
    <w:rsid w:val="00FA0A09"/>
    <w:rsid w:val="00FB0B87"/>
    <w:rsid w:val="00FB203D"/>
    <w:rsid w:val="00FC276E"/>
    <w:rsid w:val="00FD258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5468"/>
  <w15:docId w15:val="{BED324B9-7D32-400C-93DD-22BD716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78"/>
    <w:pPr>
      <w:spacing w:after="12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690F78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2">
    <w:name w:val="heading 2"/>
    <w:basedOn w:val="1"/>
    <w:next w:val="a"/>
    <w:link w:val="20"/>
    <w:qFormat/>
    <w:rsid w:val="00690F78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rsid w:val="00690F78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rsid w:val="00690F78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rsid w:val="00690F78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rsid w:val="00690F78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7">
    <w:name w:val="heading 7"/>
    <w:basedOn w:val="a"/>
    <w:next w:val="a"/>
    <w:link w:val="70"/>
    <w:qFormat/>
    <w:rsid w:val="00690F78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8">
    <w:name w:val="heading 8"/>
    <w:basedOn w:val="a"/>
    <w:next w:val="a"/>
    <w:link w:val="80"/>
    <w:qFormat/>
    <w:rsid w:val="00690F78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9">
    <w:name w:val="heading 9"/>
    <w:basedOn w:val="a"/>
    <w:next w:val="a"/>
    <w:link w:val="90"/>
    <w:qFormat/>
    <w:rsid w:val="00690F78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90F78"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20">
    <w:name w:val="标题 2 字符"/>
    <w:basedOn w:val="a0"/>
    <w:link w:val="2"/>
    <w:rsid w:val="00690F78"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30">
    <w:name w:val="标题 3 字符"/>
    <w:basedOn w:val="a0"/>
    <w:link w:val="3"/>
    <w:rsid w:val="00690F78"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40">
    <w:name w:val="标题 4 字符"/>
    <w:basedOn w:val="a0"/>
    <w:link w:val="4"/>
    <w:rsid w:val="00690F78"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50">
    <w:name w:val="标题 5 字符"/>
    <w:basedOn w:val="a0"/>
    <w:link w:val="5"/>
    <w:rsid w:val="00690F78"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60">
    <w:name w:val="标题 6 字符"/>
    <w:basedOn w:val="a0"/>
    <w:link w:val="6"/>
    <w:rsid w:val="00690F78"/>
    <w:rPr>
      <w:rFonts w:ascii="Calibri Light" w:eastAsia="Malgun Gothic" w:hAnsi="Calibri Light" w:cs="Malgun Gothic"/>
      <w:bCs/>
      <w:lang w:val="en-US" w:eastAsia="ja-JP"/>
    </w:rPr>
  </w:style>
  <w:style w:type="character" w:customStyle="1" w:styleId="70">
    <w:name w:val="标题 7 字符"/>
    <w:basedOn w:val="a0"/>
    <w:link w:val="7"/>
    <w:rsid w:val="00690F78"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80">
    <w:name w:val="标题 8 字符"/>
    <w:basedOn w:val="a0"/>
    <w:link w:val="8"/>
    <w:rsid w:val="00690F78"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90">
    <w:name w:val="标题 9 字符"/>
    <w:basedOn w:val="a0"/>
    <w:link w:val="9"/>
    <w:rsid w:val="00690F78"/>
    <w:rPr>
      <w:rFonts w:ascii="Calibri Light" w:eastAsia="Malgun Gothic" w:hAnsi="Calibri Light" w:cs="Calibri Light"/>
      <w:lang w:val="en-US" w:eastAsia="ja-JP"/>
    </w:rPr>
  </w:style>
  <w:style w:type="paragraph" w:styleId="a3">
    <w:name w:val="caption"/>
    <w:basedOn w:val="a"/>
    <w:next w:val="a"/>
    <w:qFormat/>
    <w:rsid w:val="00690F78"/>
    <w:rPr>
      <w:b/>
      <w:bCs/>
      <w:sz w:val="20"/>
      <w:szCs w:val="20"/>
    </w:rPr>
  </w:style>
  <w:style w:type="paragraph" w:styleId="a4">
    <w:name w:val="annotation text"/>
    <w:basedOn w:val="a"/>
    <w:link w:val="a5"/>
    <w:unhideWhenUsed/>
    <w:qFormat/>
    <w:rsid w:val="00690F78"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character" w:customStyle="1" w:styleId="a5">
    <w:name w:val="批注文字 字符"/>
    <w:basedOn w:val="a0"/>
    <w:link w:val="a4"/>
    <w:qFormat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  <w:style w:type="paragraph" w:styleId="a6">
    <w:name w:val="Body Text"/>
    <w:basedOn w:val="a"/>
    <w:link w:val="a7"/>
    <w:qFormat/>
    <w:rsid w:val="00690F78"/>
  </w:style>
  <w:style w:type="character" w:customStyle="1" w:styleId="a7">
    <w:name w:val="正文文本 字符"/>
    <w:basedOn w:val="a0"/>
    <w:link w:val="a6"/>
    <w:qFormat/>
    <w:rsid w:val="00690F78"/>
    <w:rPr>
      <w:rFonts w:ascii="Malgun Gothic" w:eastAsia="Malgun Gothic" w:hAnsi="Malgun Gothic" w:cs="Malgun Gothic"/>
      <w:szCs w:val="24"/>
      <w:lang w:val="en-US" w:eastAsia="ja-JP"/>
    </w:rPr>
  </w:style>
  <w:style w:type="paragraph" w:styleId="a8">
    <w:name w:val="Balloon Text"/>
    <w:basedOn w:val="a"/>
    <w:link w:val="a9"/>
    <w:qFormat/>
    <w:rsid w:val="00690F78"/>
    <w:pPr>
      <w:spacing w:after="0"/>
    </w:pPr>
    <w:rPr>
      <w:rFonts w:ascii="MS Mincho" w:hAnsi="MS Mincho" w:cs="MS Mincho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690F78"/>
    <w:rPr>
      <w:rFonts w:ascii="MS Mincho" w:eastAsia="Malgun Gothic" w:hAnsi="MS Mincho" w:cs="MS Mincho"/>
      <w:sz w:val="18"/>
      <w:szCs w:val="18"/>
      <w:lang w:val="en-US" w:eastAsia="ja-JP"/>
    </w:rPr>
  </w:style>
  <w:style w:type="paragraph" w:styleId="aa">
    <w:name w:val="footer"/>
    <w:basedOn w:val="a"/>
    <w:link w:val="ab"/>
    <w:uiPriority w:val="99"/>
    <w:qFormat/>
    <w:rsid w:val="00690F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c">
    <w:name w:val="header"/>
    <w:basedOn w:val="a"/>
    <w:link w:val="ad"/>
    <w:qFormat/>
    <w:rsid w:val="0069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ae">
    <w:name w:val="List"/>
    <w:basedOn w:val="a"/>
    <w:qFormat/>
    <w:rsid w:val="00690F78"/>
    <w:pPr>
      <w:ind w:left="283" w:hanging="283"/>
      <w:contextualSpacing/>
    </w:pPr>
  </w:style>
  <w:style w:type="paragraph" w:styleId="af">
    <w:name w:val="annotation subject"/>
    <w:basedOn w:val="a4"/>
    <w:next w:val="a4"/>
    <w:link w:val="af0"/>
    <w:qFormat/>
    <w:rsid w:val="00690F78"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character" w:customStyle="1" w:styleId="af0">
    <w:name w:val="批注主题 字符"/>
    <w:basedOn w:val="a5"/>
    <w:link w:val="af"/>
    <w:qFormat/>
    <w:rsid w:val="00690F78"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table" w:styleId="af1">
    <w:name w:val="Table Grid"/>
    <w:basedOn w:val="a1"/>
    <w:qFormat/>
    <w:rsid w:val="00690F78"/>
    <w:pPr>
      <w:spacing w:after="0" w:line="240" w:lineRule="auto"/>
    </w:pPr>
    <w:rPr>
      <w:rFonts w:ascii="Malgun Gothic" w:eastAsia="Malgun Gothic" w:hAnsi="Malgun Gothic" w:cs="Malgun Gothic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qFormat/>
    <w:rsid w:val="00690F78"/>
    <w:rPr>
      <w:color w:val="954F72"/>
      <w:u w:val="single"/>
    </w:rPr>
  </w:style>
  <w:style w:type="character" w:styleId="af3">
    <w:name w:val="Hyperlink"/>
    <w:qFormat/>
    <w:rsid w:val="00690F78"/>
    <w:rPr>
      <w:color w:val="0000FF"/>
      <w:u w:val="single"/>
    </w:rPr>
  </w:style>
  <w:style w:type="character" w:styleId="af4">
    <w:name w:val="annotation reference"/>
    <w:unhideWhenUsed/>
    <w:qFormat/>
    <w:rsid w:val="00690F78"/>
    <w:rPr>
      <w:sz w:val="16"/>
      <w:szCs w:val="16"/>
    </w:rPr>
  </w:style>
  <w:style w:type="character" w:customStyle="1" w:styleId="B1Char1">
    <w:name w:val="B1 Char1"/>
    <w:link w:val="B1"/>
    <w:qFormat/>
    <w:locked/>
    <w:rsid w:val="00690F78"/>
    <w:rPr>
      <w:rFonts w:ascii="Calibri Light" w:hAnsi="Calibri Light" w:cs="Calibri Light"/>
    </w:rPr>
  </w:style>
  <w:style w:type="paragraph" w:customStyle="1" w:styleId="B1">
    <w:name w:val="B1"/>
    <w:basedOn w:val="ae"/>
    <w:link w:val="B1Char1"/>
    <w:qFormat/>
    <w:rsid w:val="00690F78"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sid w:val="00690F78"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a"/>
    <w:link w:val="ProposalChar"/>
    <w:qFormat/>
    <w:rsid w:val="00690F78"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sid w:val="00690F78"/>
    <w:rPr>
      <w:rFonts w:ascii="Calibri Light" w:eastAsia="Malgun Gothic" w:hAnsi="Calibri Light"/>
    </w:rPr>
  </w:style>
  <w:style w:type="paragraph" w:customStyle="1" w:styleId="ReviewText">
    <w:name w:val="ReviewText"/>
    <w:basedOn w:val="a"/>
    <w:link w:val="ReviewTextChar"/>
    <w:qFormat/>
    <w:rsid w:val="00690F78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sid w:val="00690F78"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a"/>
    <w:link w:val="TALChar"/>
    <w:qFormat/>
    <w:rsid w:val="00690F78"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sid w:val="00690F78"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a6"/>
    <w:link w:val="IvDbodytextChar"/>
    <w:qFormat/>
    <w:rsid w:val="00690F7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sid w:val="00690F78"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a"/>
    <w:link w:val="TAHChar"/>
    <w:qFormat/>
    <w:rsid w:val="00690F78"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690F78"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rsid w:val="00690F78"/>
    <w:pPr>
      <w:spacing w:after="120" w:line="240" w:lineRule="auto"/>
    </w:pPr>
    <w:rPr>
      <w:rFonts w:ascii="Calibri Light" w:eastAsia="MS ??" w:hAnsi="Calibri Light"/>
      <w:lang w:val="en-GB"/>
    </w:rPr>
  </w:style>
  <w:style w:type="paragraph" w:customStyle="1" w:styleId="Agreement">
    <w:name w:val="Agreement"/>
    <w:basedOn w:val="a"/>
    <w:next w:val="a"/>
    <w:qFormat/>
    <w:rsid w:val="00690F78"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a"/>
    <w:qFormat/>
    <w:rsid w:val="00690F7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1">
    <w:name w:val="修订1"/>
    <w:uiPriority w:val="99"/>
    <w:unhideWhenUsed/>
    <w:qFormat/>
    <w:rsid w:val="00690F78"/>
    <w:pPr>
      <w:spacing w:after="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af5">
    <w:name w:val="List Paragraph"/>
    <w:aliases w:val="- Bullets,목록 단락,リスト段落,?? ??,?????,????,Lista1,1st level - Bullet List Paragraph,List Paragraph1,Lettre d'introduction,Paragrafo elenco,Normal bullet 2,Bullet list,Numbered List,Task Body,Viñetas (Inicio Parrafo),3 Txt tabla,列出段落1"/>
    <w:basedOn w:val="a"/>
    <w:link w:val="af6"/>
    <w:uiPriority w:val="34"/>
    <w:qFormat/>
    <w:rsid w:val="00690F78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a"/>
    <w:qFormat/>
    <w:rsid w:val="00690F78"/>
    <w:pPr>
      <w:numPr>
        <w:numId w:val="4"/>
      </w:numPr>
      <w:tabs>
        <w:tab w:val="left" w:pos="1701"/>
      </w:tabs>
    </w:pPr>
  </w:style>
  <w:style w:type="character" w:customStyle="1" w:styleId="af6">
    <w:name w:val="列出段落 字符"/>
    <w:aliases w:val="- Bullets 字符,목록 단락 字符,リスト段落 字符,?? ?? 字符,????? 字符,???? 字符,Lista1 字符,1st level - Bullet List Paragraph 字符,List Paragraph1 字符,Lettre d'introduction 字符,Paragrafo elenco 字符,Normal bullet 2 字符,Bullet list 字符,Numbered List 字符,Task Body 字符,列出段落1 字符"/>
    <w:link w:val="af5"/>
    <w:uiPriority w:val="34"/>
    <w:qFormat/>
    <w:locked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  <w:style w:type="paragraph" w:styleId="af7">
    <w:name w:val="Normal (Web)"/>
    <w:basedOn w:val="a"/>
    <w:uiPriority w:val="99"/>
    <w:semiHidden/>
    <w:unhideWhenUsed/>
    <w:rsid w:val="00CE50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8D717A03-49F4-4127-9EB9-2233262A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Samsung</cp:lastModifiedBy>
  <cp:revision>2</cp:revision>
  <dcterms:created xsi:type="dcterms:W3CDTF">2022-02-24T10:29:00Z</dcterms:created>
  <dcterms:modified xsi:type="dcterms:W3CDTF">2022-02-24T10:29:00Z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</Properties>
</file>