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687F" w14:textId="77777777" w:rsidR="002A07E9" w:rsidRDefault="008B7441">
      <w:pPr>
        <w:pStyle w:val="CRCoverPage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#115-e</w:t>
      </w:r>
      <w:r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sv-SE"/>
        </w:rPr>
        <w:t>R3-222464</w:t>
      </w:r>
    </w:p>
    <w:p w14:paraId="6093ACD2" w14:textId="77777777" w:rsidR="002A07E9" w:rsidRDefault="008B7441">
      <w:pPr>
        <w:pStyle w:val="CRCoverPage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sz w:val="24"/>
          <w:szCs w:val="28"/>
          <w:lang w:eastAsia="sv-SE"/>
        </w:rPr>
        <w:t>Online, February 21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st 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>– March 3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rd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</w:p>
    <w:bookmarkEnd w:id="0"/>
    <w:p w14:paraId="1C59E895" w14:textId="77777777" w:rsidR="002A07E9" w:rsidRDefault="002A07E9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</w:p>
    <w:p w14:paraId="403C4C02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Agenda Item:</w:t>
      </w:r>
      <w:r>
        <w:rPr>
          <w:rFonts w:ascii="Times New Roman" w:hAnsi="Times New Roman" w:cs="Times New Roman"/>
          <w:lang w:val="en-GB"/>
        </w:rPr>
        <w:tab/>
        <w:t>13.3.1</w:t>
      </w:r>
    </w:p>
    <w:p w14:paraId="643CC530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</w:t>
      </w:r>
      <w:r>
        <w:rPr>
          <w:rFonts w:ascii="Times New Roman" w:hAnsi="Times New Roman" w:cs="Times New Roman"/>
          <w:lang w:val="en-GB"/>
        </w:rPr>
        <w:tab/>
        <w:t>Ericsson (moderator)</w:t>
      </w:r>
    </w:p>
    <w:p w14:paraId="0A65A1D3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Title:</w:t>
      </w:r>
      <w:r>
        <w:rPr>
          <w:rFonts w:ascii="Times New Roman" w:hAnsi="Times New Roman" w:cs="Times New Roman"/>
          <w:lang w:val="en-GB"/>
        </w:rPr>
        <w:tab/>
        <w:t>CB: # 1305_IAB_Con_Mit - Summary of email discussion</w:t>
      </w:r>
    </w:p>
    <w:p w14:paraId="77FDD7E4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Document for:</w:t>
      </w:r>
      <w:r>
        <w:rPr>
          <w:rFonts w:ascii="Times New Roman" w:hAnsi="Times New Roman" w:cs="Times New Roman"/>
          <w:lang w:val="en-GB"/>
        </w:rPr>
        <w:tab/>
        <w:t>Approval</w:t>
      </w:r>
    </w:p>
    <w:p w14:paraId="60504787" w14:textId="77777777" w:rsidR="002A07E9" w:rsidRDefault="008B7441">
      <w:pPr>
        <w:pStyle w:val="Heading1"/>
        <w:spacing w:before="120"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Introduction</w:t>
      </w:r>
    </w:p>
    <w:p w14:paraId="02D4F012" w14:textId="77777777" w:rsidR="002A07E9" w:rsidRDefault="008B7441"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77"/>
      <w:bookmarkStart w:id="2" w:name="_Hlk72145532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Thursday, February 24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23.59 UTC.</w:t>
      </w:r>
    </w:p>
    <w:bookmarkEnd w:id="1"/>
    <w:bookmarkEnd w:id="2"/>
    <w:p w14:paraId="3E0A96D7" w14:textId="77777777" w:rsidR="002A07E9" w:rsidRDefault="008B7441"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 w14:paraId="374987B5" w14:textId="77777777" w:rsidR="002A07E9" w:rsidRDefault="008B7441"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[Eri1684]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IAB BL CR for TS 38.473) Congestion Mitigation in IAB Networks (Ericsson)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</w:p>
    <w:p w14:paraId="1AE7EDD1" w14:textId="77777777" w:rsidR="002A07E9" w:rsidRDefault="008B7441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96096380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[Hua2129] </w:t>
      </w:r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BL CR for TS 38.473) Further discussion on congestion mitigation (Huawei)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</w:r>
    </w:p>
    <w:p w14:paraId="4E9B3435" w14:textId="77777777" w:rsidR="002A07E9" w:rsidRDefault="008B7441">
      <w:pPr>
        <w:spacing w:before="120" w:after="0"/>
        <w:rPr>
          <w:rFonts w:ascii="Arial" w:hAnsi="Arial" w:cs="Arial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A TP for QoE BL CR for TS 38.473 will be drafted based on the outcome of this round.</w:t>
      </w:r>
    </w:p>
    <w:p w14:paraId="332EA175" w14:textId="77777777" w:rsidR="002A07E9" w:rsidRDefault="008B7441">
      <w:pPr>
        <w:pStyle w:val="Heading1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p w14:paraId="1EF4D4EE" w14:textId="4A5306C2" w:rsidR="002A07E9" w:rsidRPr="00C243D7" w:rsidRDefault="00BB5502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</w:pPr>
      <w:r w:rsidRPr="00652A18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Proposal 1:</w:t>
      </w:r>
      <w:r w:rsidR="00652A18" w:rsidRPr="00652A18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 xml:space="preserve"> </w:t>
      </w:r>
      <w:r w:rsidR="00652A18" w:rsidRPr="00652A18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RAN3 define</w:t>
      </w:r>
      <w:r w:rsidR="00652A18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s</w:t>
      </w:r>
      <w:r w:rsidR="00652A18" w:rsidRPr="00652A18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 F1AP signalling for configuring</w:t>
      </w:r>
      <w:r w:rsidR="00C87544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 </w:t>
      </w:r>
      <w:r w:rsidR="00652A18" w:rsidRPr="00652A18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the buffer size threshold at the IAB-DU</w:t>
      </w:r>
      <w:r w:rsidR="00FC667C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 for the </w:t>
      </w:r>
      <w:r w:rsidR="00FC667C"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purpose of local rerouting</w:t>
      </w:r>
      <w:r w:rsidR="007808DF"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.</w:t>
      </w:r>
    </w:p>
    <w:p w14:paraId="6E371358" w14:textId="580D36A1" w:rsidR="004918A1" w:rsidRPr="00C243D7" w:rsidRDefault="00DC774A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Proposal 2:</w:t>
      </w:r>
      <w:r w:rsidR="004918A1"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 </w:t>
      </w:r>
      <w:r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The </w:t>
      </w:r>
      <w:r w:rsidR="004918A1"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format of the threshold i</w:t>
      </w:r>
      <w:r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s aligned with the RAN2 decision</w:t>
      </w:r>
      <w:r w:rsidR="001D29C8"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 o</w:t>
      </w:r>
      <w:r w:rsidR="004918A1"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n the </w:t>
      </w:r>
      <w:r w:rsidR="001D29C8"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format of </w:t>
      </w:r>
      <w:r w:rsidR="00C243D7"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congestedThreshold-r17</w:t>
      </w:r>
      <w:r w:rsidR="00101A5A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 in the running CR for TS 38.340</w:t>
      </w:r>
      <w:r w:rsidR="00C243D7" w:rsidRPr="00C243D7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.</w:t>
      </w:r>
    </w:p>
    <w:p w14:paraId="3BA78356" w14:textId="2458467D" w:rsidR="00BB5502" w:rsidRPr="00C243D7" w:rsidRDefault="00BB5502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 w:rsidRPr="00C243D7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 xml:space="preserve">Proposal </w:t>
      </w:r>
      <w:r w:rsidR="00DC774A" w:rsidRPr="00C243D7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3</w:t>
      </w:r>
      <w:r w:rsidRPr="00C243D7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: Agree the TP for IAB BL CR for TS 38.473 in R3-222502.</w:t>
      </w:r>
    </w:p>
    <w:bookmarkEnd w:id="4"/>
    <w:p w14:paraId="33BD0C3A" w14:textId="77777777" w:rsidR="008E6451" w:rsidRDefault="008E6451" w:rsidP="008E6451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Discussion</w:t>
      </w:r>
    </w:p>
    <w:p w14:paraId="29C61D41" w14:textId="77777777" w:rsidR="002A07E9" w:rsidRDefault="008B7441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Implementation of WAs confirmed in RAN3#114bis-e</w:t>
      </w:r>
    </w:p>
    <w:p w14:paraId="305D057B" w14:textId="77777777" w:rsidR="002A07E9" w:rsidRDefault="008B7441">
      <w:pPr>
        <w:rPr>
          <w:rFonts w:ascii="Times New Roman" w:hAnsi="Times New Roman" w:cs="Times New Roman"/>
          <w:sz w:val="20"/>
          <w:szCs w:val="22"/>
          <w:lang w:val="en-GB"/>
        </w:rPr>
      </w:pPr>
      <w:r>
        <w:rPr>
          <w:rFonts w:ascii="Times New Roman" w:hAnsi="Times New Roman" w:cs="Times New Roman"/>
          <w:sz w:val="20"/>
          <w:szCs w:val="22"/>
          <w:lang w:val="en-GB"/>
        </w:rPr>
        <w:t>The F1AP TP in R3-221684 proposes to implement the confirmed WAs from RAN3#114bis-e and will be included in the TP assembled in the second round. The confirmed WAs are:</w:t>
      </w:r>
    </w:p>
    <w:p w14:paraId="15A4B4F3" w14:textId="77777777" w:rsidR="002A07E9" w:rsidRDefault="008B7441">
      <w:pP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t>Turn the following WAs into agreements:</w:t>
      </w:r>
    </w:p>
    <w:p w14:paraId="6ABE7C81" w14:textId="77777777" w:rsidR="002A07E9" w:rsidRDefault="008B7441">
      <w:pPr>
        <w:pStyle w:val="ListParagraph"/>
        <w:numPr>
          <w:ilvl w:val="0"/>
          <w:numId w:val="5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lastRenderedPageBreak/>
        <w:t>WA: per-BAP routing ID congestion indication will not be pursued in this release.</w:t>
      </w:r>
    </w:p>
    <w:p w14:paraId="28BB63D7" w14:textId="77777777" w:rsidR="002A07E9" w:rsidRDefault="008B7441">
      <w:pPr>
        <w:pStyle w:val="ListParagraph"/>
        <w:numPr>
          <w:ilvl w:val="0"/>
          <w:numId w:val="5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WA: the presence of Child Node Identifier IE is Mandatory.</w:t>
      </w:r>
    </w:p>
    <w:p w14:paraId="37F1F610" w14:textId="77777777" w:rsidR="002A07E9" w:rsidRDefault="008B7441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t>For inter-donor topology redundancy, the non-F1-terminating CU can initiate the revocation to handle the congestion at the upstream of boundary node in its topology.</w:t>
      </w:r>
    </w:p>
    <w:p w14:paraId="58799E2D" w14:textId="77777777" w:rsidR="002A07E9" w:rsidRDefault="002A07E9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4CB6006F" w14:textId="77777777" w:rsidR="002A07E9" w:rsidRDefault="008B7441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Buffer size threshold configuration</w:t>
      </w:r>
    </w:p>
    <w:p w14:paraId="7D3B853A" w14:textId="77777777" w:rsidR="002A07E9" w:rsidRDefault="008B744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[Hua2129]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include in the F1AP BAP MAPPING CONFIGURATION message an IE for configuring the buffer level threshold at the IAB-DU.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The following RAN2#115-e agreement is referenced:</w:t>
      </w:r>
    </w:p>
    <w:p w14:paraId="6F72F947" w14:textId="77777777" w:rsidR="002A07E9" w:rsidRDefault="008B7441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configured threshold of available buffer size based on flow control feedback is used to determine the congestion, for the purpose of local re-routing.</w:t>
      </w:r>
    </w:p>
    <w:p w14:paraId="28D218B3" w14:textId="77777777" w:rsidR="002A07E9" w:rsidRDefault="008B7441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Q1: Should RAN3 define F1AP signalling for configuring the buffer size threshold at the IAB-DU?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2A07E9" w14:paraId="6C12429B" w14:textId="77777777">
        <w:trPr>
          <w:trHeight w:val="325"/>
        </w:trPr>
        <w:tc>
          <w:tcPr>
            <w:tcW w:w="1378" w:type="dxa"/>
          </w:tcPr>
          <w:p w14:paraId="1F0A40E7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6768A865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351119A9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2A07E9" w14:paraId="48CD246B" w14:textId="77777777">
        <w:trPr>
          <w:trHeight w:val="357"/>
        </w:trPr>
        <w:tc>
          <w:tcPr>
            <w:tcW w:w="1378" w:type="dxa"/>
          </w:tcPr>
          <w:p w14:paraId="139228D3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6934EB82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</w:tcPr>
          <w:p w14:paraId="2E3BD7A8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previous RAN3 IAB discussions on congestion/flow control it was concluded that specifying signalling for setting thresholds related to flow control is not preferred. </w:t>
            </w:r>
          </w:p>
        </w:tc>
      </w:tr>
      <w:tr w:rsidR="002A07E9" w14:paraId="459F7641" w14:textId="77777777">
        <w:trPr>
          <w:trHeight w:val="342"/>
        </w:trPr>
        <w:tc>
          <w:tcPr>
            <w:tcW w:w="1378" w:type="dxa"/>
          </w:tcPr>
          <w:p w14:paraId="00FAF54A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Lenovo</w:t>
            </w:r>
          </w:p>
        </w:tc>
        <w:tc>
          <w:tcPr>
            <w:tcW w:w="1209" w:type="dxa"/>
          </w:tcPr>
          <w:p w14:paraId="36A0D83F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Yes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but</w:t>
            </w:r>
          </w:p>
        </w:tc>
        <w:tc>
          <w:tcPr>
            <w:tcW w:w="7200" w:type="dxa"/>
          </w:tcPr>
          <w:p w14:paraId="5394C3DA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ased on the BL CR of TS 38.340.</w:t>
            </w:r>
          </w:p>
          <w:p w14:paraId="0D2A54C5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For a link, the BAP entity at the IAB-DU or IAB-donor-DU may:</w:t>
            </w:r>
          </w:p>
          <w:p w14:paraId="2C02C37D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568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if the available buffer size as indicated by the received BAP Control PDU for flow control feedback per BAP routing ID is less than the [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congestedThreshold-r17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], if configured:</w:t>
            </w:r>
          </w:p>
          <w:p w14:paraId="0112558D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851" w:hanging="284"/>
              <w:textAlignment w:val="baseline"/>
              <w:rPr>
                <w:rFonts w:ascii="Times New Roman" w:eastAsia="Yu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consider the BH link as congested for this BAP routing ID (for rerouting purpose defined in accordance with clause 5.2.1.3).</w:t>
            </w:r>
          </w:p>
          <w:p w14:paraId="3768AC1C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 configured threshold of available buffer size needs to be configured to the parent IAB-node to determine the congestion based on the received HbH flow control.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owever, the threshold should be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en-GB" w:eastAsia="zh-CN"/>
              </w:rPr>
              <w:t xml:space="preserve">configured per BAP routing ID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because the buffer size for each BAP routing ID may be different.</w:t>
            </w:r>
          </w:p>
        </w:tc>
      </w:tr>
      <w:tr w:rsidR="002A07E9" w14:paraId="46E01AB8" w14:textId="77777777">
        <w:trPr>
          <w:trHeight w:val="325"/>
        </w:trPr>
        <w:tc>
          <w:tcPr>
            <w:tcW w:w="1378" w:type="dxa"/>
          </w:tcPr>
          <w:p w14:paraId="118876E1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Nokia</w:t>
            </w:r>
          </w:p>
        </w:tc>
        <w:tc>
          <w:tcPr>
            <w:tcW w:w="1209" w:type="dxa"/>
          </w:tcPr>
          <w:p w14:paraId="3B45525B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</w:t>
            </w:r>
          </w:p>
        </w:tc>
        <w:tc>
          <w:tcPr>
            <w:tcW w:w="7200" w:type="dxa"/>
          </w:tcPr>
          <w:p w14:paraId="6D7544DF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OAM can be used to configure the IAB-DU.</w:t>
            </w:r>
          </w:p>
        </w:tc>
      </w:tr>
      <w:tr w:rsidR="002A07E9" w14:paraId="49D6C1BD" w14:textId="77777777">
        <w:trPr>
          <w:trHeight w:val="325"/>
        </w:trPr>
        <w:tc>
          <w:tcPr>
            <w:tcW w:w="1378" w:type="dxa"/>
          </w:tcPr>
          <w:p w14:paraId="1E6DDA7D" w14:textId="77777777" w:rsidR="002A07E9" w:rsidRDefault="008B7441">
            <w:pPr>
              <w:spacing w:before="120" w:after="0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Fujitsu</w:t>
            </w:r>
          </w:p>
        </w:tc>
        <w:tc>
          <w:tcPr>
            <w:tcW w:w="1209" w:type="dxa"/>
          </w:tcPr>
          <w:p w14:paraId="7763B87C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</w:tcPr>
          <w:p w14:paraId="47A96D6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AN2 agreement need to be respected. It is better to use F1AP signalling.</w:t>
            </w:r>
          </w:p>
        </w:tc>
      </w:tr>
      <w:tr w:rsidR="002A07E9" w14:paraId="3A5E7670" w14:textId="77777777">
        <w:trPr>
          <w:trHeight w:val="342"/>
        </w:trPr>
        <w:tc>
          <w:tcPr>
            <w:tcW w:w="1378" w:type="dxa"/>
          </w:tcPr>
          <w:p w14:paraId="4ED347C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amsung </w:t>
            </w:r>
          </w:p>
        </w:tc>
        <w:tc>
          <w:tcPr>
            <w:tcW w:w="1209" w:type="dxa"/>
          </w:tcPr>
          <w:p w14:paraId="1A75682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es </w:t>
            </w:r>
          </w:p>
        </w:tc>
        <w:tc>
          <w:tcPr>
            <w:tcW w:w="7200" w:type="dxa"/>
          </w:tcPr>
          <w:p w14:paraId="25293EE4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his is RAN2 agreement, and such buffer size threshold should be BAP routing ID specific. </w:t>
            </w:r>
          </w:p>
        </w:tc>
      </w:tr>
      <w:tr w:rsidR="002A07E9" w14:paraId="068B2BD4" w14:textId="77777777">
        <w:trPr>
          <w:trHeight w:val="342"/>
        </w:trPr>
        <w:tc>
          <w:tcPr>
            <w:tcW w:w="1378" w:type="dxa"/>
          </w:tcPr>
          <w:p w14:paraId="54F276B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209" w:type="dxa"/>
          </w:tcPr>
          <w:p w14:paraId="74C0FDA7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200" w:type="dxa"/>
          </w:tcPr>
          <w:p w14:paraId="2ACFF232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Agree with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the TP given in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GB" w:eastAsia="zh-CN"/>
              </w:rPr>
              <w:t>[Hua2129]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2A07E9" w14:paraId="2E3A934B" w14:textId="7777777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851" w14:textId="04A99EA7" w:rsidR="002A07E9" w:rsidRDefault="00EA2E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uawei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D07" w14:textId="3545D8F2" w:rsidR="002A07E9" w:rsidRDefault="00EA2E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199" w14:textId="30491238" w:rsidR="002A07E9" w:rsidRDefault="00EF29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Use F1AP signalling</w:t>
            </w:r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to provide the configuration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is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more flexible</w:t>
            </w:r>
            <w:r w:rsidR="0089268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than OAM </w:t>
            </w:r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based solution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and CU can determine the threshold for each BH link according to the link status by proper implementation</w:t>
            </w:r>
            <w:r w:rsidR="0089268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We think the per BAP routing ID is reasonable, but will result in more signaling overhead, so we suggest the threshold is configured per IAB node.</w:t>
            </w:r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0B634B" w14:paraId="713F6AE5" w14:textId="77777777">
        <w:trPr>
          <w:trHeight w:val="325"/>
        </w:trPr>
        <w:tc>
          <w:tcPr>
            <w:tcW w:w="1378" w:type="dxa"/>
          </w:tcPr>
          <w:p w14:paraId="18316FA0" w14:textId="51C5F5D9" w:rsidR="000B634B" w:rsidRDefault="000B634B" w:rsidP="000B634B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QCOM</w:t>
            </w:r>
          </w:p>
        </w:tc>
        <w:tc>
          <w:tcPr>
            <w:tcW w:w="1209" w:type="dxa"/>
          </w:tcPr>
          <w:p w14:paraId="3B941CA0" w14:textId="32756AE9" w:rsidR="000B634B" w:rsidRDefault="000B634B" w:rsidP="000B634B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Yes</w:t>
            </w:r>
          </w:p>
        </w:tc>
        <w:tc>
          <w:tcPr>
            <w:tcW w:w="7200" w:type="dxa"/>
          </w:tcPr>
          <w:p w14:paraId="5D9347C1" w14:textId="4BB9DE7B" w:rsidR="000B634B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This threshold applies to hop-by-hop flow control feedback and is used to trigger local rerouting. Indeed, the threshold should be configured via F1AP. RAN2 forgot to send an LS on this topic. </w:t>
            </w:r>
          </w:p>
          <w:p w14:paraId="3498F68A" w14:textId="7F1452B1" w:rsidR="008C7555" w:rsidRPr="008C7555" w:rsidRDefault="008C7555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C7555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lastRenderedPageBreak/>
              <w:t>We disagree with Nokia. RAN2’s agreement implies that it is “configurable” and not “up to implementation.</w:t>
            </w:r>
          </w:p>
          <w:p w14:paraId="7634B284" w14:textId="5E1E4E97" w:rsidR="000B634B" w:rsidRPr="002C6A6F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2C6A6F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t xml:space="preserve">We disagree with Lenovo and Samsung that this threshold should be specific to BAP routing ID. This was never agreed by RAN2! </w:t>
            </w:r>
            <w:r w:rsidR="008C7555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t>We agree with HW that it should be configured per IAB-node.</w:t>
            </w:r>
          </w:p>
          <w:p w14:paraId="5EB1785F" w14:textId="77777777" w:rsidR="000B634B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14:paraId="5963CF9E" w14:textId="77777777" w:rsidR="000B634B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On Ericsson’s reply: RAN3 agreed: </w:t>
            </w:r>
          </w:p>
          <w:p w14:paraId="6520CAF2" w14:textId="77777777" w:rsidR="000B634B" w:rsidRPr="006B0E03" w:rsidRDefault="000B634B" w:rsidP="000B634B">
            <w:pPr>
              <w:ind w:left="144" w:hanging="144"/>
              <w:rPr>
                <w:rFonts w:ascii="Calibri" w:hAnsi="Calibri" w:cs="Calibri"/>
                <w:color w:val="00B050"/>
                <w:sz w:val="20"/>
                <w:szCs w:val="20"/>
                <w:lang w:eastAsia="en-US"/>
              </w:rPr>
            </w:pPr>
            <w:r w:rsidRPr="006B0E03">
              <w:rPr>
                <w:rFonts w:ascii="Calibri" w:hAnsi="Calibri" w:cs="Calibri"/>
                <w:color w:val="00B050"/>
                <w:sz w:val="20"/>
                <w:szCs w:val="20"/>
                <w:lang w:eastAsia="en-US"/>
              </w:rPr>
              <w:t>The trigger for sending the CP-based congestion indication is up to implementation.</w:t>
            </w:r>
          </w:p>
          <w:p w14:paraId="68593F4F" w14:textId="77777777" w:rsidR="000B634B" w:rsidRDefault="000B634B" w:rsidP="000B634B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This agreement refers to RAN3’s effort on congestion indication, it does not refer to RAN2’s effort on local-rerouting based on hop-by-hop flow control feedback.</w:t>
            </w:r>
          </w:p>
          <w:p w14:paraId="3C1AF540" w14:textId="14CF1B5B" w:rsidR="00367FD0" w:rsidRDefault="00367FD0" w:rsidP="000B634B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28F4BA72" w14:textId="72DD1D68" w:rsidR="002A07E9" w:rsidRDefault="002A07E9">
      <w:pPr>
        <w:ind w:left="-90"/>
        <w:rPr>
          <w:rFonts w:ascii="Times New Roman" w:hAnsi="Times New Roman" w:cs="Times New Roman"/>
          <w:sz w:val="20"/>
          <w:szCs w:val="22"/>
        </w:rPr>
      </w:pPr>
    </w:p>
    <w:p w14:paraId="27BE1CBD" w14:textId="0AC80543" w:rsidR="007D114F" w:rsidRPr="00492B73" w:rsidRDefault="007D114F">
      <w:pPr>
        <w:ind w:left="-90"/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</w:pPr>
      <w:r w:rsidRPr="00492B73"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  <w:t>Summary:</w:t>
      </w:r>
    </w:p>
    <w:p w14:paraId="367E927D" w14:textId="7D2D7FF6" w:rsidR="007D114F" w:rsidRPr="00492B73" w:rsidRDefault="007D114F">
      <w:pPr>
        <w:ind w:left="-90"/>
        <w:rPr>
          <w:rFonts w:ascii="Times New Roman" w:hAnsi="Times New Roman" w:cs="Times New Roman"/>
          <w:color w:val="0070C0"/>
          <w:sz w:val="20"/>
          <w:szCs w:val="22"/>
        </w:rPr>
      </w:pPr>
      <w:r w:rsidRPr="00492B73">
        <w:rPr>
          <w:rFonts w:ascii="Times New Roman" w:hAnsi="Times New Roman" w:cs="Times New Roman"/>
          <w:color w:val="0070C0"/>
          <w:sz w:val="20"/>
          <w:szCs w:val="22"/>
        </w:rPr>
        <w:t>6 companies think that this should be specified, 2 ar</w:t>
      </w:r>
      <w:r w:rsidR="00492B73" w:rsidRPr="00492B73">
        <w:rPr>
          <w:rFonts w:ascii="Times New Roman" w:hAnsi="Times New Roman" w:cs="Times New Roman"/>
          <w:color w:val="0070C0"/>
          <w:sz w:val="20"/>
          <w:szCs w:val="22"/>
        </w:rPr>
        <w:t>e</w:t>
      </w:r>
      <w:r w:rsidRPr="00492B73">
        <w:rPr>
          <w:rFonts w:ascii="Times New Roman" w:hAnsi="Times New Roman" w:cs="Times New Roman"/>
          <w:color w:val="0070C0"/>
          <w:sz w:val="20"/>
          <w:szCs w:val="22"/>
        </w:rPr>
        <w:t xml:space="preserve"> aga</w:t>
      </w:r>
      <w:r w:rsidR="00492B73" w:rsidRPr="00492B73">
        <w:rPr>
          <w:rFonts w:ascii="Times New Roman" w:hAnsi="Times New Roman" w:cs="Times New Roman"/>
          <w:color w:val="0070C0"/>
          <w:sz w:val="20"/>
          <w:szCs w:val="22"/>
        </w:rPr>
        <w:t xml:space="preserve">inst. </w:t>
      </w:r>
      <w:r w:rsidR="008870AE">
        <w:rPr>
          <w:rFonts w:ascii="Times New Roman" w:hAnsi="Times New Roman" w:cs="Times New Roman"/>
          <w:color w:val="0070C0"/>
          <w:sz w:val="20"/>
          <w:szCs w:val="22"/>
        </w:rPr>
        <w:t>Out of the 6 supporting companies, two think tha</w:t>
      </w:r>
      <w:r w:rsidR="00831747">
        <w:rPr>
          <w:rFonts w:ascii="Times New Roman" w:hAnsi="Times New Roman" w:cs="Times New Roman"/>
          <w:color w:val="0070C0"/>
          <w:sz w:val="20"/>
          <w:szCs w:val="22"/>
        </w:rPr>
        <w:t>t</w:t>
      </w:r>
      <w:r w:rsidR="008870AE">
        <w:rPr>
          <w:rFonts w:ascii="Times New Roman" w:hAnsi="Times New Roman" w:cs="Times New Roman"/>
          <w:color w:val="0070C0"/>
          <w:sz w:val="20"/>
          <w:szCs w:val="22"/>
        </w:rPr>
        <w:t xml:space="preserve"> the threshold is per BRID. </w:t>
      </w:r>
      <w:r w:rsidR="00831747">
        <w:rPr>
          <w:rFonts w:ascii="Times New Roman" w:hAnsi="Times New Roman" w:cs="Times New Roman"/>
          <w:color w:val="0070C0"/>
          <w:sz w:val="20"/>
          <w:szCs w:val="22"/>
        </w:rPr>
        <w:t>Given that the RAN2 agreement does not specify the granularity, the</w:t>
      </w:r>
      <w:r w:rsidR="00492B73" w:rsidRPr="00492B73">
        <w:rPr>
          <w:rFonts w:ascii="Times New Roman" w:hAnsi="Times New Roman" w:cs="Times New Roman"/>
          <w:color w:val="0070C0"/>
          <w:sz w:val="20"/>
          <w:szCs w:val="22"/>
        </w:rPr>
        <w:t xml:space="preserve"> Moderator assumes that the threshold level is for the entire IAB-node, rather than per BRID.</w:t>
      </w:r>
      <w:r w:rsidR="00FC667C">
        <w:rPr>
          <w:rFonts w:ascii="Times New Roman" w:hAnsi="Times New Roman" w:cs="Times New Roman"/>
          <w:color w:val="0070C0"/>
          <w:sz w:val="20"/>
          <w:szCs w:val="22"/>
        </w:rPr>
        <w:t xml:space="preserve"> Note that the RAN2 agreement mention</w:t>
      </w:r>
      <w:r w:rsidR="00F328E4">
        <w:rPr>
          <w:rFonts w:ascii="Times New Roman" w:hAnsi="Times New Roman" w:cs="Times New Roman"/>
          <w:color w:val="0070C0"/>
          <w:sz w:val="20"/>
          <w:szCs w:val="22"/>
        </w:rPr>
        <w:t>s</w:t>
      </w:r>
      <w:r w:rsidR="00FC667C">
        <w:rPr>
          <w:rFonts w:ascii="Times New Roman" w:hAnsi="Times New Roman" w:cs="Times New Roman"/>
          <w:color w:val="0070C0"/>
          <w:sz w:val="20"/>
          <w:szCs w:val="22"/>
        </w:rPr>
        <w:t xml:space="preserve"> “</w:t>
      </w:r>
      <w:r w:rsidR="00F328E4" w:rsidRPr="00F328E4">
        <w:rPr>
          <w:rFonts w:ascii="Times New Roman" w:hAnsi="Times New Roman" w:cs="Times New Roman"/>
          <w:color w:val="0070C0"/>
          <w:sz w:val="20"/>
          <w:szCs w:val="22"/>
          <w:highlight w:val="yellow"/>
        </w:rPr>
        <w:t>A configured threshold</w:t>
      </w:r>
      <w:r w:rsidR="00F328E4" w:rsidRPr="00F328E4">
        <w:rPr>
          <w:rFonts w:ascii="Times New Roman" w:hAnsi="Times New Roman" w:cs="Times New Roman"/>
          <w:color w:val="0070C0"/>
          <w:sz w:val="20"/>
          <w:szCs w:val="22"/>
        </w:rPr>
        <w:t xml:space="preserve"> of available buffer size</w:t>
      </w:r>
      <w:r w:rsidR="00FC667C">
        <w:rPr>
          <w:rFonts w:ascii="Times New Roman" w:hAnsi="Times New Roman" w:cs="Times New Roman"/>
          <w:color w:val="0070C0"/>
          <w:sz w:val="20"/>
          <w:szCs w:val="22"/>
        </w:rPr>
        <w:t>”</w:t>
      </w:r>
      <w:r w:rsidR="00F328E4">
        <w:rPr>
          <w:rFonts w:ascii="Times New Roman" w:hAnsi="Times New Roman" w:cs="Times New Roman"/>
          <w:color w:val="0070C0"/>
          <w:sz w:val="20"/>
          <w:szCs w:val="22"/>
        </w:rPr>
        <w:t xml:space="preserve"> (i.e., singular)</w:t>
      </w:r>
      <w:r w:rsidR="00FC667C">
        <w:rPr>
          <w:rFonts w:ascii="Times New Roman" w:hAnsi="Times New Roman" w:cs="Times New Roman"/>
          <w:color w:val="0070C0"/>
          <w:sz w:val="20"/>
          <w:szCs w:val="22"/>
        </w:rPr>
        <w:t>.</w:t>
      </w:r>
      <w:r w:rsidR="00C243D7">
        <w:rPr>
          <w:rFonts w:ascii="Times New Roman" w:hAnsi="Times New Roman" w:cs="Times New Roman"/>
          <w:color w:val="0070C0"/>
          <w:sz w:val="20"/>
          <w:szCs w:val="22"/>
        </w:rPr>
        <w:t xml:space="preserve"> The format of the threshold IE should be aligned with RAN2’s decision.</w:t>
      </w:r>
    </w:p>
    <w:p w14:paraId="2563DB06" w14:textId="77777777" w:rsidR="00492B73" w:rsidRDefault="00492B73">
      <w:pPr>
        <w:ind w:left="-90"/>
        <w:rPr>
          <w:rFonts w:ascii="Times New Roman" w:hAnsi="Times New Roman" w:cs="Times New Roman"/>
          <w:sz w:val="20"/>
          <w:szCs w:val="22"/>
        </w:rPr>
      </w:pPr>
    </w:p>
    <w:sectPr w:rsidR="00492B73">
      <w:footerReference w:type="default" r:id="rId14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8A30" w14:textId="77777777" w:rsidR="00FC5B15" w:rsidRDefault="00FC5B15">
      <w:pPr>
        <w:spacing w:after="0"/>
      </w:pPr>
      <w:r>
        <w:separator/>
      </w:r>
    </w:p>
  </w:endnote>
  <w:endnote w:type="continuationSeparator" w:id="0">
    <w:p w14:paraId="59370435" w14:textId="77777777" w:rsidR="00FC5B15" w:rsidRDefault="00FC5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charset w:val="80"/>
    <w:family w:val="roman"/>
    <w:pitch w:val="default"/>
    <w:sig w:usb0="00000000" w:usb1="0000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1939" w14:textId="77777777" w:rsidR="002A07E9" w:rsidRDefault="008B74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sv-SE" w:eastAsia="sv-SE"/>
      </w:rPr>
      <w:t>1</w:t>
    </w:r>
    <w:r>
      <w:rPr>
        <w:lang w:val="sv-SE" w:eastAsia="sv-SE"/>
      </w:rPr>
      <w:fldChar w:fldCharType="end"/>
    </w:r>
  </w:p>
  <w:p w14:paraId="32FD7128" w14:textId="77777777" w:rsidR="002A07E9" w:rsidRDefault="002A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E630" w14:textId="77777777" w:rsidR="00FC5B15" w:rsidRDefault="00FC5B15">
      <w:pPr>
        <w:spacing w:after="0"/>
      </w:pPr>
      <w:r>
        <w:separator/>
      </w:r>
    </w:p>
  </w:footnote>
  <w:footnote w:type="continuationSeparator" w:id="0">
    <w:p w14:paraId="03ECC431" w14:textId="77777777" w:rsidR="00FC5B15" w:rsidRDefault="00FC5B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33460E9"/>
    <w:multiLevelType w:val="multilevel"/>
    <w:tmpl w:val="433460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Malgun Gothic" w:hAnsi="Malgun Gothic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??" w:hAnsi="MS ??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libri Light" w:hAnsi="Calibri Light" w:cs="Calibri Light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??" w:hAnsi="MS ??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algun Gothic" w:hAnsi="Malgun Gothic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libri Light" w:hAnsi="Calibri Light" w:cs="Calibri Light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??" w:hAnsi="MS ??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8"/>
    <w:rsid w:val="000010A8"/>
    <w:rsid w:val="00005FF1"/>
    <w:rsid w:val="00006BC3"/>
    <w:rsid w:val="000208FA"/>
    <w:rsid w:val="000268D5"/>
    <w:rsid w:val="000277FF"/>
    <w:rsid w:val="00041BF4"/>
    <w:rsid w:val="00041DD2"/>
    <w:rsid w:val="00042129"/>
    <w:rsid w:val="00052ABB"/>
    <w:rsid w:val="000618C3"/>
    <w:rsid w:val="000626BD"/>
    <w:rsid w:val="00076F2D"/>
    <w:rsid w:val="00080DBB"/>
    <w:rsid w:val="00082EAB"/>
    <w:rsid w:val="00084581"/>
    <w:rsid w:val="000A7190"/>
    <w:rsid w:val="000B0458"/>
    <w:rsid w:val="000B4A83"/>
    <w:rsid w:val="000B53D3"/>
    <w:rsid w:val="000B634B"/>
    <w:rsid w:val="000F2C4F"/>
    <w:rsid w:val="000F57E2"/>
    <w:rsid w:val="00101A5A"/>
    <w:rsid w:val="00104509"/>
    <w:rsid w:val="00110B0F"/>
    <w:rsid w:val="00115EA5"/>
    <w:rsid w:val="00120701"/>
    <w:rsid w:val="001226F6"/>
    <w:rsid w:val="001251A3"/>
    <w:rsid w:val="00142844"/>
    <w:rsid w:val="00146824"/>
    <w:rsid w:val="00150677"/>
    <w:rsid w:val="00153172"/>
    <w:rsid w:val="0015345D"/>
    <w:rsid w:val="00160B1E"/>
    <w:rsid w:val="00190807"/>
    <w:rsid w:val="00190F49"/>
    <w:rsid w:val="001A6916"/>
    <w:rsid w:val="001A787D"/>
    <w:rsid w:val="001B7C5D"/>
    <w:rsid w:val="001C6E79"/>
    <w:rsid w:val="001D1478"/>
    <w:rsid w:val="001D29C8"/>
    <w:rsid w:val="001D6182"/>
    <w:rsid w:val="001D6A88"/>
    <w:rsid w:val="001E4FFF"/>
    <w:rsid w:val="001E6F87"/>
    <w:rsid w:val="001F3292"/>
    <w:rsid w:val="00205EB5"/>
    <w:rsid w:val="00206CF3"/>
    <w:rsid w:val="00217F9A"/>
    <w:rsid w:val="00234446"/>
    <w:rsid w:val="00234AC7"/>
    <w:rsid w:val="002352F0"/>
    <w:rsid w:val="00241BFB"/>
    <w:rsid w:val="00295308"/>
    <w:rsid w:val="002A07E9"/>
    <w:rsid w:val="002A3818"/>
    <w:rsid w:val="002B011D"/>
    <w:rsid w:val="002C2FD7"/>
    <w:rsid w:val="002C7B21"/>
    <w:rsid w:val="002D1EC2"/>
    <w:rsid w:val="002D21A7"/>
    <w:rsid w:val="002E4E10"/>
    <w:rsid w:val="002E5CDC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4F9F"/>
    <w:rsid w:val="003223A3"/>
    <w:rsid w:val="0032429C"/>
    <w:rsid w:val="00326839"/>
    <w:rsid w:val="00334176"/>
    <w:rsid w:val="00341245"/>
    <w:rsid w:val="0034420F"/>
    <w:rsid w:val="00344BFA"/>
    <w:rsid w:val="00345954"/>
    <w:rsid w:val="0036626F"/>
    <w:rsid w:val="00366DE5"/>
    <w:rsid w:val="00367A6B"/>
    <w:rsid w:val="00367FD0"/>
    <w:rsid w:val="00370C77"/>
    <w:rsid w:val="00376C2A"/>
    <w:rsid w:val="00380D42"/>
    <w:rsid w:val="003865A8"/>
    <w:rsid w:val="003907BC"/>
    <w:rsid w:val="00390D12"/>
    <w:rsid w:val="00393B5F"/>
    <w:rsid w:val="003A647A"/>
    <w:rsid w:val="003A7E37"/>
    <w:rsid w:val="003B7FEA"/>
    <w:rsid w:val="003C0EAB"/>
    <w:rsid w:val="003C3A75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764B4"/>
    <w:rsid w:val="004918A1"/>
    <w:rsid w:val="00492B73"/>
    <w:rsid w:val="004970F8"/>
    <w:rsid w:val="004A7B2B"/>
    <w:rsid w:val="004B2285"/>
    <w:rsid w:val="004C0B18"/>
    <w:rsid w:val="004D361F"/>
    <w:rsid w:val="004F507B"/>
    <w:rsid w:val="005119F9"/>
    <w:rsid w:val="00512281"/>
    <w:rsid w:val="00513D12"/>
    <w:rsid w:val="00514430"/>
    <w:rsid w:val="00520911"/>
    <w:rsid w:val="00523D81"/>
    <w:rsid w:val="0053246D"/>
    <w:rsid w:val="00540E45"/>
    <w:rsid w:val="00570071"/>
    <w:rsid w:val="00577BE0"/>
    <w:rsid w:val="00587219"/>
    <w:rsid w:val="005A0380"/>
    <w:rsid w:val="005A4A66"/>
    <w:rsid w:val="005A59D9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F7AFB"/>
    <w:rsid w:val="006171AA"/>
    <w:rsid w:val="00624B95"/>
    <w:rsid w:val="006270E6"/>
    <w:rsid w:val="0063001C"/>
    <w:rsid w:val="00630364"/>
    <w:rsid w:val="00635690"/>
    <w:rsid w:val="00637AC0"/>
    <w:rsid w:val="006458E0"/>
    <w:rsid w:val="0065160D"/>
    <w:rsid w:val="00652531"/>
    <w:rsid w:val="00652A18"/>
    <w:rsid w:val="00652D7E"/>
    <w:rsid w:val="0065508C"/>
    <w:rsid w:val="00690F78"/>
    <w:rsid w:val="006A1168"/>
    <w:rsid w:val="006A1383"/>
    <w:rsid w:val="006A5C35"/>
    <w:rsid w:val="006B32D0"/>
    <w:rsid w:val="006B3398"/>
    <w:rsid w:val="006B474D"/>
    <w:rsid w:val="006C0E2F"/>
    <w:rsid w:val="006C2B0F"/>
    <w:rsid w:val="006D1050"/>
    <w:rsid w:val="006D4098"/>
    <w:rsid w:val="006E081F"/>
    <w:rsid w:val="006E16D1"/>
    <w:rsid w:val="006F162C"/>
    <w:rsid w:val="006F2543"/>
    <w:rsid w:val="006F3C20"/>
    <w:rsid w:val="006F7E52"/>
    <w:rsid w:val="007002B3"/>
    <w:rsid w:val="00704250"/>
    <w:rsid w:val="00705A36"/>
    <w:rsid w:val="00712AEA"/>
    <w:rsid w:val="00715906"/>
    <w:rsid w:val="00716045"/>
    <w:rsid w:val="007247FD"/>
    <w:rsid w:val="00732938"/>
    <w:rsid w:val="00737E11"/>
    <w:rsid w:val="00747719"/>
    <w:rsid w:val="007517A3"/>
    <w:rsid w:val="007808DF"/>
    <w:rsid w:val="00780BF6"/>
    <w:rsid w:val="00791700"/>
    <w:rsid w:val="007A1F4E"/>
    <w:rsid w:val="007C1ED9"/>
    <w:rsid w:val="007C4D62"/>
    <w:rsid w:val="007D114F"/>
    <w:rsid w:val="007D65C5"/>
    <w:rsid w:val="007E66D0"/>
    <w:rsid w:val="00801E93"/>
    <w:rsid w:val="00826B08"/>
    <w:rsid w:val="00831747"/>
    <w:rsid w:val="00835C18"/>
    <w:rsid w:val="008626F8"/>
    <w:rsid w:val="00874D93"/>
    <w:rsid w:val="00885FBD"/>
    <w:rsid w:val="008863B8"/>
    <w:rsid w:val="0088657E"/>
    <w:rsid w:val="008870AE"/>
    <w:rsid w:val="00892683"/>
    <w:rsid w:val="00893361"/>
    <w:rsid w:val="008A05BB"/>
    <w:rsid w:val="008A317E"/>
    <w:rsid w:val="008B1CBD"/>
    <w:rsid w:val="008B7441"/>
    <w:rsid w:val="008C6B44"/>
    <w:rsid w:val="008C7555"/>
    <w:rsid w:val="008E6451"/>
    <w:rsid w:val="00900428"/>
    <w:rsid w:val="00904A91"/>
    <w:rsid w:val="00923377"/>
    <w:rsid w:val="00925598"/>
    <w:rsid w:val="00926B54"/>
    <w:rsid w:val="00932BF0"/>
    <w:rsid w:val="00955182"/>
    <w:rsid w:val="0096310A"/>
    <w:rsid w:val="009639EA"/>
    <w:rsid w:val="00967B3A"/>
    <w:rsid w:val="00980B27"/>
    <w:rsid w:val="00982329"/>
    <w:rsid w:val="00990231"/>
    <w:rsid w:val="0099087B"/>
    <w:rsid w:val="00994D50"/>
    <w:rsid w:val="0099508F"/>
    <w:rsid w:val="009B3BF7"/>
    <w:rsid w:val="009B3D14"/>
    <w:rsid w:val="009B73DF"/>
    <w:rsid w:val="009D79D0"/>
    <w:rsid w:val="009E178C"/>
    <w:rsid w:val="00A0415F"/>
    <w:rsid w:val="00A1086A"/>
    <w:rsid w:val="00A13E0E"/>
    <w:rsid w:val="00A22E7E"/>
    <w:rsid w:val="00A3135D"/>
    <w:rsid w:val="00A354E8"/>
    <w:rsid w:val="00A4069D"/>
    <w:rsid w:val="00A61BA7"/>
    <w:rsid w:val="00A638D3"/>
    <w:rsid w:val="00A66D19"/>
    <w:rsid w:val="00A71079"/>
    <w:rsid w:val="00A715A4"/>
    <w:rsid w:val="00A727C6"/>
    <w:rsid w:val="00A7327E"/>
    <w:rsid w:val="00A77AFE"/>
    <w:rsid w:val="00A77DAE"/>
    <w:rsid w:val="00A80624"/>
    <w:rsid w:val="00A83764"/>
    <w:rsid w:val="00AA19AE"/>
    <w:rsid w:val="00AB0F8A"/>
    <w:rsid w:val="00AB2D50"/>
    <w:rsid w:val="00AB5D97"/>
    <w:rsid w:val="00AD5651"/>
    <w:rsid w:val="00AE1354"/>
    <w:rsid w:val="00AE2FCB"/>
    <w:rsid w:val="00AF35FB"/>
    <w:rsid w:val="00AF4974"/>
    <w:rsid w:val="00AF655F"/>
    <w:rsid w:val="00B255F9"/>
    <w:rsid w:val="00B355B5"/>
    <w:rsid w:val="00B5015C"/>
    <w:rsid w:val="00B551EC"/>
    <w:rsid w:val="00B57EC1"/>
    <w:rsid w:val="00B647E9"/>
    <w:rsid w:val="00B83E55"/>
    <w:rsid w:val="00B83FAA"/>
    <w:rsid w:val="00B84704"/>
    <w:rsid w:val="00B871D0"/>
    <w:rsid w:val="00B90E39"/>
    <w:rsid w:val="00BA0922"/>
    <w:rsid w:val="00BA3E35"/>
    <w:rsid w:val="00BA6C39"/>
    <w:rsid w:val="00BB170B"/>
    <w:rsid w:val="00BB5502"/>
    <w:rsid w:val="00BD2515"/>
    <w:rsid w:val="00BD491E"/>
    <w:rsid w:val="00C21C1A"/>
    <w:rsid w:val="00C243D7"/>
    <w:rsid w:val="00C267F4"/>
    <w:rsid w:val="00C26A73"/>
    <w:rsid w:val="00C351AC"/>
    <w:rsid w:val="00C4519D"/>
    <w:rsid w:val="00C56934"/>
    <w:rsid w:val="00C57236"/>
    <w:rsid w:val="00C611A2"/>
    <w:rsid w:val="00C76916"/>
    <w:rsid w:val="00C81F34"/>
    <w:rsid w:val="00C839FA"/>
    <w:rsid w:val="00C87544"/>
    <w:rsid w:val="00CC48F6"/>
    <w:rsid w:val="00CC608F"/>
    <w:rsid w:val="00CD354E"/>
    <w:rsid w:val="00CF36A9"/>
    <w:rsid w:val="00CF7384"/>
    <w:rsid w:val="00D05236"/>
    <w:rsid w:val="00D43DF7"/>
    <w:rsid w:val="00D45A15"/>
    <w:rsid w:val="00D51F65"/>
    <w:rsid w:val="00D52CA2"/>
    <w:rsid w:val="00D54E36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A4A84"/>
    <w:rsid w:val="00DB23F0"/>
    <w:rsid w:val="00DB307F"/>
    <w:rsid w:val="00DB6CE9"/>
    <w:rsid w:val="00DC774A"/>
    <w:rsid w:val="00DD2683"/>
    <w:rsid w:val="00DD4984"/>
    <w:rsid w:val="00E126C7"/>
    <w:rsid w:val="00E21CCF"/>
    <w:rsid w:val="00E2477D"/>
    <w:rsid w:val="00E30FB2"/>
    <w:rsid w:val="00E317E5"/>
    <w:rsid w:val="00E800A4"/>
    <w:rsid w:val="00E813F7"/>
    <w:rsid w:val="00E834E5"/>
    <w:rsid w:val="00EA2779"/>
    <w:rsid w:val="00EA2E3A"/>
    <w:rsid w:val="00EA40BE"/>
    <w:rsid w:val="00EA53C2"/>
    <w:rsid w:val="00EB2D2F"/>
    <w:rsid w:val="00EB55D3"/>
    <w:rsid w:val="00EB676E"/>
    <w:rsid w:val="00EB6A0D"/>
    <w:rsid w:val="00EC35FF"/>
    <w:rsid w:val="00EC54C7"/>
    <w:rsid w:val="00ED3BA6"/>
    <w:rsid w:val="00ED6264"/>
    <w:rsid w:val="00ED78C7"/>
    <w:rsid w:val="00EE45A0"/>
    <w:rsid w:val="00EE4FBD"/>
    <w:rsid w:val="00EF063D"/>
    <w:rsid w:val="00EF293A"/>
    <w:rsid w:val="00F20759"/>
    <w:rsid w:val="00F26B76"/>
    <w:rsid w:val="00F278F2"/>
    <w:rsid w:val="00F27CBB"/>
    <w:rsid w:val="00F328E4"/>
    <w:rsid w:val="00F36FFE"/>
    <w:rsid w:val="00F65179"/>
    <w:rsid w:val="00F659E9"/>
    <w:rsid w:val="00F775D5"/>
    <w:rsid w:val="00F908A6"/>
    <w:rsid w:val="00FA0A09"/>
    <w:rsid w:val="00FB203D"/>
    <w:rsid w:val="00FC276E"/>
    <w:rsid w:val="00FC3A5B"/>
    <w:rsid w:val="00FC5B15"/>
    <w:rsid w:val="00FC667C"/>
    <w:rsid w:val="00FD258D"/>
    <w:rsid w:val="00FF5D84"/>
    <w:rsid w:val="5DB31CB2"/>
    <w:rsid w:val="630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C24EA"/>
  <w15:docId w15:val="{07C47667-59EB-411F-93D8-1137C3CB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Malgun Gothic" w:eastAsia="Malgun Gothic" w:hAnsi="Malgun Gothic" w:cs="Malgun Gothic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qFormat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MS Mincho" w:hAnsi="MS Mincho" w:cs="MS Mincho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CommentSubject">
    <w:name w:val="annotation subject"/>
    <w:basedOn w:val="CommentText"/>
    <w:next w:val="CommentText"/>
    <w:link w:val="CommentSubjectChar"/>
    <w:qFormat/>
    <w:pPr>
      <w:overflowPunct/>
      <w:autoSpaceDE/>
      <w:autoSpaceDN/>
      <w:adjustRightInd/>
      <w:jc w:val="left"/>
    </w:pPr>
    <w:rPr>
      <w:rFonts w:ascii="Malgun Gothic" w:eastAsia="Calibri Light" w:hAnsi="Malgun Gothic"/>
      <w:b/>
      <w:bCs/>
      <w:lang w:val="en-US" w:eastAsia="ja-JP"/>
    </w:rPr>
  </w:style>
  <w:style w:type="table" w:styleId="TableGrid">
    <w:name w:val="Table Grid"/>
    <w:basedOn w:val="TableNormal"/>
    <w:qFormat/>
    <w:rPr>
      <w:rFonts w:ascii="Malgun Gothic" w:eastAsia="Malgun Gothic" w:hAnsi="Malgun Gothic" w:cs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954F72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Calibri Light" w:eastAsia="Malgun Gothic" w:hAnsi="Calibri Light" w:cs="Calibri Light"/>
      <w:bCs/>
      <w:sz w:val="36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qFormat/>
    <w:rPr>
      <w:rFonts w:ascii="Calibri Light" w:eastAsia="Malgun Gothic" w:hAnsi="Calibri Light" w:cs="Calibri Light"/>
      <w:iCs/>
      <w:sz w:val="32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qFormat/>
    <w:rPr>
      <w:rFonts w:ascii="Calibri Light" w:eastAsia="Malgun Gothic" w:hAnsi="Calibri Light" w:cs="Calibri Light"/>
      <w:bCs/>
      <w:iCs/>
      <w:sz w:val="28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Calibri Light" w:eastAsia="Malgun Gothic" w:hAnsi="Calibri Light" w:cs="Calibri Light"/>
      <w:iCs/>
      <w:sz w:val="24"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qFormat/>
    <w:rPr>
      <w:rFonts w:ascii="Calibri Light" w:eastAsia="Malgun Gothic" w:hAnsi="Calibri Light" w:cs="Calibri Light"/>
      <w:bCs/>
      <w:szCs w:val="26"/>
      <w:lang w:val="en-US" w:eastAsia="ja-JP"/>
    </w:rPr>
  </w:style>
  <w:style w:type="character" w:customStyle="1" w:styleId="Heading6Char">
    <w:name w:val="Heading 6 Char"/>
    <w:basedOn w:val="DefaultParagraphFont"/>
    <w:link w:val="Heading6"/>
    <w:qFormat/>
    <w:rPr>
      <w:rFonts w:ascii="Calibri Light" w:eastAsia="Malgun Gothic" w:hAnsi="Calibri Light" w:cs="Malgun Gothic"/>
      <w:bCs/>
      <w:lang w:val="en-US" w:eastAsia="ja-JP"/>
    </w:rPr>
  </w:style>
  <w:style w:type="character" w:customStyle="1" w:styleId="Heading7Char">
    <w:name w:val="Heading 7 Char"/>
    <w:basedOn w:val="DefaultParagraphFont"/>
    <w:link w:val="Heading7"/>
    <w:qFormat/>
    <w:rPr>
      <w:rFonts w:ascii="Calibri Light" w:eastAsia="Malgun Gothic" w:hAnsi="Calibri Light" w:cs="Malgun Gothic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qFormat/>
    <w:rPr>
      <w:rFonts w:ascii="Calibri Light" w:eastAsia="Malgun Gothic" w:hAnsi="Calibri Light" w:cs="Malgun Gothic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qFormat/>
    <w:rPr>
      <w:rFonts w:ascii="Calibri Light" w:eastAsia="Malgun Gothic" w:hAnsi="Calibri Light" w:cs="Calibri Light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Calibri Light" w:eastAsia="Malgun Gothic" w:hAnsi="Calibri Light" w:cs="Malgun Gothic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Malgun Gothic" w:eastAsia="Malgun Gothic" w:hAnsi="Malgun Gothic" w:cs="Malgun Gothic"/>
      <w:szCs w:val="24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MS Mincho" w:eastAsia="Malgun Gothic" w:hAnsi="MS Mincho" w:cs="MS Mincho"/>
      <w:sz w:val="18"/>
      <w:szCs w:val="18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Malgun Gothic" w:eastAsia="Malgun Gothic" w:hAnsi="Malgun Gothic" w:cs="Malgun Gothic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qFormat/>
    <w:rPr>
      <w:rFonts w:ascii="Malgun Gothic" w:eastAsia="Malgun Gothic" w:hAnsi="Malgun Gothic" w:cs="Malgun Gothic"/>
      <w:sz w:val="18"/>
      <w:szCs w:val="18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Malgun Gothic" w:eastAsia="Calibri Light" w:hAnsi="Malgun Gothic" w:cs="Malgun Gothic"/>
      <w:b/>
      <w:bCs/>
      <w:sz w:val="20"/>
      <w:szCs w:val="20"/>
      <w:lang w:val="en-US" w:eastAsia="ja-JP"/>
    </w:rPr>
  </w:style>
  <w:style w:type="character" w:customStyle="1" w:styleId="B1Char1">
    <w:name w:val="B1 Char1"/>
    <w:link w:val="B1"/>
    <w:qFormat/>
    <w:locked/>
    <w:rPr>
      <w:rFonts w:ascii="Calibri Light" w:hAnsi="Calibri Light" w:cs="Calibri Light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eastAsiaTheme="minorHAnsi" w:hAnsi="Calibri Light" w:cs="Calibri Light"/>
      <w:szCs w:val="22"/>
      <w:lang w:val="sv-SE" w:eastAsia="en-US"/>
    </w:rPr>
  </w:style>
  <w:style w:type="character" w:customStyle="1" w:styleId="ProposalChar">
    <w:name w:val="Proposal Char"/>
    <w:link w:val="Proposal"/>
    <w:qFormat/>
    <w:locked/>
    <w:rPr>
      <w:rFonts w:ascii="Calibri Light" w:hAnsi="Calibri Light" w:cs="Calibri Light"/>
      <w:b/>
      <w:bCs/>
      <w:lang w:eastAsia="ja-JP"/>
    </w:rPr>
  </w:style>
  <w:style w:type="paragraph" w:customStyle="1" w:styleId="Proposal">
    <w:name w:val="Proposal"/>
    <w:basedOn w:val="Normal"/>
    <w:link w:val="ProposalChar"/>
    <w:qFormat/>
    <w:pPr>
      <w:numPr>
        <w:numId w:val="2"/>
      </w:numPr>
      <w:overflowPunct w:val="0"/>
      <w:autoSpaceDE w:val="0"/>
      <w:autoSpaceDN w:val="0"/>
      <w:adjustRightInd w:val="0"/>
      <w:jc w:val="both"/>
    </w:pPr>
    <w:rPr>
      <w:rFonts w:ascii="Calibri Light" w:eastAsiaTheme="minorHAnsi" w:hAnsi="Calibri Light" w:cs="Calibri Light"/>
      <w:b/>
      <w:bCs/>
      <w:szCs w:val="22"/>
      <w:lang w:val="sv-SE"/>
    </w:rPr>
  </w:style>
  <w:style w:type="character" w:customStyle="1" w:styleId="ReviewTextChar">
    <w:name w:val="ReviewText Char"/>
    <w:link w:val="ReviewText"/>
    <w:qFormat/>
    <w:rPr>
      <w:rFonts w:ascii="Calibri Light" w:eastAsia="Malgun Gothic" w:hAnsi="Calibri Light"/>
    </w:rPr>
  </w:style>
  <w:style w:type="paragraph" w:customStyle="1" w:styleId="ReviewText">
    <w:name w:val="ReviewText"/>
    <w:basedOn w:val="Normal"/>
    <w:link w:val="ReviewTextChar"/>
    <w:qFormat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TALChar">
    <w:name w:val="TAL Char"/>
    <w:link w:val="TAL"/>
    <w:qFormat/>
    <w:rPr>
      <w:rFonts w:ascii="Calibri Light" w:eastAsia="Malgun Gothic" w:hAnsi="Calibri Light"/>
      <w:sz w:val="18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IvDbodytextChar">
    <w:name w:val="IvD bodytext Char"/>
    <w:link w:val="IvDbodytext"/>
    <w:qFormat/>
    <w:locked/>
    <w:rPr>
      <w:rFonts w:ascii="Calibri Light" w:eastAsia="Malgun Gothic" w:hAnsi="Calibri Light"/>
      <w:spacing w:val="2"/>
      <w:lang w:val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TAHChar">
    <w:name w:val="TAH Char"/>
    <w:link w:val="TAH"/>
    <w:qFormat/>
    <w:rPr>
      <w:rFonts w:ascii="Calibri Light" w:eastAsia="Malgun Gothic" w:hAnsi="Calibri Light"/>
      <w:b/>
      <w:sz w:val="18"/>
      <w:lang w:val="en-GB"/>
    </w:rPr>
  </w:style>
  <w:style w:type="paragraph" w:customStyle="1" w:styleId="TAH">
    <w:name w:val="TAH"/>
    <w:basedOn w:val="Normal"/>
    <w:link w:val="TAHChar"/>
    <w:qFormat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Calibri Light" w:eastAsia="MS ??" w:hAnsi="Calibri Light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Calibri Light" w:eastAsia="MS ??" w:hAnsi="Calibri Light"/>
      <w:sz w:val="22"/>
      <w:szCs w:val="22"/>
      <w:lang w:val="en-GB"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1">
    <w:name w:val="修订1"/>
    <w:uiPriority w:val="99"/>
    <w:unhideWhenUsed/>
    <w:qFormat/>
    <w:rPr>
      <w:rFonts w:ascii="Malgun Gothic" w:eastAsia="Malgun Gothic" w:hAnsi="Malgun Gothic" w:cs="Malgun Gothic"/>
      <w:sz w:val="22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tabs>
        <w:tab w:val="left" w:pos="1701"/>
      </w:tabs>
    </w:p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 Light" w:eastAsia="Malgun Gothic" w:hAnsi="Calibri Light" w:cs="Malgun Gothic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679E0-3950-4CEF-A7A7-A124CADF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46AE0-C1C3-4AE4-9609-691552F002A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A881012-C4E6-4686-87A6-3CF7624E203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F8259C6-E400-4FE1-A8F0-7A351348DC1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396B72-3213-4B9E-81E4-B1D7B82B8B9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A767391-B86B-4C08-A56E-DE419E6F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771</Words>
  <Characters>4087</Characters>
  <Application>Microsoft Office Word</Application>
  <DocSecurity>0</DocSecurity>
  <Lines>34</Lines>
  <Paragraphs>9</Paragraphs>
  <ScaleCrop>false</ScaleCrop>
  <Company>Huawei Technologies Co., Ltd.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Ericsson User</cp:lastModifiedBy>
  <cp:revision>26</cp:revision>
  <dcterms:created xsi:type="dcterms:W3CDTF">2022-02-23T16:25:00Z</dcterms:created>
  <dcterms:modified xsi:type="dcterms:W3CDTF">2022-02-27T19:37:00Z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  <property fmtid="{D5CDD505-2E9C-101B-9397-08002B2CF9AE}" pid="4" name="KSOProductBuildVer">
    <vt:lpwstr>2052-11.8.2.9022</vt:lpwstr>
  </property>
</Properties>
</file>