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87F" w14:textId="77777777" w:rsidR="002A07E9" w:rsidRDefault="008B7441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#115-e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R3-222464</w:t>
      </w:r>
    </w:p>
    <w:p w14:paraId="6093ACD2" w14:textId="77777777" w:rsidR="002A07E9" w:rsidRDefault="008B7441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February 21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st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March 3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1C59E895" w14:textId="77777777" w:rsidR="002A07E9" w:rsidRDefault="002A07E9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403C4C02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13.3.1</w:t>
      </w:r>
    </w:p>
    <w:p w14:paraId="643CC530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Ericsson (moderator)</w:t>
      </w:r>
    </w:p>
    <w:p w14:paraId="0A65A1D3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CB: # 1305_IAB_Con_Mit - Summary of email discussion</w:t>
      </w:r>
    </w:p>
    <w:p w14:paraId="77FDD7E4" w14:textId="77777777" w:rsidR="002A07E9" w:rsidRDefault="008B7441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60504787" w14:textId="77777777" w:rsidR="002A07E9" w:rsidRDefault="008B7441">
      <w:pPr>
        <w:pStyle w:val="Heading1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02D4F012" w14:textId="77777777" w:rsidR="002A07E9" w:rsidRDefault="008B7441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77"/>
      <w:bookmarkStart w:id="2" w:name="_Hlk72145532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Thursday, February 24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3E0A96D7" w14:textId="77777777" w:rsidR="002A07E9" w:rsidRDefault="008B7441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74987B5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[Eri1684]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IAB BL CR for TS 38.473) Congestion Mitigation in IAB Networks (Ericsson)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1AE7EDD1" w14:textId="77777777" w:rsidR="002A07E9" w:rsidRDefault="008B7441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 (Huawei)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4E9B3435" w14:textId="77777777" w:rsidR="002A07E9" w:rsidRDefault="008B7441">
      <w:pPr>
        <w:spacing w:before="120" w:after="0"/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38.473 will be drafted based on the outcome of this round.</w:t>
      </w:r>
    </w:p>
    <w:p w14:paraId="332EA175" w14:textId="77777777" w:rsidR="002A07E9" w:rsidRDefault="008B7441">
      <w:pPr>
        <w:pStyle w:val="Heading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1EF4D4EE" w14:textId="00E875A6" w:rsidR="002A07E9" w:rsidRPr="00652A18" w:rsidRDefault="00BB5502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652A18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Proposal 1: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 xml:space="preserve"> 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RAN3 define</w:t>
      </w:r>
      <w:r w:rsid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s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F1AP signalling for configuring</w:t>
      </w:r>
      <w:r w:rsidR="00C87544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</w:t>
      </w:r>
      <w:r w:rsidR="00652A18" w:rsidRPr="00652A18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the buffer size threshold at the IAB-DU</w:t>
      </w:r>
      <w:r w:rsidR="00FC667C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 xml:space="preserve"> for the purpose of local rerouting</w:t>
      </w:r>
      <w:r w:rsidR="007808DF"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  <w:t>.</w:t>
      </w:r>
    </w:p>
    <w:p w14:paraId="3BA78356" w14:textId="006168D6" w:rsidR="00BB5502" w:rsidRDefault="00BB5502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Proposal 2: Agree the TP for IAB BL CR for TS 38.473 in R3-222502.</w:t>
      </w:r>
    </w:p>
    <w:bookmarkEnd w:id="4"/>
    <w:p w14:paraId="6768622A" w14:textId="77777777" w:rsidR="002A07E9" w:rsidRDefault="008B7441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 w14:paraId="2A8ACC23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29C61D41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305D057B" w14:textId="77777777" w:rsidR="002A07E9" w:rsidRDefault="008B7441">
      <w:pPr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>The F1AP TP in R3-221684 proposes to implement the confirmed WAs from RAN3#114bis-e and will be included in the TP assembled in the second round. The confirmed WAs are:</w:t>
      </w:r>
    </w:p>
    <w:p w14:paraId="15A4B4F3" w14:textId="77777777" w:rsidR="002A07E9" w:rsidRDefault="008B7441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6ABE7C81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 w14:paraId="28BB63D7" w14:textId="77777777" w:rsidR="002A07E9" w:rsidRDefault="008B7441">
      <w:pPr>
        <w:pStyle w:val="ListParagraph"/>
        <w:numPr>
          <w:ilvl w:val="0"/>
          <w:numId w:val="5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lastRenderedPageBreak/>
        <w:t>WA: the presence of Child Node Identifier IE is Mandatory.</w:t>
      </w:r>
    </w:p>
    <w:p w14:paraId="37F1F610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For inter-donor topology redundancy, the non-F1-terminating CU can initiate the revocation to handle the congestion at the upstream of boundary node in its topology.</w:t>
      </w:r>
    </w:p>
    <w:p w14:paraId="58799E2D" w14:textId="77777777" w:rsidR="002A07E9" w:rsidRDefault="002A07E9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CB6006F" w14:textId="77777777" w:rsidR="002A07E9" w:rsidRDefault="008B7441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7D3B853A" w14:textId="77777777" w:rsidR="002A07E9" w:rsidRDefault="008B744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6F72F947" w14:textId="77777777" w:rsidR="002A07E9" w:rsidRDefault="008B744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8D218B3" w14:textId="77777777" w:rsidR="002A07E9" w:rsidRDefault="008B744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2A07E9" w14:paraId="6C12429B" w14:textId="77777777">
        <w:trPr>
          <w:trHeight w:val="325"/>
        </w:trPr>
        <w:tc>
          <w:tcPr>
            <w:tcW w:w="1378" w:type="dxa"/>
          </w:tcPr>
          <w:p w14:paraId="1F0A40E7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6768A865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51119A9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2A07E9" w14:paraId="48CD246B" w14:textId="77777777">
        <w:trPr>
          <w:trHeight w:val="357"/>
        </w:trPr>
        <w:tc>
          <w:tcPr>
            <w:tcW w:w="1378" w:type="dxa"/>
          </w:tcPr>
          <w:p w14:paraId="139228D3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6934EB82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2E3BD7A8" w14:textId="77777777" w:rsidR="002A07E9" w:rsidRDefault="008B74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2A07E9" w14:paraId="459F7641" w14:textId="77777777">
        <w:trPr>
          <w:trHeight w:val="342"/>
        </w:trPr>
        <w:tc>
          <w:tcPr>
            <w:tcW w:w="1378" w:type="dxa"/>
          </w:tcPr>
          <w:p w14:paraId="00FAF54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36A0D83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5394C3DA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D2A54C5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2C02C37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0112558D" w14:textId="77777777" w:rsidR="002A07E9" w:rsidRDefault="008B7441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3768AC1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 configured threshold of available buffer size needs to be configured to the parent IAB-node to determine the congestion based on the received HbH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2A07E9" w14:paraId="46E01AB8" w14:textId="77777777">
        <w:trPr>
          <w:trHeight w:val="325"/>
        </w:trPr>
        <w:tc>
          <w:tcPr>
            <w:tcW w:w="1378" w:type="dxa"/>
          </w:tcPr>
          <w:p w14:paraId="118876E1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3B45525B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6D7544DF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IAB-DU.</w:t>
            </w:r>
          </w:p>
        </w:tc>
      </w:tr>
      <w:tr w:rsidR="002A07E9" w14:paraId="49D6C1BD" w14:textId="77777777">
        <w:trPr>
          <w:trHeight w:val="325"/>
        </w:trPr>
        <w:tc>
          <w:tcPr>
            <w:tcW w:w="1378" w:type="dxa"/>
          </w:tcPr>
          <w:p w14:paraId="1E6DDA7D" w14:textId="77777777" w:rsidR="002A07E9" w:rsidRDefault="008B7441">
            <w:pPr>
              <w:spacing w:before="120" w:after="0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 w14:paraId="7763B87C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47A96D6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 w:rsidR="002A07E9" w14:paraId="3A5E7670" w14:textId="77777777">
        <w:trPr>
          <w:trHeight w:val="342"/>
        </w:trPr>
        <w:tc>
          <w:tcPr>
            <w:tcW w:w="1378" w:type="dxa"/>
          </w:tcPr>
          <w:p w14:paraId="4ED347C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 w14:paraId="1A75682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 w14:paraId="25293EE4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his is RAN2 agreement, and such buffer size threshold should be BAP routing ID specific. </w:t>
            </w:r>
          </w:p>
        </w:tc>
      </w:tr>
      <w:tr w:rsidR="002A07E9" w14:paraId="068B2BD4" w14:textId="77777777">
        <w:trPr>
          <w:trHeight w:val="342"/>
        </w:trPr>
        <w:tc>
          <w:tcPr>
            <w:tcW w:w="1378" w:type="dxa"/>
          </w:tcPr>
          <w:p w14:paraId="54F276B6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209" w:type="dxa"/>
          </w:tcPr>
          <w:p w14:paraId="74C0FDA7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7200" w:type="dxa"/>
          </w:tcPr>
          <w:p w14:paraId="2ACFF232" w14:textId="77777777" w:rsidR="002A07E9" w:rsidRDefault="008B7441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with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the TP given in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GB" w:eastAsia="zh-CN"/>
              </w:rPr>
              <w:t>[Hua2129]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2A07E9" w14:paraId="2E3A934B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851" w14:textId="04A99EA7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D07" w14:textId="3545D8F2" w:rsidR="002A07E9" w:rsidRDefault="00EA2E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199" w14:textId="30491238" w:rsidR="002A07E9" w:rsidRDefault="00EF293A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Use F1AP signalling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to provide the configuration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is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more flexible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than OAM 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based solution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and CU can determine the threshold for each BH link according to the link status by proper implementation</w:t>
            </w:r>
            <w:r w:rsidR="0089268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63036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We think the per BAP routing ID is reasonable, but will result in more signaling overhead, so we suggest the threshold is configured per IAB node.</w:t>
            </w:r>
            <w:r w:rsidR="00B647E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0B634B" w14:paraId="713F6AE5" w14:textId="77777777">
        <w:trPr>
          <w:trHeight w:val="325"/>
        </w:trPr>
        <w:tc>
          <w:tcPr>
            <w:tcW w:w="1378" w:type="dxa"/>
          </w:tcPr>
          <w:p w14:paraId="18316FA0" w14:textId="51C5F5D9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1209" w:type="dxa"/>
          </w:tcPr>
          <w:p w14:paraId="3B941CA0" w14:textId="32756AE9" w:rsidR="000B634B" w:rsidRDefault="000B634B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5D9347C1" w14:textId="4BB9DE7B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This threshold applies to hop-by-hop flow control feedback and is used to trigger local rerouting. Indeed, the threshold should be configured via F1AP. RAN2 forgot to send an LS on this topic. </w:t>
            </w:r>
          </w:p>
          <w:p w14:paraId="3498F68A" w14:textId="7F1452B1" w:rsidR="008C7555" w:rsidRPr="008C7555" w:rsidRDefault="008C7555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We disagree with Nokia. RAN2’s agreement implies that it is “configurable” and not “up to implementation.</w:t>
            </w:r>
          </w:p>
          <w:p w14:paraId="7634B284" w14:textId="5E1E4E97" w:rsidR="000B634B" w:rsidRPr="002C6A6F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2C6A6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 xml:space="preserve">We disagree with Lenovo and Samsung that this threshold should be specific to BAP routing ID. This was never agreed by RAN2! </w:t>
            </w:r>
            <w:r w:rsidR="008C7555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We agree with HW that it should be configured per IAB-node.</w:t>
            </w:r>
          </w:p>
          <w:p w14:paraId="5EB1785F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14:paraId="5963CF9E" w14:textId="77777777" w:rsidR="000B634B" w:rsidRDefault="000B634B" w:rsidP="000B634B">
            <w:pPr>
              <w:ind w:left="144" w:hanging="144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On Ericsson’s reply: RAN3 agreed: </w:t>
            </w:r>
          </w:p>
          <w:p w14:paraId="6520CAF2" w14:textId="77777777" w:rsidR="000B634B" w:rsidRPr="006B0E03" w:rsidRDefault="000B634B" w:rsidP="000B634B">
            <w:pPr>
              <w:ind w:left="144" w:hanging="144"/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</w:pPr>
            <w:r w:rsidRPr="006B0E03"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  <w:t>The trigger for sending the CP-based congestion indication is up to implementation.</w:t>
            </w:r>
          </w:p>
          <w:p w14:paraId="68593F4F" w14:textId="77777777" w:rsidR="000B634B" w:rsidRDefault="000B634B" w:rsidP="000B634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This agreement refers to RAN3’s effort on congestion indication, it does not refer to RAN2’s effort on local-rerouting based on hop-by-hop flow control feedback.</w:t>
            </w:r>
          </w:p>
          <w:p w14:paraId="3C1AF540" w14:textId="14CF1B5B" w:rsidR="00367FD0" w:rsidRDefault="00367FD0" w:rsidP="000B634B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8F4BA72" w14:textId="72DD1D68" w:rsidR="002A07E9" w:rsidRDefault="002A07E9">
      <w:pPr>
        <w:ind w:left="-90"/>
        <w:rPr>
          <w:rFonts w:ascii="Times New Roman" w:hAnsi="Times New Roman" w:cs="Times New Roman"/>
          <w:sz w:val="20"/>
          <w:szCs w:val="22"/>
        </w:rPr>
      </w:pPr>
    </w:p>
    <w:p w14:paraId="27BE1CBD" w14:textId="0AC80543" w:rsidR="007D114F" w:rsidRPr="00492B73" w:rsidRDefault="007D114F"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 w:rsidRPr="00492B73"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 w14:paraId="367E927D" w14:textId="493AA921" w:rsidR="007D114F" w:rsidRPr="00492B73" w:rsidRDefault="007D114F">
      <w:pPr>
        <w:ind w:left="-90"/>
        <w:rPr>
          <w:rFonts w:ascii="Times New Roman" w:hAnsi="Times New Roman" w:cs="Times New Roman"/>
          <w:color w:val="0070C0"/>
          <w:sz w:val="20"/>
          <w:szCs w:val="22"/>
        </w:rPr>
      </w:pPr>
      <w:r w:rsidRPr="00492B73">
        <w:rPr>
          <w:rFonts w:ascii="Times New Roman" w:hAnsi="Times New Roman" w:cs="Times New Roman"/>
          <w:color w:val="0070C0"/>
          <w:sz w:val="20"/>
          <w:szCs w:val="22"/>
        </w:rPr>
        <w:t>6 companies think that this should be specified, 2 ar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>e</w:t>
      </w:r>
      <w:r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 aga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inst. </w:t>
      </w:r>
      <w:r w:rsidR="008870AE">
        <w:rPr>
          <w:rFonts w:ascii="Times New Roman" w:hAnsi="Times New Roman" w:cs="Times New Roman"/>
          <w:color w:val="0070C0"/>
          <w:sz w:val="20"/>
          <w:szCs w:val="22"/>
        </w:rPr>
        <w:t>Out of the 6 supporting companies, two think tha</w:t>
      </w:r>
      <w:r w:rsidR="00831747">
        <w:rPr>
          <w:rFonts w:ascii="Times New Roman" w:hAnsi="Times New Roman" w:cs="Times New Roman"/>
          <w:color w:val="0070C0"/>
          <w:sz w:val="20"/>
          <w:szCs w:val="22"/>
        </w:rPr>
        <w:t>t</w:t>
      </w:r>
      <w:r w:rsidR="008870AE">
        <w:rPr>
          <w:rFonts w:ascii="Times New Roman" w:hAnsi="Times New Roman" w:cs="Times New Roman"/>
          <w:color w:val="0070C0"/>
          <w:sz w:val="20"/>
          <w:szCs w:val="22"/>
        </w:rPr>
        <w:t xml:space="preserve"> the threshold is per BRID. </w:t>
      </w:r>
      <w:r w:rsidR="00831747">
        <w:rPr>
          <w:rFonts w:ascii="Times New Roman" w:hAnsi="Times New Roman" w:cs="Times New Roman"/>
          <w:color w:val="0070C0"/>
          <w:sz w:val="20"/>
          <w:szCs w:val="22"/>
        </w:rPr>
        <w:t>Given that the RAN2 agreement does not specify the granularity, the</w:t>
      </w:r>
      <w:r w:rsidR="00492B73" w:rsidRPr="00492B73">
        <w:rPr>
          <w:rFonts w:ascii="Times New Roman" w:hAnsi="Times New Roman" w:cs="Times New Roman"/>
          <w:color w:val="0070C0"/>
          <w:sz w:val="20"/>
          <w:szCs w:val="22"/>
        </w:rPr>
        <w:t xml:space="preserve"> Moderator assumes that the threshold level is for the entire IAB-node, rather than per BRID.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 xml:space="preserve"> Note that the RAN2 agreement mention</w:t>
      </w:r>
      <w:r w:rsidR="00F328E4">
        <w:rPr>
          <w:rFonts w:ascii="Times New Roman" w:hAnsi="Times New Roman" w:cs="Times New Roman"/>
          <w:color w:val="0070C0"/>
          <w:sz w:val="20"/>
          <w:szCs w:val="22"/>
        </w:rPr>
        <w:t>s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 xml:space="preserve"> “</w:t>
      </w:r>
      <w:r w:rsidR="00F328E4" w:rsidRPr="00F328E4">
        <w:rPr>
          <w:rFonts w:ascii="Times New Roman" w:hAnsi="Times New Roman" w:cs="Times New Roman"/>
          <w:color w:val="0070C0"/>
          <w:sz w:val="20"/>
          <w:szCs w:val="22"/>
          <w:highlight w:val="yellow"/>
        </w:rPr>
        <w:t>A configured threshold</w:t>
      </w:r>
      <w:r w:rsidR="00F328E4" w:rsidRPr="00F328E4">
        <w:rPr>
          <w:rFonts w:ascii="Times New Roman" w:hAnsi="Times New Roman" w:cs="Times New Roman"/>
          <w:color w:val="0070C0"/>
          <w:sz w:val="20"/>
          <w:szCs w:val="22"/>
        </w:rPr>
        <w:t xml:space="preserve"> of available buffer size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>”</w:t>
      </w:r>
      <w:r w:rsidR="00F328E4">
        <w:rPr>
          <w:rFonts w:ascii="Times New Roman" w:hAnsi="Times New Roman" w:cs="Times New Roman"/>
          <w:color w:val="0070C0"/>
          <w:sz w:val="20"/>
          <w:szCs w:val="22"/>
        </w:rPr>
        <w:t xml:space="preserve"> (i.e., singular)</w:t>
      </w:r>
      <w:r w:rsidR="00FC667C">
        <w:rPr>
          <w:rFonts w:ascii="Times New Roman" w:hAnsi="Times New Roman" w:cs="Times New Roman"/>
          <w:color w:val="0070C0"/>
          <w:sz w:val="20"/>
          <w:szCs w:val="22"/>
        </w:rPr>
        <w:t>.</w:t>
      </w:r>
    </w:p>
    <w:p w14:paraId="2563DB06" w14:textId="77777777" w:rsidR="00492B73" w:rsidRDefault="00492B73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492B73">
      <w:footerReference w:type="default" r:id="rId14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A30" w14:textId="77777777" w:rsidR="00FC5B15" w:rsidRDefault="00FC5B15">
      <w:pPr>
        <w:spacing w:after="0"/>
      </w:pPr>
      <w:r>
        <w:separator/>
      </w:r>
    </w:p>
  </w:endnote>
  <w:endnote w:type="continuationSeparator" w:id="0">
    <w:p w14:paraId="59370435" w14:textId="77777777" w:rsidR="00FC5B15" w:rsidRDefault="00FC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1939" w14:textId="77777777" w:rsidR="002A07E9" w:rsidRDefault="008B74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 w14:paraId="32FD7128" w14:textId="77777777" w:rsidR="002A07E9" w:rsidRDefault="002A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630" w14:textId="77777777" w:rsidR="00FC5B15" w:rsidRDefault="00FC5B15">
      <w:pPr>
        <w:spacing w:after="0"/>
      </w:pPr>
      <w:r>
        <w:separator/>
      </w:r>
    </w:p>
  </w:footnote>
  <w:footnote w:type="continuationSeparator" w:id="0">
    <w:p w14:paraId="03ECC431" w14:textId="77777777" w:rsidR="00FC5B15" w:rsidRDefault="00FC5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33460E9"/>
    <w:multiLevelType w:val="multilevel"/>
    <w:tmpl w:val="43346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B634B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07E9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67FD0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2B73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0364"/>
    <w:rsid w:val="00635690"/>
    <w:rsid w:val="00637AC0"/>
    <w:rsid w:val="006458E0"/>
    <w:rsid w:val="0065160D"/>
    <w:rsid w:val="00652531"/>
    <w:rsid w:val="00652A18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081F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8DF"/>
    <w:rsid w:val="00780BF6"/>
    <w:rsid w:val="00791700"/>
    <w:rsid w:val="007A1F4E"/>
    <w:rsid w:val="007C1ED9"/>
    <w:rsid w:val="007C4D62"/>
    <w:rsid w:val="007D114F"/>
    <w:rsid w:val="007D65C5"/>
    <w:rsid w:val="007E66D0"/>
    <w:rsid w:val="00801E93"/>
    <w:rsid w:val="00826B08"/>
    <w:rsid w:val="00831747"/>
    <w:rsid w:val="00835C18"/>
    <w:rsid w:val="008626F8"/>
    <w:rsid w:val="00874D93"/>
    <w:rsid w:val="00885FBD"/>
    <w:rsid w:val="008863B8"/>
    <w:rsid w:val="0088657E"/>
    <w:rsid w:val="008870AE"/>
    <w:rsid w:val="00892683"/>
    <w:rsid w:val="00893361"/>
    <w:rsid w:val="008A05BB"/>
    <w:rsid w:val="008A317E"/>
    <w:rsid w:val="008B1CBD"/>
    <w:rsid w:val="008B7441"/>
    <w:rsid w:val="008C6B44"/>
    <w:rsid w:val="008C7555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B5502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87544"/>
    <w:rsid w:val="00CC48F6"/>
    <w:rsid w:val="00CC608F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2E3A"/>
    <w:rsid w:val="00EA40BE"/>
    <w:rsid w:val="00EA53C2"/>
    <w:rsid w:val="00EB2D2F"/>
    <w:rsid w:val="00EB55D3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28E4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C5B15"/>
    <w:rsid w:val="00FC667C"/>
    <w:rsid w:val="00FD258D"/>
    <w:rsid w:val="00FF5D84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C24EA"/>
  <w15:docId w15:val="{07C47667-59EB-411F-93D8-1137C3C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MS Mincho" w:hAnsi="MS Mincho" w:cs="MS Mincho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table" w:styleId="TableGrid">
    <w:name w:val="Table Grid"/>
    <w:basedOn w:val="TableNormal"/>
    <w:qFormat/>
    <w:rPr>
      <w:rFonts w:ascii="Malgun Gothic" w:eastAsia="Malgun Gothic" w:hAnsi="Malgun Gothic" w:cs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Calibri Light" w:eastAsia="Malgun Gothic" w:hAnsi="Calibri Light" w:cs="Malgun Gothic"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Malgun Gothic" w:hAnsi="Calibri Light" w:cs="Calibri Light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Calibri Light" w:eastAsia="Malgun Gothic" w:hAnsi="Calibri Light" w:cs="Malgun Gothic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Malgun Gothic" w:eastAsia="Malgun Gothic" w:hAnsi="Malgun Gothic" w:cs="Malgun Gothic"/>
      <w:szCs w:val="24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MS Mincho" w:eastAsia="Malgun Gothic" w:hAnsi="MS Mincho" w:cs="MS Mincho"/>
      <w:sz w:val="18"/>
      <w:szCs w:val="1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character" w:customStyle="1" w:styleId="B1Char1">
    <w:name w:val="B1 Char1"/>
    <w:link w:val="B1"/>
    <w:qFormat/>
    <w:locked/>
    <w:rPr>
      <w:rFonts w:ascii="Calibri Light" w:hAnsi="Calibri Light" w:cs="Calibri Light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Pr>
      <w:rFonts w:ascii="Calibri Light" w:eastAsia="Malgun Gothic" w:hAnsi="Calibri Light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Calibri Light" w:eastAsia="MS ??" w:hAnsi="Calibri Light"/>
      <w:sz w:val="22"/>
      <w:szCs w:val="22"/>
      <w:lang w:val="en-GB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">
    <w:name w:val="修订1"/>
    <w:uiPriority w:val="99"/>
    <w:unhideWhenUsed/>
    <w:qFormat/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tabs>
        <w:tab w:val="left" w:pos="1701"/>
      </w:tabs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F8259C6-E400-4FE1-A8F0-7A351348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3905</Characters>
  <Application>Microsoft Office Word</Application>
  <DocSecurity>0</DocSecurity>
  <Lines>32</Lines>
  <Paragraphs>9</Paragraphs>
  <ScaleCrop>false</ScaleCrop>
  <Company>Huawei Technologies Co., Ltd.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17</cp:revision>
  <dcterms:created xsi:type="dcterms:W3CDTF">2022-02-23T16:25:00Z</dcterms:created>
  <dcterms:modified xsi:type="dcterms:W3CDTF">2022-02-27T18:57:00Z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