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73E15" w14:textId="5E6C48DA" w:rsidR="00C57158" w:rsidRDefault="00C57158" w:rsidP="00C57158">
      <w:pPr>
        <w:pStyle w:val="3GPPHeader"/>
        <w:rPr>
          <w:rFonts w:ascii="Arial" w:eastAsia="Times New Roman" w:hAnsi="Arial" w:cs="Arial"/>
          <w:szCs w:val="24"/>
        </w:rPr>
      </w:pPr>
      <w:r w:rsidRPr="00C57158">
        <w:rPr>
          <w:rFonts w:ascii="Arial" w:eastAsia="Times New Roman" w:hAnsi="Arial" w:cs="Arial"/>
          <w:szCs w:val="24"/>
        </w:rPr>
        <w:t>3GPP TSG-RAN WG3 Meeting #115-e</w:t>
      </w:r>
      <w:r w:rsidRPr="00C57158">
        <w:rPr>
          <w:rFonts w:ascii="Arial" w:eastAsia="Times New Roman" w:hAnsi="Arial" w:cs="Arial"/>
          <w:szCs w:val="24"/>
        </w:rPr>
        <w:tab/>
        <w:t>&lt;TDoc#&gt;</w:t>
      </w:r>
      <w:r>
        <w:rPr>
          <w:rFonts w:ascii="Arial" w:eastAsia="Times New Roman" w:hAnsi="Arial" w:cs="Arial"/>
          <w:szCs w:val="24"/>
        </w:rPr>
        <w:br/>
      </w:r>
      <w:r w:rsidRPr="00C57158">
        <w:rPr>
          <w:rFonts w:ascii="Arial" w:eastAsia="Times New Roman" w:hAnsi="Arial" w:cs="Arial"/>
          <w:szCs w:val="24"/>
        </w:rPr>
        <w:t>E-meeting, 21 Feb – 3 Mar 2022 Online</w:t>
      </w:r>
    </w:p>
    <w:p w14:paraId="0780D87B" w14:textId="1A95D2DE" w:rsidR="00120883" w:rsidRPr="007044DE" w:rsidRDefault="00120883" w:rsidP="00C57158">
      <w:pPr>
        <w:pStyle w:val="3GPPHeader"/>
        <w:rPr>
          <w:sz w:val="22"/>
          <w:lang w:val="en-GB"/>
        </w:rPr>
      </w:pPr>
      <w:r w:rsidRPr="007044DE">
        <w:rPr>
          <w:sz w:val="22"/>
          <w:lang w:val="en-GB"/>
        </w:rPr>
        <w:t>Agenda Item:</w:t>
      </w:r>
      <w:r w:rsidRPr="007044DE">
        <w:rPr>
          <w:sz w:val="22"/>
          <w:lang w:val="en-GB"/>
        </w:rPr>
        <w:tab/>
      </w:r>
      <w:r w:rsidR="00F47148">
        <w:rPr>
          <w:sz w:val="22"/>
          <w:lang w:val="en-GB"/>
        </w:rPr>
        <w:t>17.2</w:t>
      </w:r>
    </w:p>
    <w:p w14:paraId="74FD9643" w14:textId="47D30DBE"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p>
    <w:p w14:paraId="3F7A6F4B" w14:textId="01EF55CB" w:rsidR="00120883" w:rsidRPr="007044DE" w:rsidRDefault="00120883" w:rsidP="008D5C83">
      <w:pPr>
        <w:pStyle w:val="3GPPHeader"/>
        <w:rPr>
          <w:sz w:val="22"/>
          <w:lang w:val="en-GB"/>
        </w:rPr>
      </w:pPr>
      <w:r w:rsidRPr="007044DE">
        <w:rPr>
          <w:sz w:val="22"/>
          <w:lang w:val="en-GB"/>
        </w:rPr>
        <w:t>Title:</w:t>
      </w:r>
      <w:r w:rsidRPr="007044DE">
        <w:rPr>
          <w:sz w:val="22"/>
          <w:lang w:val="en-GB"/>
        </w:rPr>
        <w:tab/>
      </w:r>
      <w:r w:rsidR="00C31A9D">
        <w:rPr>
          <w:sz w:val="22"/>
          <w:lang w:val="en-GB"/>
        </w:rPr>
        <w:t xml:space="preserve">Addition of an SCG </w:t>
      </w:r>
      <w:r w:rsidR="00C74F25">
        <w:rPr>
          <w:sz w:val="22"/>
          <w:lang w:val="en-GB"/>
        </w:rPr>
        <w:t>outside the serving TA</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68ED718E" w:rsidR="00120883" w:rsidRDefault="00120883" w:rsidP="00120883">
      <w:pPr>
        <w:pStyle w:val="Heading1"/>
      </w:pPr>
      <w:r w:rsidRPr="00CE0424">
        <w:t>Introduction</w:t>
      </w:r>
    </w:p>
    <w:p w14:paraId="7AA3B0DE" w14:textId="2D87AE4E" w:rsidR="00D50002" w:rsidRDefault="0005317F" w:rsidP="003967BE">
      <w:pPr>
        <w:spacing w:afterLines="50" w:after="120" w:line="256" w:lineRule="auto"/>
        <w:rPr>
          <w:lang w:val="en-GB" w:eastAsia="zh-CN"/>
        </w:rPr>
      </w:pPr>
      <w:bookmarkStart w:id="0" w:name="_Ref178064866"/>
      <w:r>
        <w:rPr>
          <w:lang w:val="en-GB" w:eastAsia="zh-CN"/>
        </w:rPr>
        <w:t xml:space="preserve">RAN3 has sent an LS to SA2 in R3-216237, </w:t>
      </w:r>
      <w:r w:rsidR="008A28B4">
        <w:rPr>
          <w:lang w:val="en-GB" w:eastAsia="zh-CN"/>
        </w:rPr>
        <w:t xml:space="preserve">concerning the addition of SCGs outside of the TA of the </w:t>
      </w:r>
      <w:proofErr w:type="spellStart"/>
      <w:r w:rsidR="008A28B4">
        <w:rPr>
          <w:lang w:val="en-GB" w:eastAsia="zh-CN"/>
        </w:rPr>
        <w:t>PCell</w:t>
      </w:r>
      <w:proofErr w:type="spellEnd"/>
      <w:r w:rsidR="008A28B4">
        <w:rPr>
          <w:lang w:val="en-GB" w:eastAsia="zh-CN"/>
        </w:rPr>
        <w:t>.</w:t>
      </w:r>
    </w:p>
    <w:p w14:paraId="4936A7AC" w14:textId="06E98729" w:rsidR="008A28B4" w:rsidRDefault="007F1DCE" w:rsidP="003967BE">
      <w:pPr>
        <w:spacing w:afterLines="50" w:after="120" w:line="256" w:lineRule="auto"/>
        <w:rPr>
          <w:rFonts w:eastAsia="Times New Roman"/>
        </w:rPr>
      </w:pPr>
      <w:r>
        <w:rPr>
          <w:rFonts w:eastAsia="Times New Roman"/>
        </w:rPr>
        <w:t>The LS states the following:</w:t>
      </w:r>
    </w:p>
    <w:p w14:paraId="47F2F068" w14:textId="4DFDAEAE" w:rsidR="007F1DCE" w:rsidRDefault="007F1DCE" w:rsidP="003967BE">
      <w:pPr>
        <w:spacing w:afterLines="50" w:after="120" w:line="256" w:lineRule="auto"/>
        <w:rPr>
          <w:rFonts w:eastAsia="Times New Roman"/>
        </w:rPr>
      </w:pPr>
    </w:p>
    <w:p w14:paraId="202EADD2" w14:textId="77777777" w:rsidR="007F1DCE" w:rsidRPr="007F1DCE" w:rsidRDefault="007F1DCE" w:rsidP="007F1DCE">
      <w:pPr>
        <w:rPr>
          <w:rFonts w:ascii="Arial" w:hAnsi="Arial" w:cs="Arial"/>
          <w:i/>
          <w:iCs/>
        </w:rPr>
      </w:pPr>
      <w:r w:rsidRPr="007F1DCE">
        <w:rPr>
          <w:rFonts w:ascii="Arial" w:hAnsi="Arial" w:cs="Arial"/>
          <w:i/>
          <w:iCs/>
        </w:rPr>
        <w:t>RAN3 is discussing a solution for resource optimisation for a slice 1 in a gNB cell called Multi Carrier Resource Sharing solution. This solution assumes that the gNB hosts another cell with different frequency and overlapping coverage where the same slice 1 is available. It consists of setting up DC using SCG resources on the “other cell” for offloading the PDU sessions of slice 1 of some or all UEs.</w:t>
      </w:r>
    </w:p>
    <w:p w14:paraId="39CF1BFE" w14:textId="77777777" w:rsidR="007F1DCE" w:rsidRPr="007F1DCE" w:rsidRDefault="007F1DCE" w:rsidP="007F1DCE">
      <w:pPr>
        <w:rPr>
          <w:rFonts w:ascii="Arial" w:hAnsi="Arial" w:cs="Arial"/>
          <w:i/>
          <w:iCs/>
        </w:rPr>
      </w:pPr>
    </w:p>
    <w:p w14:paraId="5971BCC8" w14:textId="77777777" w:rsidR="007F1DCE" w:rsidRPr="007F1DCE" w:rsidRDefault="007F1DCE" w:rsidP="007F1DCE">
      <w:pPr>
        <w:rPr>
          <w:rFonts w:ascii="Arial" w:hAnsi="Arial" w:cs="Arial"/>
          <w:i/>
          <w:iCs/>
        </w:rPr>
      </w:pPr>
      <w:r w:rsidRPr="007F1DCE">
        <w:rPr>
          <w:rFonts w:ascii="Arial" w:hAnsi="Arial" w:cs="Arial"/>
          <w:i/>
          <w:iCs/>
        </w:rPr>
        <w:t>RAN3 is not sure if gNB can select such “other cell” outside of the RA (registration area) of the concerned UE as SCG resource (i.e. the secondary cell group in Dual Connectivity.).</w:t>
      </w:r>
    </w:p>
    <w:p w14:paraId="18232E71" w14:textId="5AA29863" w:rsidR="007F1DCE" w:rsidRDefault="007F1DCE" w:rsidP="003967BE">
      <w:pPr>
        <w:spacing w:afterLines="50" w:after="120" w:line="256" w:lineRule="auto"/>
        <w:rPr>
          <w:rFonts w:eastAsia="Times New Roman"/>
        </w:rPr>
      </w:pPr>
    </w:p>
    <w:p w14:paraId="2ABCF225" w14:textId="7D5F9618" w:rsidR="007F1DCE" w:rsidRDefault="007F1DCE" w:rsidP="003967BE">
      <w:pPr>
        <w:spacing w:afterLines="50" w:after="120" w:line="256" w:lineRule="auto"/>
        <w:rPr>
          <w:rFonts w:eastAsia="Times New Roman"/>
        </w:rPr>
      </w:pPr>
      <w:r>
        <w:rPr>
          <w:rFonts w:eastAsia="Times New Roman"/>
        </w:rPr>
        <w:t xml:space="preserve">In the LS above it was stated that ”RAN3 is not sure...”. In this paper we provide arguments that should remove </w:t>
      </w:r>
      <w:r w:rsidR="008C74C0">
        <w:rPr>
          <w:rFonts w:eastAsia="Times New Roman"/>
        </w:rPr>
        <w:t>uncertainty on how to resolve this issue.</w:t>
      </w:r>
    </w:p>
    <w:p w14:paraId="570E14E6" w14:textId="25E7D819" w:rsidR="008C74C0" w:rsidRDefault="008C74C0" w:rsidP="003967BE">
      <w:pPr>
        <w:spacing w:afterLines="50" w:after="120" w:line="256" w:lineRule="auto"/>
        <w:rPr>
          <w:rFonts w:eastAsia="Times New Roman"/>
        </w:rPr>
      </w:pPr>
      <w:r>
        <w:rPr>
          <w:rFonts w:eastAsia="Times New Roman"/>
        </w:rPr>
        <w:t xml:space="preserve">It is noted that it would be good to wait for a reply from SA2 before concluding on this topic. However it is also noted that </w:t>
      </w:r>
      <w:r w:rsidR="00F42508">
        <w:rPr>
          <w:rFonts w:eastAsia="Times New Roman"/>
        </w:rPr>
        <w:t xml:space="preserve">RAN3 needs to close the WI on Enhancements for Network Slicing at this meeting and therefore it would be good to converge on a conclusion on this topic. Such conclusion may be revisited if SA2 </w:t>
      </w:r>
      <w:r w:rsidR="00DF5B47">
        <w:rPr>
          <w:rFonts w:eastAsia="Times New Roman"/>
        </w:rPr>
        <w:t>replies in a way that invalidates the conclusion.</w:t>
      </w:r>
    </w:p>
    <w:p w14:paraId="45F0B887" w14:textId="77777777" w:rsidR="007F1DCE" w:rsidRPr="003967BE" w:rsidRDefault="007F1DCE" w:rsidP="003967BE">
      <w:pPr>
        <w:spacing w:afterLines="50" w:after="120" w:line="256" w:lineRule="auto"/>
        <w:rPr>
          <w:rFonts w:eastAsia="Times New Roman"/>
        </w:rPr>
      </w:pPr>
    </w:p>
    <w:p w14:paraId="2C6DDFA8" w14:textId="38479DDC" w:rsidR="00120883" w:rsidRDefault="00120883" w:rsidP="00120883">
      <w:pPr>
        <w:pStyle w:val="Heading1"/>
      </w:pPr>
      <w:r w:rsidRPr="00CE0424">
        <w:t>Discussion</w:t>
      </w:r>
      <w:bookmarkEnd w:id="0"/>
    </w:p>
    <w:p w14:paraId="2E7FD48B" w14:textId="697C5E03" w:rsidR="00494000" w:rsidRDefault="00AC2A27" w:rsidP="00494000">
      <w:pPr>
        <w:rPr>
          <w:lang w:val="en-GB" w:eastAsia="zh-CN"/>
        </w:rPr>
      </w:pPr>
      <w:r>
        <w:rPr>
          <w:lang w:val="en-GB" w:eastAsia="zh-CN"/>
        </w:rPr>
        <w:t>If we look at E-UTRAN, we can find a similar concept to the Registration Area, which is the TA List.</w:t>
      </w:r>
    </w:p>
    <w:p w14:paraId="632F7E77" w14:textId="09F262B9" w:rsidR="00AC2A27" w:rsidRDefault="00AC2A27" w:rsidP="00494000">
      <w:pPr>
        <w:rPr>
          <w:lang w:val="en-GB" w:eastAsia="zh-CN"/>
        </w:rPr>
      </w:pPr>
      <w:r>
        <w:rPr>
          <w:lang w:val="en-GB" w:eastAsia="zh-CN"/>
        </w:rPr>
        <w:t xml:space="preserve">A UE is meant to </w:t>
      </w:r>
      <w:r w:rsidR="0004007E">
        <w:rPr>
          <w:lang w:val="en-GB" w:eastAsia="zh-CN"/>
        </w:rPr>
        <w:t>perform Registration Update whenever moving to a new TA list. In such case subscriber´s policies may be updated for the UE (</w:t>
      </w:r>
      <w:proofErr w:type="gramStart"/>
      <w:r w:rsidR="0004007E">
        <w:rPr>
          <w:lang w:val="en-GB" w:eastAsia="zh-CN"/>
        </w:rPr>
        <w:t>e.g.</w:t>
      </w:r>
      <w:proofErr w:type="gramEnd"/>
      <w:r w:rsidR="0004007E">
        <w:rPr>
          <w:lang w:val="en-GB" w:eastAsia="zh-CN"/>
        </w:rPr>
        <w:t xml:space="preserve"> certain services may become </w:t>
      </w:r>
      <w:r w:rsidR="002F7D5F">
        <w:rPr>
          <w:lang w:val="en-GB" w:eastAsia="zh-CN"/>
        </w:rPr>
        <w:t>unavailable).</w:t>
      </w:r>
    </w:p>
    <w:p w14:paraId="056966C6" w14:textId="7213A0FD" w:rsidR="002F7D5F" w:rsidRDefault="002F7D5F" w:rsidP="00494000">
      <w:pPr>
        <w:rPr>
          <w:lang w:val="en-GB" w:eastAsia="zh-CN"/>
        </w:rPr>
      </w:pPr>
      <w:r w:rsidRPr="002F7D5F">
        <w:rPr>
          <w:lang w:val="en-GB" w:eastAsia="zh-CN"/>
        </w:rPr>
        <w:t xml:space="preserve">In E-UTRAN, addition of </w:t>
      </w:r>
      <w:r>
        <w:rPr>
          <w:lang w:val="en-GB" w:eastAsia="zh-CN"/>
        </w:rPr>
        <w:t xml:space="preserve">an SCG is purely controlled by the </w:t>
      </w:r>
      <w:r w:rsidR="00E33368">
        <w:rPr>
          <w:lang w:val="en-GB" w:eastAsia="zh-CN"/>
        </w:rPr>
        <w:t xml:space="preserve">Handover </w:t>
      </w:r>
      <w:r>
        <w:rPr>
          <w:lang w:val="en-GB" w:eastAsia="zh-CN"/>
        </w:rPr>
        <w:t xml:space="preserve">Restriction List, as shown </w:t>
      </w:r>
      <w:r w:rsidR="00896D7D">
        <w:rPr>
          <w:lang w:val="en-GB" w:eastAsia="zh-CN"/>
        </w:rPr>
        <w:t>below from TS36.4</w:t>
      </w:r>
      <w:r w:rsidR="00340119">
        <w:rPr>
          <w:lang w:val="en-GB" w:eastAsia="zh-CN"/>
        </w:rPr>
        <w:t>1</w:t>
      </w:r>
      <w:r w:rsidR="00896D7D">
        <w:rPr>
          <w:lang w:val="en-GB" w:eastAsia="zh-CN"/>
        </w:rPr>
        <w:t>3:</w:t>
      </w:r>
    </w:p>
    <w:p w14:paraId="716641EF" w14:textId="7AFC50A7" w:rsidR="00896D7D" w:rsidRDefault="00896D7D" w:rsidP="00494000">
      <w:pPr>
        <w:rPr>
          <w:lang w:val="en-GB" w:eastAsia="zh-CN"/>
        </w:rPr>
      </w:pPr>
    </w:p>
    <w:p w14:paraId="3CAF06FC" w14:textId="7613FCC6" w:rsidR="00896D7D" w:rsidRPr="00896D7D" w:rsidRDefault="00896D7D" w:rsidP="00494000">
      <w:pPr>
        <w:rPr>
          <w:i/>
          <w:iCs/>
          <w:color w:val="FF0000"/>
          <w:lang w:val="en-GB" w:eastAsia="zh-CN"/>
        </w:rPr>
      </w:pPr>
      <w:r w:rsidRPr="00896D7D">
        <w:rPr>
          <w:i/>
          <w:iCs/>
          <w:color w:val="FF0000"/>
          <w:lang w:val="en-GB" w:eastAsia="zh-CN"/>
        </w:rPr>
        <w:lastRenderedPageBreak/>
        <w:t>Start of Excerpt from TS36.4</w:t>
      </w:r>
      <w:r w:rsidR="00340119">
        <w:rPr>
          <w:i/>
          <w:iCs/>
          <w:color w:val="FF0000"/>
          <w:lang w:val="en-GB" w:eastAsia="zh-CN"/>
        </w:rPr>
        <w:t>1</w:t>
      </w:r>
      <w:r w:rsidRPr="00896D7D">
        <w:rPr>
          <w:i/>
          <w:iCs/>
          <w:color w:val="FF0000"/>
          <w:lang w:val="en-GB" w:eastAsia="zh-CN"/>
        </w:rPr>
        <w:t>3</w:t>
      </w:r>
    </w:p>
    <w:p w14:paraId="79EA5665" w14:textId="77777777" w:rsidR="00340119" w:rsidRPr="008711EA" w:rsidRDefault="00340119" w:rsidP="00340119">
      <w:pPr>
        <w:pStyle w:val="Heading4"/>
      </w:pPr>
      <w:bookmarkStart w:id="1" w:name="_Toc20953727"/>
      <w:bookmarkStart w:id="2" w:name="_Toc29390904"/>
      <w:bookmarkStart w:id="3" w:name="_Toc36551641"/>
      <w:bookmarkStart w:id="4" w:name="_Toc45831863"/>
      <w:bookmarkStart w:id="5" w:name="_Toc51762816"/>
      <w:bookmarkStart w:id="6" w:name="_Toc64381868"/>
      <w:bookmarkStart w:id="7" w:name="_Toc20954466"/>
      <w:bookmarkStart w:id="8" w:name="_Toc29902470"/>
      <w:bookmarkStart w:id="9" w:name="_Toc29906474"/>
      <w:bookmarkStart w:id="10" w:name="_Toc36550464"/>
      <w:bookmarkStart w:id="11" w:name="_Toc45104221"/>
      <w:bookmarkStart w:id="12" w:name="_Toc45227717"/>
      <w:bookmarkStart w:id="13" w:name="_Toc45891531"/>
      <w:bookmarkStart w:id="14" w:name="_Toc51764175"/>
      <w:bookmarkStart w:id="15" w:name="_Toc56528176"/>
      <w:bookmarkStart w:id="16" w:name="_Toc64382143"/>
      <w:bookmarkStart w:id="17" w:name="_Toc66283718"/>
      <w:bookmarkStart w:id="18" w:name="_Toc67911094"/>
      <w:r w:rsidRPr="008711EA">
        <w:rPr>
          <w:rFonts w:eastAsia="Batang"/>
        </w:rPr>
        <w:t>9.2.1.22</w:t>
      </w:r>
      <w:r w:rsidRPr="008711EA">
        <w:rPr>
          <w:rFonts w:eastAsia="Batang"/>
        </w:rPr>
        <w:tab/>
        <w:t>Handover Restriction List</w:t>
      </w:r>
      <w:bookmarkEnd w:id="1"/>
      <w:bookmarkEnd w:id="2"/>
      <w:bookmarkEnd w:id="3"/>
      <w:bookmarkEnd w:id="4"/>
      <w:bookmarkEnd w:id="5"/>
      <w:bookmarkEnd w:id="6"/>
    </w:p>
    <w:p w14:paraId="2E015069" w14:textId="77777777" w:rsidR="00340119" w:rsidRPr="008711EA" w:rsidRDefault="00340119" w:rsidP="00340119">
      <w:r w:rsidRPr="008711EA">
        <w:t xml:space="preserve">This IE defines roaming or access restrictions for </w:t>
      </w:r>
      <w:r w:rsidRPr="008711EA">
        <w:rPr>
          <w:lang w:eastAsia="zh-CN"/>
        </w:rPr>
        <w:t xml:space="preserve">subsequent mobility action for which the eNB provides information about the target of the mobility action towards the UE, e.g., </w:t>
      </w:r>
      <w:r w:rsidRPr="008711EA">
        <w:t xml:space="preserve">handover and </w:t>
      </w:r>
      <w:r w:rsidRPr="008711EA">
        <w:rPr>
          <w:lang w:eastAsia="zh-CN"/>
        </w:rPr>
        <w:t>CCO, or for SCG selection during dual connectivity operation</w:t>
      </w:r>
      <w:r w:rsidRPr="008711EA">
        <w:t xml:space="preserve">. If the eNB receives the </w:t>
      </w:r>
      <w:r w:rsidRPr="008711EA">
        <w:rPr>
          <w:i/>
        </w:rPr>
        <w:t>Handover Restriction List</w:t>
      </w:r>
      <w:r w:rsidRPr="008711EA">
        <w:t xml:space="preserve"> IE, it shall overwrite previously received restriction information.</w:t>
      </w:r>
    </w:p>
    <w:bookmarkEnd w:id="7"/>
    <w:bookmarkEnd w:id="8"/>
    <w:bookmarkEnd w:id="9"/>
    <w:bookmarkEnd w:id="10"/>
    <w:bookmarkEnd w:id="11"/>
    <w:bookmarkEnd w:id="12"/>
    <w:bookmarkEnd w:id="13"/>
    <w:bookmarkEnd w:id="14"/>
    <w:bookmarkEnd w:id="15"/>
    <w:bookmarkEnd w:id="16"/>
    <w:bookmarkEnd w:id="17"/>
    <w:bookmarkEnd w:id="18"/>
    <w:p w14:paraId="0F3516C6" w14:textId="7E23E70A" w:rsidR="00896D7D" w:rsidRDefault="00896D7D" w:rsidP="00494000">
      <w:pPr>
        <w:rPr>
          <w:lang w:val="en-GB" w:eastAsia="zh-CN"/>
        </w:rPr>
      </w:pPr>
    </w:p>
    <w:p w14:paraId="70E7D199" w14:textId="58E24B34" w:rsidR="00896D7D" w:rsidRPr="00896D7D" w:rsidRDefault="00896D7D" w:rsidP="00896D7D">
      <w:pPr>
        <w:rPr>
          <w:i/>
          <w:iCs/>
          <w:color w:val="FF0000"/>
          <w:lang w:val="en-GB" w:eastAsia="zh-CN"/>
        </w:rPr>
      </w:pPr>
      <w:r>
        <w:rPr>
          <w:i/>
          <w:iCs/>
          <w:color w:val="FF0000"/>
          <w:lang w:val="en-GB" w:eastAsia="zh-CN"/>
        </w:rPr>
        <w:t>End</w:t>
      </w:r>
      <w:r w:rsidRPr="00896D7D">
        <w:rPr>
          <w:i/>
          <w:iCs/>
          <w:color w:val="FF0000"/>
          <w:lang w:val="en-GB" w:eastAsia="zh-CN"/>
        </w:rPr>
        <w:t xml:space="preserve"> of Excerpt from TS36.4</w:t>
      </w:r>
      <w:r w:rsidR="00340119">
        <w:rPr>
          <w:i/>
          <w:iCs/>
          <w:color w:val="FF0000"/>
          <w:lang w:val="en-GB" w:eastAsia="zh-CN"/>
        </w:rPr>
        <w:t>1</w:t>
      </w:r>
      <w:r w:rsidRPr="00896D7D">
        <w:rPr>
          <w:i/>
          <w:iCs/>
          <w:color w:val="FF0000"/>
          <w:lang w:val="en-GB" w:eastAsia="zh-CN"/>
        </w:rPr>
        <w:t>3</w:t>
      </w:r>
    </w:p>
    <w:p w14:paraId="42635794" w14:textId="7001F405" w:rsidR="00896D7D" w:rsidRDefault="00896D7D" w:rsidP="00494000">
      <w:pPr>
        <w:rPr>
          <w:lang w:val="en-GB" w:eastAsia="zh-CN"/>
        </w:rPr>
      </w:pPr>
      <w:r>
        <w:rPr>
          <w:lang w:val="en-GB" w:eastAsia="zh-CN"/>
        </w:rPr>
        <w:t xml:space="preserve">In a similar way, </w:t>
      </w:r>
      <w:r w:rsidR="00830FEC">
        <w:rPr>
          <w:lang w:val="en-GB" w:eastAsia="zh-CN"/>
        </w:rPr>
        <w:t xml:space="preserve">a </w:t>
      </w:r>
      <w:proofErr w:type="spellStart"/>
      <w:r w:rsidR="00830FEC">
        <w:rPr>
          <w:lang w:val="en-GB" w:eastAsia="zh-CN"/>
        </w:rPr>
        <w:t>Moblity</w:t>
      </w:r>
      <w:proofErr w:type="spellEnd"/>
      <w:r w:rsidR="00830FEC">
        <w:rPr>
          <w:lang w:val="en-GB" w:eastAsia="zh-CN"/>
        </w:rPr>
        <w:t xml:space="preserve"> Restriction List that is used also for SCG selection is defined in 5G, as described in TS38.423:</w:t>
      </w:r>
    </w:p>
    <w:p w14:paraId="67673680" w14:textId="77777777" w:rsidR="00830FEC" w:rsidRDefault="00830FEC" w:rsidP="00830FEC">
      <w:pPr>
        <w:rPr>
          <w:i/>
          <w:iCs/>
          <w:color w:val="FF0000"/>
          <w:lang w:val="en-GB" w:eastAsia="zh-CN"/>
        </w:rPr>
      </w:pPr>
    </w:p>
    <w:p w14:paraId="15FB6957" w14:textId="7C6BE440" w:rsidR="00830FEC" w:rsidRPr="00830FEC" w:rsidRDefault="00830FEC" w:rsidP="00494000">
      <w:pPr>
        <w:rPr>
          <w:i/>
          <w:iCs/>
          <w:color w:val="FF0000"/>
          <w:lang w:val="en-GB" w:eastAsia="zh-CN"/>
        </w:rPr>
      </w:pPr>
      <w:r w:rsidRPr="00896D7D">
        <w:rPr>
          <w:i/>
          <w:iCs/>
          <w:color w:val="FF0000"/>
          <w:lang w:val="en-GB" w:eastAsia="zh-CN"/>
        </w:rPr>
        <w:t>Start of Excerpt from TS3</w:t>
      </w:r>
      <w:r>
        <w:rPr>
          <w:i/>
          <w:iCs/>
          <w:color w:val="FF0000"/>
          <w:lang w:val="en-GB" w:eastAsia="zh-CN"/>
        </w:rPr>
        <w:t>8</w:t>
      </w:r>
      <w:r w:rsidRPr="00896D7D">
        <w:rPr>
          <w:i/>
          <w:iCs/>
          <w:color w:val="FF0000"/>
          <w:lang w:val="en-GB" w:eastAsia="zh-CN"/>
        </w:rPr>
        <w:t>.4</w:t>
      </w:r>
      <w:r w:rsidR="00340119">
        <w:rPr>
          <w:i/>
          <w:iCs/>
          <w:color w:val="FF0000"/>
          <w:lang w:val="en-GB" w:eastAsia="zh-CN"/>
        </w:rPr>
        <w:t>1</w:t>
      </w:r>
      <w:r w:rsidRPr="00896D7D">
        <w:rPr>
          <w:i/>
          <w:iCs/>
          <w:color w:val="FF0000"/>
          <w:lang w:val="en-GB" w:eastAsia="zh-CN"/>
        </w:rPr>
        <w:t>3</w:t>
      </w:r>
    </w:p>
    <w:p w14:paraId="2AB5764F" w14:textId="77777777" w:rsidR="00340119" w:rsidRPr="001D2E49" w:rsidRDefault="00340119" w:rsidP="00340119">
      <w:pPr>
        <w:pStyle w:val="Heading4"/>
        <w:rPr>
          <w:rFonts w:eastAsia="Batang"/>
        </w:rPr>
      </w:pPr>
      <w:bookmarkStart w:id="19" w:name="_Toc20955249"/>
      <w:bookmarkStart w:id="20" w:name="_Toc29503698"/>
      <w:bookmarkStart w:id="21" w:name="_Toc29504282"/>
      <w:bookmarkStart w:id="22" w:name="_Toc29504866"/>
      <w:bookmarkStart w:id="23" w:name="_Toc36553312"/>
      <w:bookmarkStart w:id="24" w:name="_Toc36555039"/>
      <w:bookmarkStart w:id="25" w:name="_Toc45652351"/>
      <w:bookmarkStart w:id="26" w:name="_Toc45658783"/>
      <w:bookmarkStart w:id="27" w:name="_Toc45720603"/>
      <w:bookmarkStart w:id="28" w:name="_Toc45798483"/>
      <w:bookmarkStart w:id="29" w:name="_Toc45897872"/>
      <w:bookmarkStart w:id="30" w:name="_Toc51746076"/>
      <w:bookmarkStart w:id="31" w:name="_Toc64446340"/>
      <w:bookmarkStart w:id="32" w:name="_Toc73982210"/>
      <w:bookmarkStart w:id="33" w:name="_Toc88652299"/>
      <w:bookmarkStart w:id="34" w:name="_Toc20955362"/>
      <w:bookmarkStart w:id="35" w:name="_Toc29991565"/>
      <w:bookmarkStart w:id="36" w:name="_Toc36555966"/>
      <w:bookmarkStart w:id="37" w:name="_Toc44497711"/>
      <w:bookmarkStart w:id="38" w:name="_Toc45108098"/>
      <w:bookmarkStart w:id="39" w:name="_Toc45901718"/>
      <w:bookmarkStart w:id="40" w:name="_Toc51850799"/>
      <w:bookmarkStart w:id="41" w:name="_Toc56693803"/>
      <w:bookmarkStart w:id="42" w:name="_Toc64447347"/>
      <w:bookmarkStart w:id="43" w:name="_Toc66286841"/>
      <w:bookmarkStart w:id="44" w:name="_Toc74151536"/>
      <w:bookmarkStart w:id="45" w:name="_Toc88654009"/>
      <w:r w:rsidRPr="001D2E49">
        <w:rPr>
          <w:rFonts w:eastAsia="Batang"/>
        </w:rPr>
        <w:t>9.3.1.85</w:t>
      </w:r>
      <w:r w:rsidRPr="001D2E49">
        <w:rPr>
          <w:rFonts w:eastAsia="Batang"/>
        </w:rPr>
        <w:tab/>
      </w:r>
      <w:r w:rsidRPr="001D2E49">
        <w:t>Mobility Restriction List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E8890A4" w14:textId="77777777" w:rsidR="00340119" w:rsidRPr="001D2E49" w:rsidRDefault="00340119" w:rsidP="00340119">
      <w:r w:rsidRPr="001D2E49">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bookmarkEnd w:id="34"/>
    <w:bookmarkEnd w:id="35"/>
    <w:bookmarkEnd w:id="36"/>
    <w:bookmarkEnd w:id="37"/>
    <w:bookmarkEnd w:id="38"/>
    <w:bookmarkEnd w:id="39"/>
    <w:bookmarkEnd w:id="40"/>
    <w:bookmarkEnd w:id="41"/>
    <w:bookmarkEnd w:id="42"/>
    <w:bookmarkEnd w:id="43"/>
    <w:bookmarkEnd w:id="44"/>
    <w:bookmarkEnd w:id="45"/>
    <w:p w14:paraId="4471680D" w14:textId="55B0C518" w:rsidR="00830FEC" w:rsidRPr="00896D7D" w:rsidRDefault="00830FEC" w:rsidP="00830FEC">
      <w:pPr>
        <w:rPr>
          <w:i/>
          <w:iCs/>
          <w:color w:val="FF0000"/>
          <w:lang w:val="en-GB" w:eastAsia="zh-CN"/>
        </w:rPr>
      </w:pPr>
      <w:r>
        <w:rPr>
          <w:i/>
          <w:iCs/>
          <w:color w:val="FF0000"/>
          <w:lang w:val="en-GB" w:eastAsia="zh-CN"/>
        </w:rPr>
        <w:t>End</w:t>
      </w:r>
      <w:r w:rsidRPr="00896D7D">
        <w:rPr>
          <w:i/>
          <w:iCs/>
          <w:color w:val="FF0000"/>
          <w:lang w:val="en-GB" w:eastAsia="zh-CN"/>
        </w:rPr>
        <w:t xml:space="preserve"> of Excerpt from TS36.4</w:t>
      </w:r>
      <w:r w:rsidR="00340119">
        <w:rPr>
          <w:i/>
          <w:iCs/>
          <w:color w:val="FF0000"/>
          <w:lang w:val="en-GB" w:eastAsia="zh-CN"/>
        </w:rPr>
        <w:t>1</w:t>
      </w:r>
      <w:r w:rsidRPr="00896D7D">
        <w:rPr>
          <w:i/>
          <w:iCs/>
          <w:color w:val="FF0000"/>
          <w:lang w:val="en-GB" w:eastAsia="zh-CN"/>
        </w:rPr>
        <w:t>3</w:t>
      </w:r>
    </w:p>
    <w:p w14:paraId="7F55E3C6" w14:textId="38BD9401" w:rsidR="00830FEC" w:rsidRDefault="00830FEC" w:rsidP="00494000">
      <w:pPr>
        <w:rPr>
          <w:lang w:val="en-GB" w:eastAsia="zh-CN"/>
        </w:rPr>
      </w:pPr>
    </w:p>
    <w:p w14:paraId="5BE3CA7F" w14:textId="7A0618E1" w:rsidR="003A740C" w:rsidRDefault="003A740C" w:rsidP="00494000">
      <w:pPr>
        <w:rPr>
          <w:lang w:val="en-GB" w:eastAsia="zh-CN"/>
        </w:rPr>
      </w:pPr>
      <w:r>
        <w:rPr>
          <w:lang w:val="en-GB" w:eastAsia="zh-CN"/>
        </w:rPr>
        <w:t>Additionally, an NG-RAN node is aware of the Network slices supported by its neighbour cells by means of Xn signalling.</w:t>
      </w:r>
    </w:p>
    <w:p w14:paraId="2DA1A9A8" w14:textId="79861490" w:rsidR="003A740C" w:rsidRDefault="003A740C" w:rsidP="00494000">
      <w:pPr>
        <w:rPr>
          <w:lang w:val="en-GB" w:eastAsia="zh-CN"/>
        </w:rPr>
      </w:pPr>
      <w:r>
        <w:rPr>
          <w:lang w:val="en-GB" w:eastAsia="zh-CN"/>
        </w:rPr>
        <w:t xml:space="preserve">Therefore, </w:t>
      </w:r>
      <w:r w:rsidR="002C1207">
        <w:rPr>
          <w:lang w:val="en-GB" w:eastAsia="zh-CN"/>
        </w:rPr>
        <w:t xml:space="preserve">restrictions on how to select an SCG when QoS flows of a given S-NSSAI want to be offloaded to the SCG shall be based in the same way as it is based in LTE and </w:t>
      </w:r>
      <w:r w:rsidR="00C11994">
        <w:rPr>
          <w:lang w:val="en-GB" w:eastAsia="zh-CN"/>
        </w:rPr>
        <w:t>by means of the existing IEs specified for existing interfaces. Namely, an SCG shall be selected by means of:</w:t>
      </w:r>
    </w:p>
    <w:p w14:paraId="4265F346" w14:textId="6C3A184A" w:rsidR="00C11994" w:rsidRDefault="00C11994" w:rsidP="00C11994">
      <w:pPr>
        <w:pStyle w:val="ListParagraph"/>
        <w:numPr>
          <w:ilvl w:val="0"/>
          <w:numId w:val="22"/>
        </w:numPr>
      </w:pPr>
      <w:r>
        <w:t xml:space="preserve">Checking the Mobility Restriction List: </w:t>
      </w:r>
      <w:r w:rsidR="00EC1905">
        <w:t>This IE restricts the areas where an SCG can be added and those where an SCG cannot be added</w:t>
      </w:r>
    </w:p>
    <w:p w14:paraId="0BC2BFCE" w14:textId="0DFCAA20" w:rsidR="00EC1905" w:rsidRDefault="005C5491" w:rsidP="00C11994">
      <w:pPr>
        <w:pStyle w:val="ListParagraph"/>
        <w:numPr>
          <w:ilvl w:val="0"/>
          <w:numId w:val="22"/>
        </w:numPr>
      </w:pPr>
      <w:r>
        <w:t>Checking the supported network slices at the SCG to be added. Namely, if an SCG does not support the S-NSSAI of QoS Flows that want to be offloaded to the SCG, such cell shall not be selected</w:t>
      </w:r>
    </w:p>
    <w:p w14:paraId="311746A6" w14:textId="4262F96C" w:rsidR="005C5491" w:rsidRDefault="005C5491" w:rsidP="005C5491"/>
    <w:p w14:paraId="6A0773C5" w14:textId="6F93B07C" w:rsidR="005C5491" w:rsidRDefault="00732586" w:rsidP="005C5491">
      <w:r>
        <w:t xml:space="preserve">The above approach is also in line with how an allowed NSSAI is derived. Indeed, the Allowed NSSAI is provided to the UE on the basis of the </w:t>
      </w:r>
      <w:r w:rsidR="00BF2202">
        <w:t>NG-RAN cell/node where NAS is terminated. Such cell/node corresponds to the MN</w:t>
      </w:r>
      <w:r w:rsidR="005E4C6A">
        <w:t>/MCG</w:t>
      </w:r>
      <w:r w:rsidR="00BF2202">
        <w:t>, and not the SN.</w:t>
      </w:r>
    </w:p>
    <w:p w14:paraId="0CD09604" w14:textId="27CFD944" w:rsidR="00BF2202" w:rsidRDefault="00BF2202" w:rsidP="005C5491">
      <w:r>
        <w:t>Hence</w:t>
      </w:r>
      <w:r w:rsidR="001F16DE">
        <w:t xml:space="preserve">, SCGs shall not be </w:t>
      </w:r>
      <w:r w:rsidR="00E33368">
        <w:t xml:space="preserve">disallowed </w:t>
      </w:r>
      <w:r w:rsidR="001F16DE">
        <w:t xml:space="preserve">because they belong to </w:t>
      </w:r>
      <w:r w:rsidR="005E4C6A">
        <w:t>a different TAI than the MCG</w:t>
      </w:r>
      <w:r w:rsidR="00AE572A">
        <w:t xml:space="preserve">. Such SCG shall be selectable so long as its addition is not restricted </w:t>
      </w:r>
      <w:r w:rsidR="00052824">
        <w:t>by the Mobility Restriction List.</w:t>
      </w:r>
    </w:p>
    <w:p w14:paraId="1030B9D2" w14:textId="38555839" w:rsidR="00052824" w:rsidRDefault="00052824" w:rsidP="005C5491"/>
    <w:p w14:paraId="125B1152" w14:textId="77777777" w:rsidR="00397B58" w:rsidRDefault="00052824" w:rsidP="005C5491">
      <w:r>
        <w:t xml:space="preserve">Finally, it should be noted that there are many other mechanisms to avoid that </w:t>
      </w:r>
      <w:r w:rsidR="00EF3F02">
        <w:t xml:space="preserve">a slice is served over unwanted frequencies. As an example, the RFSP can guide the RAN to select the right frequency where to serve the slices in the Allowed NSSAI. If an SCG </w:t>
      </w:r>
      <w:r w:rsidR="00397B58">
        <w:t>uses a frequency that is not identified by the RFSP, the serving RAN can already discard that SCG.</w:t>
      </w:r>
    </w:p>
    <w:p w14:paraId="193E637A" w14:textId="77777777" w:rsidR="00397B58" w:rsidRDefault="00397B58" w:rsidP="005C5491">
      <w:r>
        <w:t>In light of the above the following is proposed.</w:t>
      </w:r>
    </w:p>
    <w:p w14:paraId="3D265F9E" w14:textId="343D3458" w:rsidR="00052824" w:rsidRPr="008E699C" w:rsidRDefault="00397B58" w:rsidP="005C5491">
      <w:pPr>
        <w:rPr>
          <w:b/>
          <w:bCs/>
        </w:rPr>
      </w:pPr>
      <w:r w:rsidRPr="008E699C">
        <w:rPr>
          <w:b/>
          <w:bCs/>
        </w:rPr>
        <w:t xml:space="preserve">Proposal: </w:t>
      </w:r>
      <w:r w:rsidR="000330D1" w:rsidRPr="008E699C">
        <w:rPr>
          <w:b/>
          <w:bCs/>
        </w:rPr>
        <w:t xml:space="preserve">For the case of serving Network slice services via an SN, </w:t>
      </w:r>
      <w:r w:rsidRPr="008E699C">
        <w:rPr>
          <w:b/>
          <w:bCs/>
        </w:rPr>
        <w:t xml:space="preserve">it is proposed to </w:t>
      </w:r>
      <w:r w:rsidR="009F4B92" w:rsidRPr="008E699C">
        <w:rPr>
          <w:b/>
          <w:bCs/>
        </w:rPr>
        <w:t xml:space="preserve">maintain the principle that SCG selection is controlled by means of the </w:t>
      </w:r>
      <w:r w:rsidR="00EF3F02" w:rsidRPr="008E699C">
        <w:rPr>
          <w:b/>
          <w:bCs/>
        </w:rPr>
        <w:t xml:space="preserve"> </w:t>
      </w:r>
      <w:r w:rsidR="009F4B92" w:rsidRPr="008E699C">
        <w:rPr>
          <w:b/>
          <w:bCs/>
        </w:rPr>
        <w:t>Mobility Restriction List</w:t>
      </w:r>
      <w:r w:rsidR="000330D1" w:rsidRPr="008E699C">
        <w:rPr>
          <w:b/>
          <w:bCs/>
        </w:rPr>
        <w:t xml:space="preserve"> and by </w:t>
      </w:r>
      <w:r w:rsidR="008E699C" w:rsidRPr="008E699C">
        <w:rPr>
          <w:b/>
          <w:bCs/>
        </w:rPr>
        <w:t>checking slice support at the SCG.</w:t>
      </w:r>
    </w:p>
    <w:p w14:paraId="396ABC85" w14:textId="77777777" w:rsidR="003A740C" w:rsidRPr="002F7D5F" w:rsidRDefault="003A740C" w:rsidP="00494000">
      <w:pPr>
        <w:rPr>
          <w:lang w:val="en-GB" w:eastAsia="zh-CN"/>
        </w:rPr>
      </w:pPr>
    </w:p>
    <w:p w14:paraId="7B68E498" w14:textId="22EA89A6" w:rsidR="0025244D" w:rsidRDefault="0025244D" w:rsidP="0025244D">
      <w:pPr>
        <w:pStyle w:val="Heading1"/>
      </w:pPr>
      <w:r w:rsidRPr="00CE0424">
        <w:t>Conclusion</w:t>
      </w:r>
    </w:p>
    <w:p w14:paraId="7A90E4FE" w14:textId="20EAAEC3" w:rsidR="0084652F" w:rsidRDefault="008E699C" w:rsidP="0084652F">
      <w:pPr>
        <w:spacing w:after="0"/>
        <w:rPr>
          <w:lang w:val="en-GB" w:eastAsia="zh-CN"/>
        </w:rPr>
      </w:pPr>
      <w:r>
        <w:rPr>
          <w:lang w:val="en-GB" w:eastAsia="zh-CN"/>
        </w:rPr>
        <w:t xml:space="preserve">In this paper the case of </w:t>
      </w:r>
      <w:r w:rsidR="00F47D38">
        <w:rPr>
          <w:lang w:val="en-GB" w:eastAsia="zh-CN"/>
        </w:rPr>
        <w:t>support for network slices over an SCG has been analysed.</w:t>
      </w:r>
    </w:p>
    <w:p w14:paraId="663F1FC4" w14:textId="27DE6C51" w:rsidR="00F47D38" w:rsidRDefault="00F47D38" w:rsidP="0084652F">
      <w:pPr>
        <w:spacing w:after="0"/>
        <w:rPr>
          <w:lang w:val="en-GB" w:eastAsia="zh-CN"/>
        </w:rPr>
      </w:pPr>
      <w:r>
        <w:rPr>
          <w:lang w:val="en-GB" w:eastAsia="zh-CN"/>
        </w:rPr>
        <w:t xml:space="preserve">It has been explained that there are already mechanisms to control addition of an SCG when Network Slice services want to be </w:t>
      </w:r>
      <w:r w:rsidR="00B80E15">
        <w:rPr>
          <w:lang w:val="en-GB" w:eastAsia="zh-CN"/>
        </w:rPr>
        <w:t xml:space="preserve">offloaded to the SN. </w:t>
      </w:r>
      <w:proofErr w:type="gramStart"/>
      <w:r w:rsidR="00B80E15">
        <w:rPr>
          <w:lang w:val="en-GB" w:eastAsia="zh-CN"/>
        </w:rPr>
        <w:t>In light of</w:t>
      </w:r>
      <w:proofErr w:type="gramEnd"/>
      <w:r w:rsidR="00B80E15">
        <w:rPr>
          <w:lang w:val="en-GB" w:eastAsia="zh-CN"/>
        </w:rPr>
        <w:t xml:space="preserve"> this the following is proposed:</w:t>
      </w:r>
    </w:p>
    <w:p w14:paraId="1AEE30BA" w14:textId="3ED0061E" w:rsidR="00B80E15" w:rsidRDefault="00B80E15" w:rsidP="0084652F">
      <w:pPr>
        <w:spacing w:after="0"/>
        <w:rPr>
          <w:lang w:val="en-GB" w:eastAsia="zh-CN"/>
        </w:rPr>
      </w:pPr>
    </w:p>
    <w:p w14:paraId="2C2BDAC0" w14:textId="77777777" w:rsidR="00B80E15" w:rsidRPr="008E699C" w:rsidRDefault="00B80E15" w:rsidP="00B80E15">
      <w:pPr>
        <w:rPr>
          <w:b/>
          <w:bCs/>
        </w:rPr>
      </w:pPr>
      <w:r w:rsidRPr="008E699C">
        <w:rPr>
          <w:b/>
          <w:bCs/>
        </w:rPr>
        <w:t>Proposal: For the case of serving Network slice services via an SN, it is proposed to maintain the principle that SCG selection is controlled by means of the  Mobility Restriction List and by checking slice support at the SCG.</w:t>
      </w:r>
    </w:p>
    <w:p w14:paraId="4D878FBA" w14:textId="77777777" w:rsidR="00B80E15" w:rsidRPr="00B80E15" w:rsidRDefault="00B80E15" w:rsidP="0084652F">
      <w:pPr>
        <w:spacing w:after="0"/>
        <w:rPr>
          <w:rFonts w:cstheme="minorHAnsi"/>
        </w:rPr>
      </w:pPr>
    </w:p>
    <w:sectPr w:rsidR="00B80E15" w:rsidRPr="00B80E15" w:rsidSect="003B6C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8031DB"/>
    <w:multiLevelType w:val="multilevel"/>
    <w:tmpl w:val="058031DB"/>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33132C"/>
    <w:multiLevelType w:val="multilevel"/>
    <w:tmpl w:val="1433132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1FD433F2"/>
    <w:multiLevelType w:val="hybridMultilevel"/>
    <w:tmpl w:val="D012F5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9" w15:restartNumberingAfterBreak="0">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A34518"/>
    <w:multiLevelType w:val="multilevel"/>
    <w:tmpl w:val="36A34518"/>
    <w:lvl w:ilvl="0">
      <w:start w:val="1"/>
      <w:numFmt w:val="decim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2678C0"/>
    <w:multiLevelType w:val="multilevel"/>
    <w:tmpl w:val="452678C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E74304"/>
    <w:multiLevelType w:val="multilevel"/>
    <w:tmpl w:val="46E743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972259"/>
    <w:multiLevelType w:val="multilevel"/>
    <w:tmpl w:val="6C972259"/>
    <w:lvl w:ilvl="0">
      <w:start w:val="1"/>
      <w:numFmt w:val="lowerLetter"/>
      <w:lvlText w:val="%1."/>
      <w:lvlJc w:val="left"/>
      <w:pPr>
        <w:ind w:left="1440" w:hanging="360"/>
      </w:p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742502D0"/>
    <w:multiLevelType w:val="hybridMultilevel"/>
    <w:tmpl w:val="096CD2B8"/>
    <w:lvl w:ilvl="0" w:tplc="2EF25166">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84A7D9A"/>
    <w:multiLevelType w:val="hybridMultilevel"/>
    <w:tmpl w:val="A164FD88"/>
    <w:lvl w:ilvl="0" w:tplc="58A88D8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5"/>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8"/>
  </w:num>
  <w:num w:numId="10">
    <w:abstractNumId w:val="9"/>
  </w:num>
  <w:num w:numId="11">
    <w:abstractNumId w:val="20"/>
  </w:num>
  <w:num w:numId="12">
    <w:abstractNumId w:val="18"/>
  </w:num>
  <w:num w:numId="13">
    <w:abstractNumId w:val="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lvlOverride w:ilvl="2"/>
    <w:lvlOverride w:ilvl="3"/>
    <w:lvlOverride w:ilvl="4"/>
    <w:lvlOverride w:ilvl="5"/>
    <w:lvlOverride w:ilvl="6"/>
    <w:lvlOverride w:ilvl="7"/>
    <w:lvlOverride w:ilvl="8"/>
  </w:num>
  <w:num w:numId="16">
    <w:abstractNumId w:val="16"/>
    <w:lvlOverride w:ilvl="0">
      <w:startOverride w:val="1"/>
    </w:lvlOverride>
    <w:lvlOverride w:ilvl="1"/>
    <w:lvlOverride w:ilvl="2"/>
    <w:lvlOverride w:ilvl="3"/>
    <w:lvlOverride w:ilvl="4"/>
    <w:lvlOverride w:ilvl="5"/>
    <w:lvlOverride w:ilvl="6"/>
    <w:lvlOverride w:ilvl="7"/>
    <w:lvlOverride w:ilvl="8"/>
  </w:num>
  <w:num w:numId="17">
    <w:abstractNumId w:val="10"/>
  </w:num>
  <w:num w:numId="18">
    <w:abstractNumId w:val="13"/>
  </w:num>
  <w:num w:numId="19">
    <w:abstractNumId w:val="3"/>
  </w:num>
  <w:num w:numId="20">
    <w:abstractNumId w:val="5"/>
  </w:num>
  <w:num w:numId="21">
    <w:abstractNumId w:val="4"/>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332"/>
  <w:doNotDisplayPageBoundaries/>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01AC7"/>
    <w:rsid w:val="000147B2"/>
    <w:rsid w:val="0002212B"/>
    <w:rsid w:val="00022F24"/>
    <w:rsid w:val="000330D1"/>
    <w:rsid w:val="000350E4"/>
    <w:rsid w:val="0004007E"/>
    <w:rsid w:val="00040A41"/>
    <w:rsid w:val="00052824"/>
    <w:rsid w:val="0005317F"/>
    <w:rsid w:val="000553ED"/>
    <w:rsid w:val="00056473"/>
    <w:rsid w:val="0008353F"/>
    <w:rsid w:val="00083726"/>
    <w:rsid w:val="00083A37"/>
    <w:rsid w:val="0008795E"/>
    <w:rsid w:val="00090495"/>
    <w:rsid w:val="000A2A76"/>
    <w:rsid w:val="000A7E29"/>
    <w:rsid w:val="000C5364"/>
    <w:rsid w:val="000E4023"/>
    <w:rsid w:val="000F60F3"/>
    <w:rsid w:val="00102555"/>
    <w:rsid w:val="00107CFD"/>
    <w:rsid w:val="00116518"/>
    <w:rsid w:val="00120883"/>
    <w:rsid w:val="00126880"/>
    <w:rsid w:val="00130563"/>
    <w:rsid w:val="00145F83"/>
    <w:rsid w:val="00154401"/>
    <w:rsid w:val="00160580"/>
    <w:rsid w:val="00190D94"/>
    <w:rsid w:val="001A4C9B"/>
    <w:rsid w:val="001B1F11"/>
    <w:rsid w:val="001B502F"/>
    <w:rsid w:val="001E3C84"/>
    <w:rsid w:val="001E457D"/>
    <w:rsid w:val="001F16DE"/>
    <w:rsid w:val="001F1CDB"/>
    <w:rsid w:val="001F1E5E"/>
    <w:rsid w:val="001F30D2"/>
    <w:rsid w:val="001F4445"/>
    <w:rsid w:val="001F4E89"/>
    <w:rsid w:val="00205A1E"/>
    <w:rsid w:val="00215947"/>
    <w:rsid w:val="002161C5"/>
    <w:rsid w:val="00233033"/>
    <w:rsid w:val="00246AED"/>
    <w:rsid w:val="0025244D"/>
    <w:rsid w:val="0029105C"/>
    <w:rsid w:val="00294356"/>
    <w:rsid w:val="002A0145"/>
    <w:rsid w:val="002A027C"/>
    <w:rsid w:val="002A101C"/>
    <w:rsid w:val="002A36D0"/>
    <w:rsid w:val="002B09D3"/>
    <w:rsid w:val="002B6C4D"/>
    <w:rsid w:val="002B7682"/>
    <w:rsid w:val="002C0772"/>
    <w:rsid w:val="002C1207"/>
    <w:rsid w:val="002E3920"/>
    <w:rsid w:val="002E6E58"/>
    <w:rsid w:val="002F7D5F"/>
    <w:rsid w:val="00301E62"/>
    <w:rsid w:val="003027DA"/>
    <w:rsid w:val="00306C56"/>
    <w:rsid w:val="0030787C"/>
    <w:rsid w:val="003209B9"/>
    <w:rsid w:val="003317BF"/>
    <w:rsid w:val="00332235"/>
    <w:rsid w:val="00340119"/>
    <w:rsid w:val="00341FCE"/>
    <w:rsid w:val="00353A42"/>
    <w:rsid w:val="003714AD"/>
    <w:rsid w:val="003733BB"/>
    <w:rsid w:val="003967BE"/>
    <w:rsid w:val="00397B58"/>
    <w:rsid w:val="003A21D4"/>
    <w:rsid w:val="003A4C31"/>
    <w:rsid w:val="003A740C"/>
    <w:rsid w:val="003B6CD9"/>
    <w:rsid w:val="003B7044"/>
    <w:rsid w:val="003D4D62"/>
    <w:rsid w:val="003E38A4"/>
    <w:rsid w:val="004238D3"/>
    <w:rsid w:val="00426556"/>
    <w:rsid w:val="00432735"/>
    <w:rsid w:val="00432C64"/>
    <w:rsid w:val="004335AF"/>
    <w:rsid w:val="00433767"/>
    <w:rsid w:val="00434271"/>
    <w:rsid w:val="00446172"/>
    <w:rsid w:val="00460AC2"/>
    <w:rsid w:val="00466223"/>
    <w:rsid w:val="004815B1"/>
    <w:rsid w:val="004823D0"/>
    <w:rsid w:val="00484995"/>
    <w:rsid w:val="00485E04"/>
    <w:rsid w:val="00494000"/>
    <w:rsid w:val="00497DC2"/>
    <w:rsid w:val="004A4E11"/>
    <w:rsid w:val="004B7475"/>
    <w:rsid w:val="004C1027"/>
    <w:rsid w:val="004E117F"/>
    <w:rsid w:val="004E7520"/>
    <w:rsid w:val="005004E1"/>
    <w:rsid w:val="005008F3"/>
    <w:rsid w:val="00531DE9"/>
    <w:rsid w:val="00540DFB"/>
    <w:rsid w:val="00544AA8"/>
    <w:rsid w:val="00554328"/>
    <w:rsid w:val="00563F95"/>
    <w:rsid w:val="005663AE"/>
    <w:rsid w:val="005721BE"/>
    <w:rsid w:val="00582AD8"/>
    <w:rsid w:val="005A3DA7"/>
    <w:rsid w:val="005B1CA7"/>
    <w:rsid w:val="005C01B2"/>
    <w:rsid w:val="005C5491"/>
    <w:rsid w:val="005E305E"/>
    <w:rsid w:val="005E4C6A"/>
    <w:rsid w:val="005E6518"/>
    <w:rsid w:val="005E7CEA"/>
    <w:rsid w:val="005F1AE0"/>
    <w:rsid w:val="005F41C6"/>
    <w:rsid w:val="005F64C5"/>
    <w:rsid w:val="00601A53"/>
    <w:rsid w:val="0060278D"/>
    <w:rsid w:val="0062346D"/>
    <w:rsid w:val="00650361"/>
    <w:rsid w:val="0065249A"/>
    <w:rsid w:val="00661283"/>
    <w:rsid w:val="0068029E"/>
    <w:rsid w:val="00681CF3"/>
    <w:rsid w:val="006A3A44"/>
    <w:rsid w:val="006B07F8"/>
    <w:rsid w:val="006B2117"/>
    <w:rsid w:val="006B5F02"/>
    <w:rsid w:val="006C2355"/>
    <w:rsid w:val="007044DE"/>
    <w:rsid w:val="00706A19"/>
    <w:rsid w:val="007071E4"/>
    <w:rsid w:val="007241BF"/>
    <w:rsid w:val="00732586"/>
    <w:rsid w:val="007509CA"/>
    <w:rsid w:val="0075675C"/>
    <w:rsid w:val="007577B0"/>
    <w:rsid w:val="0076164B"/>
    <w:rsid w:val="00767A9B"/>
    <w:rsid w:val="00773F59"/>
    <w:rsid w:val="007904E0"/>
    <w:rsid w:val="007B1366"/>
    <w:rsid w:val="007C7C10"/>
    <w:rsid w:val="007D0722"/>
    <w:rsid w:val="007D1C47"/>
    <w:rsid w:val="007D3CE8"/>
    <w:rsid w:val="007D58EF"/>
    <w:rsid w:val="007E16AC"/>
    <w:rsid w:val="007E7418"/>
    <w:rsid w:val="007F1B1B"/>
    <w:rsid w:val="007F1DCE"/>
    <w:rsid w:val="007F72E8"/>
    <w:rsid w:val="00803410"/>
    <w:rsid w:val="008067AD"/>
    <w:rsid w:val="00812051"/>
    <w:rsid w:val="008149E5"/>
    <w:rsid w:val="00820C7E"/>
    <w:rsid w:val="0082125F"/>
    <w:rsid w:val="00822519"/>
    <w:rsid w:val="00830FEC"/>
    <w:rsid w:val="00833B92"/>
    <w:rsid w:val="00840788"/>
    <w:rsid w:val="00841310"/>
    <w:rsid w:val="0084652F"/>
    <w:rsid w:val="0087292A"/>
    <w:rsid w:val="00873C8F"/>
    <w:rsid w:val="00896D7D"/>
    <w:rsid w:val="008A28B4"/>
    <w:rsid w:val="008A2C2C"/>
    <w:rsid w:val="008A33DB"/>
    <w:rsid w:val="008C05D7"/>
    <w:rsid w:val="008C2F5F"/>
    <w:rsid w:val="008C74C0"/>
    <w:rsid w:val="008D5C83"/>
    <w:rsid w:val="008E5583"/>
    <w:rsid w:val="008E699C"/>
    <w:rsid w:val="008F0008"/>
    <w:rsid w:val="00905785"/>
    <w:rsid w:val="0090676A"/>
    <w:rsid w:val="00907CCD"/>
    <w:rsid w:val="00910509"/>
    <w:rsid w:val="00911BF4"/>
    <w:rsid w:val="0092760B"/>
    <w:rsid w:val="0093357B"/>
    <w:rsid w:val="009420DB"/>
    <w:rsid w:val="009459E8"/>
    <w:rsid w:val="00954965"/>
    <w:rsid w:val="009562C4"/>
    <w:rsid w:val="00956949"/>
    <w:rsid w:val="00963738"/>
    <w:rsid w:val="00966827"/>
    <w:rsid w:val="009709F9"/>
    <w:rsid w:val="00981BA2"/>
    <w:rsid w:val="00982F1F"/>
    <w:rsid w:val="00986E83"/>
    <w:rsid w:val="009913BD"/>
    <w:rsid w:val="00995459"/>
    <w:rsid w:val="009A56F0"/>
    <w:rsid w:val="009B6257"/>
    <w:rsid w:val="009C6371"/>
    <w:rsid w:val="009D11DD"/>
    <w:rsid w:val="009D1E2A"/>
    <w:rsid w:val="009E1763"/>
    <w:rsid w:val="009E7BFF"/>
    <w:rsid w:val="009F4B92"/>
    <w:rsid w:val="009F7B28"/>
    <w:rsid w:val="00A06333"/>
    <w:rsid w:val="00A14208"/>
    <w:rsid w:val="00A17483"/>
    <w:rsid w:val="00A322EE"/>
    <w:rsid w:val="00A33169"/>
    <w:rsid w:val="00A407B9"/>
    <w:rsid w:val="00A43C31"/>
    <w:rsid w:val="00A43E52"/>
    <w:rsid w:val="00A46295"/>
    <w:rsid w:val="00A546AD"/>
    <w:rsid w:val="00A563D6"/>
    <w:rsid w:val="00A570DA"/>
    <w:rsid w:val="00A57E77"/>
    <w:rsid w:val="00A64F55"/>
    <w:rsid w:val="00A76F32"/>
    <w:rsid w:val="00A8399E"/>
    <w:rsid w:val="00A86A09"/>
    <w:rsid w:val="00AA3D9E"/>
    <w:rsid w:val="00AA404A"/>
    <w:rsid w:val="00AB1CF3"/>
    <w:rsid w:val="00AC2A27"/>
    <w:rsid w:val="00AD0740"/>
    <w:rsid w:val="00AD5869"/>
    <w:rsid w:val="00AE2F02"/>
    <w:rsid w:val="00AE572A"/>
    <w:rsid w:val="00AF2BF9"/>
    <w:rsid w:val="00B0106E"/>
    <w:rsid w:val="00B02D44"/>
    <w:rsid w:val="00B04076"/>
    <w:rsid w:val="00B31945"/>
    <w:rsid w:val="00B37BAD"/>
    <w:rsid w:val="00B47F53"/>
    <w:rsid w:val="00B51768"/>
    <w:rsid w:val="00B52B4F"/>
    <w:rsid w:val="00B53B59"/>
    <w:rsid w:val="00B560C5"/>
    <w:rsid w:val="00B642DA"/>
    <w:rsid w:val="00B7548C"/>
    <w:rsid w:val="00B80E15"/>
    <w:rsid w:val="00B91BE6"/>
    <w:rsid w:val="00B94D08"/>
    <w:rsid w:val="00BA0094"/>
    <w:rsid w:val="00BA0B1B"/>
    <w:rsid w:val="00BA21C5"/>
    <w:rsid w:val="00BA4109"/>
    <w:rsid w:val="00BB323A"/>
    <w:rsid w:val="00BC3A42"/>
    <w:rsid w:val="00BD2547"/>
    <w:rsid w:val="00BE3CD7"/>
    <w:rsid w:val="00BF2202"/>
    <w:rsid w:val="00C11994"/>
    <w:rsid w:val="00C11E28"/>
    <w:rsid w:val="00C121D2"/>
    <w:rsid w:val="00C13102"/>
    <w:rsid w:val="00C15784"/>
    <w:rsid w:val="00C21A06"/>
    <w:rsid w:val="00C23347"/>
    <w:rsid w:val="00C31A9D"/>
    <w:rsid w:val="00C35DAB"/>
    <w:rsid w:val="00C37447"/>
    <w:rsid w:val="00C550C0"/>
    <w:rsid w:val="00C57158"/>
    <w:rsid w:val="00C61C87"/>
    <w:rsid w:val="00C643BF"/>
    <w:rsid w:val="00C64AF7"/>
    <w:rsid w:val="00C70140"/>
    <w:rsid w:val="00C72574"/>
    <w:rsid w:val="00C7269D"/>
    <w:rsid w:val="00C74DC2"/>
    <w:rsid w:val="00C74F25"/>
    <w:rsid w:val="00C814D0"/>
    <w:rsid w:val="00C900E8"/>
    <w:rsid w:val="00C92D95"/>
    <w:rsid w:val="00CA0850"/>
    <w:rsid w:val="00CA187E"/>
    <w:rsid w:val="00CA30C1"/>
    <w:rsid w:val="00CD6B2D"/>
    <w:rsid w:val="00CF5B58"/>
    <w:rsid w:val="00CF728F"/>
    <w:rsid w:val="00D11BF6"/>
    <w:rsid w:val="00D24968"/>
    <w:rsid w:val="00D3068D"/>
    <w:rsid w:val="00D3783A"/>
    <w:rsid w:val="00D44FA5"/>
    <w:rsid w:val="00D50002"/>
    <w:rsid w:val="00D562C9"/>
    <w:rsid w:val="00D72F91"/>
    <w:rsid w:val="00D96067"/>
    <w:rsid w:val="00D97597"/>
    <w:rsid w:val="00DA4911"/>
    <w:rsid w:val="00DA49AE"/>
    <w:rsid w:val="00DA64DC"/>
    <w:rsid w:val="00DB34C2"/>
    <w:rsid w:val="00DB624D"/>
    <w:rsid w:val="00DB7EEA"/>
    <w:rsid w:val="00DC3C8F"/>
    <w:rsid w:val="00DC6F0F"/>
    <w:rsid w:val="00DD4161"/>
    <w:rsid w:val="00DD53E6"/>
    <w:rsid w:val="00DF5B47"/>
    <w:rsid w:val="00E00D62"/>
    <w:rsid w:val="00E06F7E"/>
    <w:rsid w:val="00E07926"/>
    <w:rsid w:val="00E33368"/>
    <w:rsid w:val="00E55732"/>
    <w:rsid w:val="00E629C1"/>
    <w:rsid w:val="00E8209D"/>
    <w:rsid w:val="00E8529F"/>
    <w:rsid w:val="00E910E8"/>
    <w:rsid w:val="00E94892"/>
    <w:rsid w:val="00E97790"/>
    <w:rsid w:val="00EA3344"/>
    <w:rsid w:val="00EB2503"/>
    <w:rsid w:val="00EC1905"/>
    <w:rsid w:val="00EC62B5"/>
    <w:rsid w:val="00ED058C"/>
    <w:rsid w:val="00ED0A39"/>
    <w:rsid w:val="00ED5511"/>
    <w:rsid w:val="00EE187B"/>
    <w:rsid w:val="00EE4B8C"/>
    <w:rsid w:val="00EE5F4F"/>
    <w:rsid w:val="00EF1143"/>
    <w:rsid w:val="00EF2E84"/>
    <w:rsid w:val="00EF3F02"/>
    <w:rsid w:val="00F11518"/>
    <w:rsid w:val="00F27A6E"/>
    <w:rsid w:val="00F31CB3"/>
    <w:rsid w:val="00F31F5C"/>
    <w:rsid w:val="00F3530E"/>
    <w:rsid w:val="00F42508"/>
    <w:rsid w:val="00F47148"/>
    <w:rsid w:val="00F47D38"/>
    <w:rsid w:val="00F50C9A"/>
    <w:rsid w:val="00F601E7"/>
    <w:rsid w:val="00F72055"/>
    <w:rsid w:val="00F80DD2"/>
    <w:rsid w:val="00F810FF"/>
    <w:rsid w:val="00F84E4E"/>
    <w:rsid w:val="00F8572E"/>
    <w:rsid w:val="00F95CAB"/>
    <w:rsid w:val="00FB5DC2"/>
    <w:rsid w:val="00FE0D10"/>
    <w:rsid w:val="00FF12F9"/>
    <w:rsid w:val="00FF5434"/>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83"/>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841310"/>
    <w:pPr>
      <w:ind w:left="283" w:hanging="283"/>
      <w:contextualSpacing/>
    </w:pPr>
  </w:style>
  <w:style w:type="character" w:styleId="CommentReference">
    <w:name w:val="annotation reference"/>
    <w:basedOn w:val="DefaultParagraphFont"/>
    <w:uiPriority w:val="99"/>
    <w:semiHidden/>
    <w:unhideWhenUsed/>
    <w:rsid w:val="00ED0A39"/>
    <w:rPr>
      <w:sz w:val="16"/>
      <w:szCs w:val="16"/>
    </w:rPr>
  </w:style>
  <w:style w:type="paragraph" w:styleId="CommentText">
    <w:name w:val="annotation text"/>
    <w:basedOn w:val="Normal"/>
    <w:link w:val="CommentTextChar"/>
    <w:uiPriority w:val="99"/>
    <w:semiHidden/>
    <w:unhideWhenUsed/>
    <w:rsid w:val="00ED0A39"/>
    <w:pPr>
      <w:spacing w:line="240" w:lineRule="auto"/>
    </w:pPr>
    <w:rPr>
      <w:sz w:val="20"/>
      <w:szCs w:val="20"/>
    </w:rPr>
  </w:style>
  <w:style w:type="character" w:customStyle="1" w:styleId="CommentTextChar">
    <w:name w:val="Comment Text Char"/>
    <w:basedOn w:val="DefaultParagraphFont"/>
    <w:link w:val="CommentText"/>
    <w:uiPriority w:val="99"/>
    <w:semiHidden/>
    <w:rsid w:val="00ED0A39"/>
    <w:rPr>
      <w:sz w:val="20"/>
      <w:szCs w:val="20"/>
    </w:rPr>
  </w:style>
  <w:style w:type="paragraph" w:styleId="CommentSubject">
    <w:name w:val="annotation subject"/>
    <w:basedOn w:val="CommentText"/>
    <w:next w:val="CommentText"/>
    <w:link w:val="CommentSubjectChar"/>
    <w:uiPriority w:val="99"/>
    <w:semiHidden/>
    <w:unhideWhenUsed/>
    <w:rsid w:val="00ED0A39"/>
    <w:rPr>
      <w:b/>
      <w:bCs/>
    </w:rPr>
  </w:style>
  <w:style w:type="character" w:customStyle="1" w:styleId="CommentSubjectChar">
    <w:name w:val="Comment Subject Char"/>
    <w:basedOn w:val="CommentTextChar"/>
    <w:link w:val="CommentSubject"/>
    <w:uiPriority w:val="99"/>
    <w:semiHidden/>
    <w:rsid w:val="00ED0A39"/>
    <w:rPr>
      <w:b/>
      <w:bCs/>
      <w:sz w:val="20"/>
      <w:szCs w:val="20"/>
    </w:rPr>
  </w:style>
  <w:style w:type="character" w:styleId="Mention">
    <w:name w:val="Mention"/>
    <w:basedOn w:val="DefaultParagraphFont"/>
    <w:uiPriority w:val="99"/>
    <w:unhideWhenUsed/>
    <w:rsid w:val="00102555"/>
    <w:rPr>
      <w:color w:val="2B579A"/>
      <w:shd w:val="clear" w:color="auto" w:fill="E1DFDD"/>
    </w:rPr>
  </w:style>
  <w:style w:type="character" w:styleId="Hyperlink">
    <w:name w:val="Hyperlink"/>
    <w:basedOn w:val="DefaultParagraphFont"/>
    <w:uiPriority w:val="99"/>
    <w:unhideWhenUsed/>
    <w:rsid w:val="00102555"/>
    <w:rPr>
      <w:color w:val="0563C1" w:themeColor="hyperlink"/>
      <w:u w:val="single"/>
    </w:rPr>
  </w:style>
  <w:style w:type="character" w:styleId="UnresolvedMention">
    <w:name w:val="Unresolved Mention"/>
    <w:basedOn w:val="DefaultParagraphFont"/>
    <w:uiPriority w:val="99"/>
    <w:semiHidden/>
    <w:unhideWhenUsed/>
    <w:rsid w:val="00102555"/>
    <w:rPr>
      <w:color w:val="605E5C"/>
      <w:shd w:val="clear" w:color="auto" w:fill="E1DFDD"/>
    </w:rPr>
  </w:style>
  <w:style w:type="paragraph" w:styleId="Revision">
    <w:name w:val="Revision"/>
    <w:hidden/>
    <w:uiPriority w:val="99"/>
    <w:semiHidden/>
    <w:rsid w:val="008A2C2C"/>
    <w:pPr>
      <w:spacing w:after="0" w:line="240" w:lineRule="auto"/>
    </w:pPr>
  </w:style>
  <w:style w:type="table" w:customStyle="1" w:styleId="1">
    <w:name w:val="网格型1"/>
    <w:basedOn w:val="TableNormal"/>
    <w:qFormat/>
    <w:rsid w:val="004A4E11"/>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0625">
      <w:bodyDiv w:val="1"/>
      <w:marLeft w:val="0"/>
      <w:marRight w:val="0"/>
      <w:marTop w:val="0"/>
      <w:marBottom w:val="0"/>
      <w:divBdr>
        <w:top w:val="none" w:sz="0" w:space="0" w:color="auto"/>
        <w:left w:val="none" w:sz="0" w:space="0" w:color="auto"/>
        <w:bottom w:val="none" w:sz="0" w:space="0" w:color="auto"/>
        <w:right w:val="none" w:sz="0" w:space="0" w:color="auto"/>
      </w:divBdr>
      <w:divsChild>
        <w:div w:id="1151672109">
          <w:marLeft w:val="0"/>
          <w:marRight w:val="0"/>
          <w:marTop w:val="0"/>
          <w:marBottom w:val="0"/>
          <w:divBdr>
            <w:top w:val="none" w:sz="0" w:space="0" w:color="auto"/>
            <w:left w:val="none" w:sz="0" w:space="0" w:color="auto"/>
            <w:bottom w:val="none" w:sz="0" w:space="0" w:color="auto"/>
            <w:right w:val="none" w:sz="0" w:space="0" w:color="auto"/>
          </w:divBdr>
          <w:divsChild>
            <w:div w:id="931208134">
              <w:marLeft w:val="0"/>
              <w:marRight w:val="0"/>
              <w:marTop w:val="0"/>
              <w:marBottom w:val="0"/>
              <w:divBdr>
                <w:top w:val="none" w:sz="0" w:space="0" w:color="auto"/>
                <w:left w:val="none" w:sz="0" w:space="0" w:color="auto"/>
                <w:bottom w:val="none" w:sz="0" w:space="0" w:color="auto"/>
                <w:right w:val="none" w:sz="0" w:space="0" w:color="auto"/>
              </w:divBdr>
              <w:divsChild>
                <w:div w:id="1808664578">
                  <w:marLeft w:val="0"/>
                  <w:marRight w:val="0"/>
                  <w:marTop w:val="0"/>
                  <w:marBottom w:val="0"/>
                  <w:divBdr>
                    <w:top w:val="none" w:sz="0" w:space="0" w:color="auto"/>
                    <w:left w:val="none" w:sz="0" w:space="0" w:color="auto"/>
                    <w:bottom w:val="none" w:sz="0" w:space="0" w:color="auto"/>
                    <w:right w:val="none" w:sz="0" w:space="0" w:color="auto"/>
                  </w:divBdr>
                  <w:divsChild>
                    <w:div w:id="1604259503">
                      <w:marLeft w:val="0"/>
                      <w:marRight w:val="0"/>
                      <w:marTop w:val="0"/>
                      <w:marBottom w:val="0"/>
                      <w:divBdr>
                        <w:top w:val="none" w:sz="0" w:space="0" w:color="auto"/>
                        <w:left w:val="none" w:sz="0" w:space="0" w:color="auto"/>
                        <w:bottom w:val="none" w:sz="0" w:space="0" w:color="auto"/>
                        <w:right w:val="none" w:sz="0" w:space="0" w:color="auto"/>
                      </w:divBdr>
                      <w:divsChild>
                        <w:div w:id="61926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57884">
              <w:marLeft w:val="0"/>
              <w:marRight w:val="0"/>
              <w:marTop w:val="0"/>
              <w:marBottom w:val="0"/>
              <w:divBdr>
                <w:top w:val="none" w:sz="0" w:space="0" w:color="auto"/>
                <w:left w:val="none" w:sz="0" w:space="0" w:color="auto"/>
                <w:bottom w:val="none" w:sz="0" w:space="0" w:color="auto"/>
                <w:right w:val="none" w:sz="0" w:space="0" w:color="auto"/>
              </w:divBdr>
            </w:div>
            <w:div w:id="1472284999">
              <w:marLeft w:val="0"/>
              <w:marRight w:val="0"/>
              <w:marTop w:val="0"/>
              <w:marBottom w:val="0"/>
              <w:divBdr>
                <w:top w:val="none" w:sz="0" w:space="0" w:color="auto"/>
                <w:left w:val="none" w:sz="0" w:space="0" w:color="auto"/>
                <w:bottom w:val="none" w:sz="0" w:space="0" w:color="auto"/>
                <w:right w:val="none" w:sz="0" w:space="0" w:color="auto"/>
              </w:divBdr>
              <w:divsChild>
                <w:div w:id="943805985">
                  <w:marLeft w:val="0"/>
                  <w:marRight w:val="0"/>
                  <w:marTop w:val="0"/>
                  <w:marBottom w:val="0"/>
                  <w:divBdr>
                    <w:top w:val="none" w:sz="0" w:space="0" w:color="auto"/>
                    <w:left w:val="none" w:sz="0" w:space="0" w:color="auto"/>
                    <w:bottom w:val="none" w:sz="0" w:space="0" w:color="auto"/>
                    <w:right w:val="none" w:sz="0" w:space="0" w:color="auto"/>
                  </w:divBdr>
                  <w:divsChild>
                    <w:div w:id="220674587">
                      <w:marLeft w:val="0"/>
                      <w:marRight w:val="0"/>
                      <w:marTop w:val="0"/>
                      <w:marBottom w:val="0"/>
                      <w:divBdr>
                        <w:top w:val="none" w:sz="0" w:space="0" w:color="auto"/>
                        <w:left w:val="none" w:sz="0" w:space="0" w:color="auto"/>
                        <w:bottom w:val="none" w:sz="0" w:space="0" w:color="auto"/>
                        <w:right w:val="none" w:sz="0" w:space="0" w:color="auto"/>
                      </w:divBdr>
                      <w:divsChild>
                        <w:div w:id="73689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999726">
              <w:marLeft w:val="0"/>
              <w:marRight w:val="0"/>
              <w:marTop w:val="0"/>
              <w:marBottom w:val="0"/>
              <w:divBdr>
                <w:top w:val="none" w:sz="0" w:space="0" w:color="auto"/>
                <w:left w:val="none" w:sz="0" w:space="0" w:color="auto"/>
                <w:bottom w:val="none" w:sz="0" w:space="0" w:color="auto"/>
                <w:right w:val="none" w:sz="0" w:space="0" w:color="auto"/>
              </w:divBdr>
            </w:div>
            <w:div w:id="1400978188">
              <w:marLeft w:val="0"/>
              <w:marRight w:val="0"/>
              <w:marTop w:val="0"/>
              <w:marBottom w:val="0"/>
              <w:divBdr>
                <w:top w:val="none" w:sz="0" w:space="0" w:color="auto"/>
                <w:left w:val="none" w:sz="0" w:space="0" w:color="auto"/>
                <w:bottom w:val="none" w:sz="0" w:space="0" w:color="auto"/>
                <w:right w:val="none" w:sz="0" w:space="0" w:color="auto"/>
              </w:divBdr>
              <w:divsChild>
                <w:div w:id="1203246367">
                  <w:marLeft w:val="0"/>
                  <w:marRight w:val="0"/>
                  <w:marTop w:val="0"/>
                  <w:marBottom w:val="0"/>
                  <w:divBdr>
                    <w:top w:val="none" w:sz="0" w:space="0" w:color="auto"/>
                    <w:left w:val="none" w:sz="0" w:space="0" w:color="auto"/>
                    <w:bottom w:val="none" w:sz="0" w:space="0" w:color="auto"/>
                    <w:right w:val="none" w:sz="0" w:space="0" w:color="auto"/>
                  </w:divBdr>
                  <w:divsChild>
                    <w:div w:id="1414013693">
                      <w:marLeft w:val="0"/>
                      <w:marRight w:val="0"/>
                      <w:marTop w:val="0"/>
                      <w:marBottom w:val="0"/>
                      <w:divBdr>
                        <w:top w:val="none" w:sz="0" w:space="0" w:color="auto"/>
                        <w:left w:val="none" w:sz="0" w:space="0" w:color="auto"/>
                        <w:bottom w:val="none" w:sz="0" w:space="0" w:color="auto"/>
                        <w:right w:val="none" w:sz="0" w:space="0" w:color="auto"/>
                      </w:divBdr>
                      <w:divsChild>
                        <w:div w:id="186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41260">
              <w:marLeft w:val="0"/>
              <w:marRight w:val="0"/>
              <w:marTop w:val="0"/>
              <w:marBottom w:val="0"/>
              <w:divBdr>
                <w:top w:val="none" w:sz="0" w:space="0" w:color="auto"/>
                <w:left w:val="none" w:sz="0" w:space="0" w:color="auto"/>
                <w:bottom w:val="none" w:sz="0" w:space="0" w:color="auto"/>
                <w:right w:val="none" w:sz="0" w:space="0" w:color="auto"/>
              </w:divBdr>
            </w:div>
            <w:div w:id="161891771">
              <w:marLeft w:val="0"/>
              <w:marRight w:val="0"/>
              <w:marTop w:val="0"/>
              <w:marBottom w:val="0"/>
              <w:divBdr>
                <w:top w:val="none" w:sz="0" w:space="0" w:color="auto"/>
                <w:left w:val="none" w:sz="0" w:space="0" w:color="auto"/>
                <w:bottom w:val="none" w:sz="0" w:space="0" w:color="auto"/>
                <w:right w:val="none" w:sz="0" w:space="0" w:color="auto"/>
              </w:divBdr>
              <w:divsChild>
                <w:div w:id="397167728">
                  <w:marLeft w:val="0"/>
                  <w:marRight w:val="0"/>
                  <w:marTop w:val="0"/>
                  <w:marBottom w:val="0"/>
                  <w:divBdr>
                    <w:top w:val="none" w:sz="0" w:space="0" w:color="auto"/>
                    <w:left w:val="none" w:sz="0" w:space="0" w:color="auto"/>
                    <w:bottom w:val="none" w:sz="0" w:space="0" w:color="auto"/>
                    <w:right w:val="none" w:sz="0" w:space="0" w:color="auto"/>
                  </w:divBdr>
                  <w:divsChild>
                    <w:div w:id="104160923">
                      <w:marLeft w:val="0"/>
                      <w:marRight w:val="0"/>
                      <w:marTop w:val="0"/>
                      <w:marBottom w:val="0"/>
                      <w:divBdr>
                        <w:top w:val="none" w:sz="0" w:space="0" w:color="auto"/>
                        <w:left w:val="none" w:sz="0" w:space="0" w:color="auto"/>
                        <w:bottom w:val="none" w:sz="0" w:space="0" w:color="auto"/>
                        <w:right w:val="none" w:sz="0" w:space="0" w:color="auto"/>
                      </w:divBdr>
                      <w:divsChild>
                        <w:div w:id="113058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2737">
              <w:marLeft w:val="0"/>
              <w:marRight w:val="0"/>
              <w:marTop w:val="0"/>
              <w:marBottom w:val="0"/>
              <w:divBdr>
                <w:top w:val="none" w:sz="0" w:space="0" w:color="auto"/>
                <w:left w:val="none" w:sz="0" w:space="0" w:color="auto"/>
                <w:bottom w:val="none" w:sz="0" w:space="0" w:color="auto"/>
                <w:right w:val="none" w:sz="0" w:space="0" w:color="auto"/>
              </w:divBdr>
            </w:div>
            <w:div w:id="1526865246">
              <w:marLeft w:val="0"/>
              <w:marRight w:val="0"/>
              <w:marTop w:val="0"/>
              <w:marBottom w:val="0"/>
              <w:divBdr>
                <w:top w:val="none" w:sz="0" w:space="0" w:color="auto"/>
                <w:left w:val="none" w:sz="0" w:space="0" w:color="auto"/>
                <w:bottom w:val="none" w:sz="0" w:space="0" w:color="auto"/>
                <w:right w:val="none" w:sz="0" w:space="0" w:color="auto"/>
              </w:divBdr>
              <w:divsChild>
                <w:div w:id="1079324457">
                  <w:marLeft w:val="0"/>
                  <w:marRight w:val="0"/>
                  <w:marTop w:val="0"/>
                  <w:marBottom w:val="0"/>
                  <w:divBdr>
                    <w:top w:val="none" w:sz="0" w:space="0" w:color="auto"/>
                    <w:left w:val="none" w:sz="0" w:space="0" w:color="auto"/>
                    <w:bottom w:val="none" w:sz="0" w:space="0" w:color="auto"/>
                    <w:right w:val="none" w:sz="0" w:space="0" w:color="auto"/>
                  </w:divBdr>
                  <w:divsChild>
                    <w:div w:id="1738286191">
                      <w:marLeft w:val="0"/>
                      <w:marRight w:val="0"/>
                      <w:marTop w:val="0"/>
                      <w:marBottom w:val="0"/>
                      <w:divBdr>
                        <w:top w:val="none" w:sz="0" w:space="0" w:color="auto"/>
                        <w:left w:val="none" w:sz="0" w:space="0" w:color="auto"/>
                        <w:bottom w:val="none" w:sz="0" w:space="0" w:color="auto"/>
                        <w:right w:val="none" w:sz="0" w:space="0" w:color="auto"/>
                      </w:divBdr>
                      <w:divsChild>
                        <w:div w:id="9103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49720">
              <w:marLeft w:val="0"/>
              <w:marRight w:val="0"/>
              <w:marTop w:val="0"/>
              <w:marBottom w:val="0"/>
              <w:divBdr>
                <w:top w:val="none" w:sz="0" w:space="0" w:color="auto"/>
                <w:left w:val="none" w:sz="0" w:space="0" w:color="auto"/>
                <w:bottom w:val="none" w:sz="0" w:space="0" w:color="auto"/>
                <w:right w:val="none" w:sz="0" w:space="0" w:color="auto"/>
              </w:divBdr>
            </w:div>
            <w:div w:id="704447913">
              <w:marLeft w:val="0"/>
              <w:marRight w:val="0"/>
              <w:marTop w:val="0"/>
              <w:marBottom w:val="0"/>
              <w:divBdr>
                <w:top w:val="none" w:sz="0" w:space="0" w:color="auto"/>
                <w:left w:val="none" w:sz="0" w:space="0" w:color="auto"/>
                <w:bottom w:val="none" w:sz="0" w:space="0" w:color="auto"/>
                <w:right w:val="none" w:sz="0" w:space="0" w:color="auto"/>
              </w:divBdr>
              <w:divsChild>
                <w:div w:id="718363175">
                  <w:marLeft w:val="0"/>
                  <w:marRight w:val="0"/>
                  <w:marTop w:val="0"/>
                  <w:marBottom w:val="0"/>
                  <w:divBdr>
                    <w:top w:val="none" w:sz="0" w:space="0" w:color="auto"/>
                    <w:left w:val="none" w:sz="0" w:space="0" w:color="auto"/>
                    <w:bottom w:val="none" w:sz="0" w:space="0" w:color="auto"/>
                    <w:right w:val="none" w:sz="0" w:space="0" w:color="auto"/>
                  </w:divBdr>
                  <w:divsChild>
                    <w:div w:id="354966335">
                      <w:marLeft w:val="0"/>
                      <w:marRight w:val="0"/>
                      <w:marTop w:val="0"/>
                      <w:marBottom w:val="0"/>
                      <w:divBdr>
                        <w:top w:val="none" w:sz="0" w:space="0" w:color="auto"/>
                        <w:left w:val="none" w:sz="0" w:space="0" w:color="auto"/>
                        <w:bottom w:val="none" w:sz="0" w:space="0" w:color="auto"/>
                        <w:right w:val="none" w:sz="0" w:space="0" w:color="auto"/>
                      </w:divBdr>
                      <w:divsChild>
                        <w:div w:id="64955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799953">
              <w:marLeft w:val="0"/>
              <w:marRight w:val="0"/>
              <w:marTop w:val="0"/>
              <w:marBottom w:val="0"/>
              <w:divBdr>
                <w:top w:val="none" w:sz="0" w:space="0" w:color="auto"/>
                <w:left w:val="none" w:sz="0" w:space="0" w:color="auto"/>
                <w:bottom w:val="none" w:sz="0" w:space="0" w:color="auto"/>
                <w:right w:val="none" w:sz="0" w:space="0" w:color="auto"/>
              </w:divBdr>
            </w:div>
            <w:div w:id="236594079">
              <w:marLeft w:val="0"/>
              <w:marRight w:val="0"/>
              <w:marTop w:val="0"/>
              <w:marBottom w:val="0"/>
              <w:divBdr>
                <w:top w:val="none" w:sz="0" w:space="0" w:color="auto"/>
                <w:left w:val="none" w:sz="0" w:space="0" w:color="auto"/>
                <w:bottom w:val="none" w:sz="0" w:space="0" w:color="auto"/>
                <w:right w:val="none" w:sz="0" w:space="0" w:color="auto"/>
              </w:divBdr>
              <w:divsChild>
                <w:div w:id="1206479670">
                  <w:marLeft w:val="0"/>
                  <w:marRight w:val="0"/>
                  <w:marTop w:val="0"/>
                  <w:marBottom w:val="0"/>
                  <w:divBdr>
                    <w:top w:val="none" w:sz="0" w:space="0" w:color="auto"/>
                    <w:left w:val="none" w:sz="0" w:space="0" w:color="auto"/>
                    <w:bottom w:val="none" w:sz="0" w:space="0" w:color="auto"/>
                    <w:right w:val="none" w:sz="0" w:space="0" w:color="auto"/>
                  </w:divBdr>
                  <w:divsChild>
                    <w:div w:id="2002390159">
                      <w:marLeft w:val="0"/>
                      <w:marRight w:val="0"/>
                      <w:marTop w:val="0"/>
                      <w:marBottom w:val="0"/>
                      <w:divBdr>
                        <w:top w:val="none" w:sz="0" w:space="0" w:color="auto"/>
                        <w:left w:val="none" w:sz="0" w:space="0" w:color="auto"/>
                        <w:bottom w:val="none" w:sz="0" w:space="0" w:color="auto"/>
                        <w:right w:val="none" w:sz="0" w:space="0" w:color="auto"/>
                      </w:divBdr>
                      <w:divsChild>
                        <w:div w:id="53827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95200">
              <w:marLeft w:val="0"/>
              <w:marRight w:val="0"/>
              <w:marTop w:val="0"/>
              <w:marBottom w:val="0"/>
              <w:divBdr>
                <w:top w:val="none" w:sz="0" w:space="0" w:color="auto"/>
                <w:left w:val="none" w:sz="0" w:space="0" w:color="auto"/>
                <w:bottom w:val="none" w:sz="0" w:space="0" w:color="auto"/>
                <w:right w:val="none" w:sz="0" w:space="0" w:color="auto"/>
              </w:divBdr>
            </w:div>
            <w:div w:id="59251482">
              <w:marLeft w:val="0"/>
              <w:marRight w:val="0"/>
              <w:marTop w:val="0"/>
              <w:marBottom w:val="0"/>
              <w:divBdr>
                <w:top w:val="none" w:sz="0" w:space="0" w:color="auto"/>
                <w:left w:val="none" w:sz="0" w:space="0" w:color="auto"/>
                <w:bottom w:val="none" w:sz="0" w:space="0" w:color="auto"/>
                <w:right w:val="none" w:sz="0" w:space="0" w:color="auto"/>
              </w:divBdr>
              <w:divsChild>
                <w:div w:id="216476321">
                  <w:marLeft w:val="0"/>
                  <w:marRight w:val="0"/>
                  <w:marTop w:val="0"/>
                  <w:marBottom w:val="0"/>
                  <w:divBdr>
                    <w:top w:val="none" w:sz="0" w:space="0" w:color="auto"/>
                    <w:left w:val="none" w:sz="0" w:space="0" w:color="auto"/>
                    <w:bottom w:val="none" w:sz="0" w:space="0" w:color="auto"/>
                    <w:right w:val="none" w:sz="0" w:space="0" w:color="auto"/>
                  </w:divBdr>
                  <w:divsChild>
                    <w:div w:id="2144692999">
                      <w:marLeft w:val="0"/>
                      <w:marRight w:val="0"/>
                      <w:marTop w:val="0"/>
                      <w:marBottom w:val="0"/>
                      <w:divBdr>
                        <w:top w:val="none" w:sz="0" w:space="0" w:color="auto"/>
                        <w:left w:val="none" w:sz="0" w:space="0" w:color="auto"/>
                        <w:bottom w:val="none" w:sz="0" w:space="0" w:color="auto"/>
                        <w:right w:val="none" w:sz="0" w:space="0" w:color="auto"/>
                      </w:divBdr>
                      <w:divsChild>
                        <w:div w:id="211131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6956674">
      <w:bodyDiv w:val="1"/>
      <w:marLeft w:val="0"/>
      <w:marRight w:val="0"/>
      <w:marTop w:val="0"/>
      <w:marBottom w:val="0"/>
      <w:divBdr>
        <w:top w:val="none" w:sz="0" w:space="0" w:color="auto"/>
        <w:left w:val="none" w:sz="0" w:space="0" w:color="auto"/>
        <w:bottom w:val="none" w:sz="0" w:space="0" w:color="auto"/>
        <w:right w:val="none" w:sz="0" w:space="0" w:color="auto"/>
      </w:divBdr>
    </w:div>
    <w:div w:id="548341657">
      <w:bodyDiv w:val="1"/>
      <w:marLeft w:val="0"/>
      <w:marRight w:val="0"/>
      <w:marTop w:val="0"/>
      <w:marBottom w:val="0"/>
      <w:divBdr>
        <w:top w:val="none" w:sz="0" w:space="0" w:color="auto"/>
        <w:left w:val="none" w:sz="0" w:space="0" w:color="auto"/>
        <w:bottom w:val="none" w:sz="0" w:space="0" w:color="auto"/>
        <w:right w:val="none" w:sz="0" w:space="0" w:color="auto"/>
      </w:divBdr>
    </w:div>
    <w:div w:id="820314482">
      <w:bodyDiv w:val="1"/>
      <w:marLeft w:val="0"/>
      <w:marRight w:val="0"/>
      <w:marTop w:val="0"/>
      <w:marBottom w:val="0"/>
      <w:divBdr>
        <w:top w:val="none" w:sz="0" w:space="0" w:color="auto"/>
        <w:left w:val="none" w:sz="0" w:space="0" w:color="auto"/>
        <w:bottom w:val="none" w:sz="0" w:space="0" w:color="auto"/>
        <w:right w:val="none" w:sz="0" w:space="0" w:color="auto"/>
      </w:divBdr>
    </w:div>
    <w:div w:id="974258739">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69656399">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471168943">
      <w:bodyDiv w:val="1"/>
      <w:marLeft w:val="0"/>
      <w:marRight w:val="0"/>
      <w:marTop w:val="0"/>
      <w:marBottom w:val="0"/>
      <w:divBdr>
        <w:top w:val="none" w:sz="0" w:space="0" w:color="auto"/>
        <w:left w:val="none" w:sz="0" w:space="0" w:color="auto"/>
        <w:bottom w:val="none" w:sz="0" w:space="0" w:color="auto"/>
        <w:right w:val="none" w:sz="0" w:space="0" w:color="auto"/>
      </w:divBdr>
    </w:div>
    <w:div w:id="1517815266">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859734676">
      <w:bodyDiv w:val="1"/>
      <w:marLeft w:val="0"/>
      <w:marRight w:val="0"/>
      <w:marTop w:val="0"/>
      <w:marBottom w:val="0"/>
      <w:divBdr>
        <w:top w:val="none" w:sz="0" w:space="0" w:color="auto"/>
        <w:left w:val="none" w:sz="0" w:space="0" w:color="auto"/>
        <w:bottom w:val="none" w:sz="0" w:space="0" w:color="auto"/>
        <w:right w:val="none" w:sz="0" w:space="0" w:color="auto"/>
      </w:divBdr>
    </w:div>
    <w:div w:id="1924029665">
      <w:bodyDiv w:val="1"/>
      <w:marLeft w:val="0"/>
      <w:marRight w:val="0"/>
      <w:marTop w:val="0"/>
      <w:marBottom w:val="0"/>
      <w:divBdr>
        <w:top w:val="none" w:sz="0" w:space="0" w:color="auto"/>
        <w:left w:val="none" w:sz="0" w:space="0" w:color="auto"/>
        <w:bottom w:val="none" w:sz="0" w:space="0" w:color="auto"/>
        <w:right w:val="none" w:sz="0" w:space="0" w:color="auto"/>
      </w:divBdr>
    </w:div>
    <w:div w:id="1966038068">
      <w:bodyDiv w:val="1"/>
      <w:marLeft w:val="0"/>
      <w:marRight w:val="0"/>
      <w:marTop w:val="0"/>
      <w:marBottom w:val="0"/>
      <w:divBdr>
        <w:top w:val="none" w:sz="0" w:space="0" w:color="auto"/>
        <w:left w:val="none" w:sz="0" w:space="0" w:color="auto"/>
        <w:bottom w:val="none" w:sz="0" w:space="0" w:color="auto"/>
        <w:right w:val="none" w:sz="0" w:space="0" w:color="auto"/>
      </w:divBdr>
    </w:div>
    <w:div w:id="2037853317">
      <w:bodyDiv w:val="1"/>
      <w:marLeft w:val="0"/>
      <w:marRight w:val="0"/>
      <w:marTop w:val="0"/>
      <w:marBottom w:val="0"/>
      <w:divBdr>
        <w:top w:val="none" w:sz="0" w:space="0" w:color="auto"/>
        <w:left w:val="none" w:sz="0" w:space="0" w:color="auto"/>
        <w:bottom w:val="none" w:sz="0" w:space="0" w:color="auto"/>
        <w:right w:val="none" w:sz="0" w:space="0" w:color="auto"/>
      </w:divBdr>
    </w:div>
    <w:div w:id="2040931389">
      <w:bodyDiv w:val="1"/>
      <w:marLeft w:val="0"/>
      <w:marRight w:val="0"/>
      <w:marTop w:val="0"/>
      <w:marBottom w:val="0"/>
      <w:divBdr>
        <w:top w:val="none" w:sz="0" w:space="0" w:color="auto"/>
        <w:left w:val="none" w:sz="0" w:space="0" w:color="auto"/>
        <w:bottom w:val="none" w:sz="0" w:space="0" w:color="auto"/>
        <w:right w:val="none" w:sz="0" w:space="0" w:color="auto"/>
      </w:divBdr>
    </w:div>
    <w:div w:id="208969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D7C5E6AE-ADE1-459D-B4FF-A2B4A9157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7F98F-6F1D-4087-B63C-FB2D7CE2F7A9}">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 ds:uri="http://purl.org/dc/elements/1.1/"/>
    <ds:schemaRef ds:uri="http://schemas.microsoft.com/office/2006/metadata/properties"/>
    <ds:schemaRef ds:uri="2f282d3b-eb4a-4b09-b61f-b9593442e286"/>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2022-02-10T19:34:00Z</dcterms:created>
  <dcterms:modified xsi:type="dcterms:W3CDTF">2022-02-10T19:34:00Z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