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03A60773"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224449">
        <w:rPr>
          <w:rFonts w:eastAsia="SimSun"/>
          <w:b/>
          <w:bCs/>
          <w:sz w:val="24"/>
          <w:lang w:eastAsia="zh-CN"/>
        </w:rPr>
        <w:t>10</w:t>
      </w:r>
      <w:r w:rsidR="009B3A19">
        <w:rPr>
          <w:rFonts w:eastAsia="SimSun"/>
          <w:b/>
          <w:bCs/>
          <w:sz w:val="24"/>
          <w:lang w:eastAsia="zh-CN"/>
        </w:rPr>
        <w:t>99</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35246CCE" w:rsidR="00953485" w:rsidRPr="00450EB2" w:rsidRDefault="00953485" w:rsidP="00953485">
      <w:pPr>
        <w:pStyle w:val="3GPPHeader"/>
      </w:pPr>
      <w:r w:rsidRPr="00450EB2">
        <w:t>Agenda Item:</w:t>
      </w:r>
      <w:r w:rsidRPr="00450EB2">
        <w:tab/>
      </w:r>
      <w:r w:rsidR="00224449">
        <w:t>9.3.8</w:t>
      </w:r>
    </w:p>
    <w:p w14:paraId="3A05A28A" w14:textId="77777777" w:rsidR="00953485" w:rsidRPr="00450EB2" w:rsidRDefault="00953485" w:rsidP="00953485">
      <w:pPr>
        <w:pStyle w:val="3GPPHeader"/>
      </w:pPr>
      <w:r w:rsidRPr="00450EB2">
        <w:t>Source:</w:t>
      </w:r>
      <w:r w:rsidRPr="00450EB2">
        <w:tab/>
        <w:t>Ericsson</w:t>
      </w:r>
    </w:p>
    <w:p w14:paraId="0539698B" w14:textId="5A50FFA8" w:rsidR="00953485" w:rsidRPr="00450EB2" w:rsidRDefault="00953485" w:rsidP="00953485">
      <w:pPr>
        <w:pStyle w:val="3GPPHeader"/>
      </w:pPr>
      <w:r w:rsidRPr="00450EB2">
        <w:t>Title:</w:t>
      </w:r>
      <w:r w:rsidRPr="00450EB2">
        <w:tab/>
      </w:r>
      <w:r>
        <w:t xml:space="preserve">Summary of Discussion for </w:t>
      </w:r>
      <w:proofErr w:type="spellStart"/>
      <w:r w:rsidR="009B3A19" w:rsidRPr="009B3A19">
        <w:t>MeasGapConfig</w:t>
      </w:r>
      <w:proofErr w:type="spellEnd"/>
      <w:r w:rsidR="009B3A19">
        <w:t xml:space="preserve"> Transparent </w:t>
      </w:r>
      <w:r w:rsidR="009B3A19" w:rsidRPr="009B3A19">
        <w:t>signaling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6956AB42"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A0431B">
        <w:t>Normal Release Cause Value</w:t>
      </w:r>
      <w:r>
        <w:rPr>
          <w:lang w:val="en-US"/>
        </w:rPr>
        <w:t>.</w:t>
      </w:r>
    </w:p>
    <w:p w14:paraId="62400BC7" w14:textId="1A5FB5D1" w:rsidR="00953485" w:rsidRDefault="00953485" w:rsidP="00953485">
      <w:pPr>
        <w:pStyle w:val="BodyText"/>
        <w:rPr>
          <w:lang w:val="en-US"/>
        </w:rPr>
      </w:pPr>
      <w:r>
        <w:rPr>
          <w:lang w:val="en-US"/>
        </w:rPr>
        <w:t xml:space="preserve">The discussion has been </w:t>
      </w:r>
      <w:proofErr w:type="spellStart"/>
      <w:r w:rsidR="00641B08">
        <w:rPr>
          <w:lang w:val="en-US"/>
        </w:rPr>
        <w:t>summarised</w:t>
      </w:r>
      <w:proofErr w:type="spellEnd"/>
      <w:r>
        <w:rPr>
          <w:lang w:val="en-US"/>
        </w:rPr>
        <w:t xml:space="preserve"> as follows in the meeting minutes:</w:t>
      </w:r>
    </w:p>
    <w:p w14:paraId="4E10B433" w14:textId="77777777" w:rsidR="00953485" w:rsidRDefault="00953485" w:rsidP="00953485">
      <w:pPr>
        <w:pStyle w:val="BodyText"/>
        <w:rPr>
          <w:lang w:val="en-US"/>
        </w:rPr>
      </w:pPr>
    </w:p>
    <w:p w14:paraId="2EE2AC19"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CB: # 94_</w:t>
      </w:r>
      <w:bookmarkStart w:id="2" w:name="_Hlk62755599"/>
      <w:r>
        <w:rPr>
          <w:rFonts w:ascii="Calibri" w:hAnsi="Calibri" w:cs="Calibri"/>
          <w:b/>
          <w:color w:val="FF00FF"/>
          <w:sz w:val="18"/>
        </w:rPr>
        <w:t>MeasGapConfig_signaling</w:t>
      </w:r>
      <w:bookmarkEnd w:id="2"/>
    </w:p>
    <w:p w14:paraId="48F11871"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 check usage (once again)</w:t>
      </w:r>
    </w:p>
    <w:p w14:paraId="64438D53" w14:textId="77777777" w:rsidR="009B3A19" w:rsidRDefault="009B3A19" w:rsidP="009B3A19">
      <w:pPr>
        <w:widowControl w:val="0"/>
        <w:ind w:left="144" w:hanging="144"/>
        <w:rPr>
          <w:rFonts w:ascii="Calibri" w:hAnsi="Calibri" w:cs="Calibri"/>
          <w:b/>
          <w:color w:val="FF00FF"/>
          <w:sz w:val="18"/>
        </w:rPr>
      </w:pPr>
      <w:r>
        <w:rPr>
          <w:rFonts w:ascii="Calibri" w:hAnsi="Calibri" w:cs="Calibri"/>
          <w:b/>
          <w:color w:val="FF00FF"/>
          <w:sz w:val="18"/>
        </w:rPr>
        <w:t xml:space="preserve">- need a common understanding </w:t>
      </w:r>
      <w:proofErr w:type="spellStart"/>
      <w:r>
        <w:rPr>
          <w:rFonts w:ascii="Calibri" w:hAnsi="Calibri" w:cs="Calibri"/>
          <w:b/>
          <w:color w:val="FF00FF"/>
          <w:sz w:val="18"/>
        </w:rPr>
        <w:t>w.r.t.</w:t>
      </w:r>
      <w:proofErr w:type="spellEnd"/>
      <w:r>
        <w:rPr>
          <w:rFonts w:ascii="Calibri" w:hAnsi="Calibri" w:cs="Calibri"/>
          <w:b/>
          <w:color w:val="FF00FF"/>
          <w:sz w:val="18"/>
        </w:rPr>
        <w:t xml:space="preserve"> handling of optional IEs! (e.g. what to do with sub-IEs)</w:t>
      </w:r>
    </w:p>
    <w:p w14:paraId="0E91A709" w14:textId="5C7CB1BE" w:rsidR="009B3A19" w:rsidRDefault="009B3A19" w:rsidP="009B3A19">
      <w:pPr>
        <w:widowControl w:val="0"/>
        <w:ind w:left="144" w:hanging="144"/>
        <w:rPr>
          <w:rFonts w:ascii="Calibri" w:hAnsi="Calibri" w:cs="Calibri"/>
          <w:color w:val="000000"/>
          <w:sz w:val="18"/>
        </w:rPr>
      </w:pPr>
      <w:r>
        <w:rPr>
          <w:rFonts w:ascii="Calibri" w:hAnsi="Calibri" w:cs="Calibri"/>
          <w:color w:val="000000"/>
          <w:sz w:val="18"/>
        </w:rPr>
        <w:t>(E/// - moderator)</w:t>
      </w:r>
    </w:p>
    <w:p w14:paraId="36BBA58F" w14:textId="061F3E96" w:rsidR="009B3A19" w:rsidRDefault="009B3A19" w:rsidP="009B3A19">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R3-211099</w:t>
        </w:r>
      </w:hyperlink>
    </w:p>
    <w:p w14:paraId="2640F71F" w14:textId="5790D038" w:rsidR="00E250A8" w:rsidRDefault="005D2DBA" w:rsidP="009B3A19">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30840AAB" w:rsidR="00E250A8" w:rsidRDefault="00EC57F9" w:rsidP="00E250A8">
      <w:pPr>
        <w:pStyle w:val="Heading1"/>
      </w:pPr>
      <w:r>
        <w:t>Discussion</w:t>
      </w:r>
    </w:p>
    <w:p w14:paraId="549A0C4D" w14:textId="77777777" w:rsidR="005B757A" w:rsidRPr="005B757A" w:rsidRDefault="005B757A" w:rsidP="005B757A"/>
    <w:p w14:paraId="5A2AA18A" w14:textId="3951E876" w:rsidR="005B757A" w:rsidRDefault="005B757A" w:rsidP="005B757A">
      <w:pPr>
        <w:pStyle w:val="Heading2"/>
      </w:pPr>
      <w:r>
        <w:t xml:space="preserve">Inclusion of procedure text for </w:t>
      </w:r>
      <w:proofErr w:type="spellStart"/>
      <w:r w:rsidRPr="005B757A">
        <w:rPr>
          <w:i/>
          <w:iCs w:val="0"/>
        </w:rPr>
        <w:t>MeasGapConfig</w:t>
      </w:r>
      <w:proofErr w:type="spellEnd"/>
      <w:r>
        <w:t xml:space="preserve"> IE</w:t>
      </w:r>
    </w:p>
    <w:p w14:paraId="705DD112" w14:textId="77777777" w:rsidR="005B757A" w:rsidRPr="005B757A" w:rsidRDefault="005B757A" w:rsidP="005B757A"/>
    <w:p w14:paraId="0840F5E7" w14:textId="253D473B" w:rsidR="009B3A19" w:rsidRDefault="009B3A19" w:rsidP="003C365A">
      <w:r>
        <w:t xml:space="preserve">At RAN3-110e the following was captured concerning how the </w:t>
      </w:r>
      <w:proofErr w:type="spellStart"/>
      <w:r w:rsidRPr="009B3A19">
        <w:rPr>
          <w:i/>
          <w:iCs/>
        </w:rPr>
        <w:t>MeasGapConfig</w:t>
      </w:r>
      <w:proofErr w:type="spellEnd"/>
      <w:r>
        <w:t xml:space="preserve"> IE is handled at the receiver side:</w:t>
      </w:r>
    </w:p>
    <w:p w14:paraId="3AE25E01" w14:textId="193D0F5A" w:rsidR="009B3A19" w:rsidRDefault="009B3A19" w:rsidP="003C365A"/>
    <w:p w14:paraId="2BDBEF81"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Common understanding:</w:t>
      </w:r>
    </w:p>
    <w:p w14:paraId="2F7FE4B5"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-CU should trigger a UE RRC reconfiguration aimed at configuring the measurement gaps</w:t>
      </w:r>
    </w:p>
    <w:p w14:paraId="5875BA1C" w14:textId="77777777" w:rsidR="009B3A19" w:rsidRPr="009B3A19" w:rsidRDefault="009B3A19" w:rsidP="009B3A19">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-CU should be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to the UE transparently</w:t>
      </w:r>
    </w:p>
    <w:p w14:paraId="3771B384" w14:textId="77777777" w:rsidR="009B3A19" w:rsidRPr="009B3A19" w:rsidRDefault="009B3A19" w:rsidP="009B3A19">
      <w:pPr>
        <w:widowControl w:val="0"/>
        <w:spacing w:after="0" w:line="259" w:lineRule="auto"/>
        <w:ind w:left="144" w:hanging="144"/>
        <w:rPr>
          <w:rFonts w:ascii="Calibri" w:eastAsia="Calibri" w:hAnsi="Calibri" w:cs="Calibri"/>
          <w:b/>
          <w:bCs/>
          <w:i/>
          <w:iCs/>
          <w:color w:val="000000"/>
          <w:sz w:val="20"/>
          <w:szCs w:val="28"/>
          <w:lang w:val="en-GB" w:eastAsia="en-US"/>
        </w:rPr>
      </w:pPr>
    </w:p>
    <w:p w14:paraId="2000A5A6" w14:textId="77777777" w:rsidR="009B3A19" w:rsidRPr="009B3A19" w:rsidRDefault="009B3A19" w:rsidP="009B3A19">
      <w:pPr>
        <w:widowControl w:val="0"/>
        <w:spacing w:after="0" w:line="259" w:lineRule="auto"/>
        <w:ind w:left="144" w:hanging="144"/>
        <w:rPr>
          <w:rFonts w:ascii="Calibri" w:eastAsia="Calibri" w:hAnsi="Calibri" w:cs="Calibri"/>
          <w:i/>
          <w:iCs/>
          <w:color w:val="000000"/>
          <w:sz w:val="20"/>
          <w:szCs w:val="28"/>
          <w:lang w:val="en-GB" w:eastAsia="en-US"/>
        </w:rPr>
      </w:pPr>
      <w:r w:rsidRPr="009B3A19">
        <w:rPr>
          <w:rFonts w:ascii="Calibri" w:eastAsia="Calibri" w:hAnsi="Calibri" w:cs="Calibri"/>
          <w:i/>
          <w:iCs/>
          <w:color w:val="000000"/>
          <w:sz w:val="20"/>
          <w:szCs w:val="28"/>
          <w:lang w:val="en-GB" w:eastAsia="en-US"/>
        </w:rPr>
        <w:t>It is FFS whether the principles above need to be captured in RAN3 specifications?</w:t>
      </w:r>
    </w:p>
    <w:p w14:paraId="5682B201" w14:textId="77777777" w:rsidR="009B3A19" w:rsidRPr="009B3A19" w:rsidRDefault="009B3A19" w:rsidP="003C365A">
      <w:pPr>
        <w:rPr>
          <w:lang w:val="en-GB"/>
        </w:rPr>
      </w:pPr>
    </w:p>
    <w:p w14:paraId="3F1C3CDE" w14:textId="5C0B9495" w:rsidR="009B3A19" w:rsidRDefault="009B3A19" w:rsidP="003C365A">
      <w:pPr>
        <w:rPr>
          <w:lang w:val="en-GB"/>
        </w:rPr>
      </w:pPr>
      <w:r>
        <w:lastRenderedPageBreak/>
        <w:t xml:space="preserve">We note that the </w:t>
      </w:r>
      <w:proofErr w:type="spellStart"/>
      <w:r w:rsidRPr="009B3A19">
        <w:rPr>
          <w:i/>
          <w:iCs/>
        </w:rPr>
        <w:t>MeasGapConfig</w:t>
      </w:r>
      <w:proofErr w:type="spellEnd"/>
      <w:r>
        <w:t xml:space="preserve"> IE is an Optional IE within the </w:t>
      </w:r>
      <w:r w:rsidRPr="009B3A19">
        <w:rPr>
          <w:i/>
          <w:lang w:val="en-GB"/>
        </w:rPr>
        <w:t>DU to CU RRC Information</w:t>
      </w:r>
      <w:r w:rsidRPr="009B3A19">
        <w:rPr>
          <w:lang w:val="en-GB"/>
        </w:rPr>
        <w:t xml:space="preserve"> IE</w:t>
      </w:r>
      <w:r>
        <w:rPr>
          <w:lang w:val="en-GB"/>
        </w:rPr>
        <w:t xml:space="preserve">. The </w:t>
      </w:r>
      <w:r w:rsidRPr="009B3A19">
        <w:rPr>
          <w:i/>
          <w:lang w:val="en-GB"/>
        </w:rPr>
        <w:t>DU to CU RRC Information</w:t>
      </w:r>
      <w:r w:rsidRPr="009B3A19">
        <w:rPr>
          <w:lang w:val="en-GB"/>
        </w:rPr>
        <w:t xml:space="preserve"> IE</w:t>
      </w:r>
      <w:r>
        <w:rPr>
          <w:lang w:val="en-GB"/>
        </w:rPr>
        <w:t xml:space="preserve"> is included in </w:t>
      </w:r>
      <w:proofErr w:type="gramStart"/>
      <w:r>
        <w:rPr>
          <w:lang w:val="en-GB"/>
        </w:rPr>
        <w:t>a number of</w:t>
      </w:r>
      <w:proofErr w:type="gramEnd"/>
      <w:r>
        <w:rPr>
          <w:lang w:val="en-GB"/>
        </w:rPr>
        <w:t xml:space="preserve"> messages over F1AP, amongst which the </w:t>
      </w:r>
      <w:r w:rsidRPr="009B3A19">
        <w:rPr>
          <w:lang w:val="en-GB"/>
        </w:rPr>
        <w:t>UE CONTEXT SETUP RE</w:t>
      </w:r>
      <w:r>
        <w:rPr>
          <w:lang w:val="en-GB"/>
        </w:rPr>
        <w:t xml:space="preserve">SPONSE and the </w:t>
      </w:r>
      <w:r w:rsidRPr="009B3A19">
        <w:rPr>
          <w:lang w:val="en-GB"/>
        </w:rPr>
        <w:t>UE CONTEXT MODIFICATION RE</w:t>
      </w:r>
      <w:r w:rsidRPr="009B3A19">
        <w:rPr>
          <w:rFonts w:hint="eastAsia"/>
          <w:lang w:val="en-GB"/>
        </w:rPr>
        <w:t>SPONSE</w:t>
      </w:r>
      <w:r w:rsidR="00D571FE">
        <w:rPr>
          <w:lang w:val="en-GB"/>
        </w:rPr>
        <w:t>.</w:t>
      </w:r>
    </w:p>
    <w:p w14:paraId="434FEF59" w14:textId="3173F7BA" w:rsidR="00D571FE" w:rsidRDefault="00D571FE" w:rsidP="003C365A"/>
    <w:p w14:paraId="48F370BD" w14:textId="307C703B" w:rsidR="00D571FE" w:rsidRDefault="00D571FE" w:rsidP="003C365A">
      <w:r>
        <w:t xml:space="preserve">The question left to answer at the last RAN3 meeting </w:t>
      </w:r>
      <w:r w:rsidR="00AC4A29">
        <w:t>is</w:t>
      </w:r>
      <w:r>
        <w:t xml:space="preserve"> whether the principles highlighted in the “Common Understanding” above, should be captured in the specifications.</w:t>
      </w:r>
    </w:p>
    <w:p w14:paraId="614F3074" w14:textId="4146B81D" w:rsidR="00D571FE" w:rsidRDefault="00D571FE" w:rsidP="003C365A">
      <w:r>
        <w:t>To help us answering this question, Section 4.1 of TS38.473 contains relevant requirements reported below:</w:t>
      </w:r>
    </w:p>
    <w:p w14:paraId="51120461" w14:textId="1F60DB3F" w:rsidR="00D571FE" w:rsidRDefault="00D571FE" w:rsidP="003C365A"/>
    <w:p w14:paraId="61C7BD1A" w14:textId="697ABBA1" w:rsidR="00D571FE" w:rsidRPr="00D571FE" w:rsidRDefault="00D571FE" w:rsidP="003C365A">
      <w:pPr>
        <w:rPr>
          <w:i/>
          <w:iCs/>
        </w:rPr>
      </w:pPr>
      <w:r w:rsidRPr="00D571FE">
        <w:rPr>
          <w:i/>
          <w:iCs/>
          <w:lang w:val="en-GB"/>
        </w:rPr>
        <w:t>Any required inclusion of an optional IE in a response message is explicitly indicated in the procedure text. If the procedure text does not explicitly indicate that an optional IE shall be included in a response message, the optional IE shall not be included.</w:t>
      </w:r>
    </w:p>
    <w:p w14:paraId="10D40943" w14:textId="4611B733" w:rsidR="00D571FE" w:rsidRDefault="00D571FE" w:rsidP="003C365A"/>
    <w:p w14:paraId="30ADE836" w14:textId="7092F831" w:rsidR="009444F2" w:rsidRDefault="009444F2" w:rsidP="003C365A">
      <w:r>
        <w:t xml:space="preserve">The text above applies perfectly to the </w:t>
      </w:r>
      <w:proofErr w:type="spellStart"/>
      <w:r w:rsidRPr="009444F2">
        <w:rPr>
          <w:i/>
          <w:iCs/>
        </w:rPr>
        <w:t>M</w:t>
      </w:r>
      <w:r>
        <w:rPr>
          <w:i/>
          <w:iCs/>
        </w:rPr>
        <w:t>e</w:t>
      </w:r>
      <w:r w:rsidRPr="009444F2">
        <w:rPr>
          <w:i/>
          <w:iCs/>
        </w:rPr>
        <w:t>asGapConfig</w:t>
      </w:r>
      <w:proofErr w:type="spellEnd"/>
      <w:r>
        <w:t xml:space="preserve"> IE in the </w:t>
      </w:r>
      <w:r w:rsidRPr="009B3A19">
        <w:rPr>
          <w:lang w:val="en-GB"/>
        </w:rPr>
        <w:t>CONTEXT SETUP RE</w:t>
      </w:r>
      <w:r>
        <w:rPr>
          <w:lang w:val="en-GB"/>
        </w:rPr>
        <w:t xml:space="preserve">SPONSE and the </w:t>
      </w:r>
      <w:r w:rsidRPr="009B3A19">
        <w:rPr>
          <w:lang w:val="en-GB"/>
        </w:rPr>
        <w:t>UE CONTEXT MODIFICATION RE</w:t>
      </w:r>
      <w:r w:rsidRPr="009B3A19">
        <w:rPr>
          <w:rFonts w:hint="eastAsia"/>
          <w:lang w:val="en-GB"/>
        </w:rPr>
        <w:t>SPONSE</w:t>
      </w:r>
      <w:r>
        <w:rPr>
          <w:lang w:val="en-GB"/>
        </w:rPr>
        <w:t xml:space="preserve"> because the </w:t>
      </w:r>
      <w:proofErr w:type="spellStart"/>
      <w:r w:rsidRPr="009444F2">
        <w:rPr>
          <w:i/>
          <w:iCs/>
        </w:rPr>
        <w:t>M</w:t>
      </w:r>
      <w:r>
        <w:rPr>
          <w:i/>
          <w:iCs/>
        </w:rPr>
        <w:t>e</w:t>
      </w:r>
      <w:r w:rsidRPr="009444F2">
        <w:rPr>
          <w:i/>
          <w:iCs/>
        </w:rPr>
        <w:t>asGapConfig</w:t>
      </w:r>
      <w:proofErr w:type="spellEnd"/>
      <w:r>
        <w:t xml:space="preserve"> IE is optional and because those messages are response messages. </w:t>
      </w:r>
    </w:p>
    <w:p w14:paraId="5148534E" w14:textId="334FC3EC" w:rsidR="009444F2" w:rsidRPr="009444F2" w:rsidRDefault="009444F2" w:rsidP="003C365A">
      <w:pPr>
        <w:rPr>
          <w:b/>
          <w:bCs/>
        </w:rPr>
      </w:pPr>
      <w:r w:rsidRPr="009444F2">
        <w:rPr>
          <w:b/>
          <w:bCs/>
        </w:rPr>
        <w:t xml:space="preserve">Companies are invited to provide their views on whether a description of the required inclusion of the </w:t>
      </w:r>
      <w:proofErr w:type="spellStart"/>
      <w:r w:rsidRPr="00AC4A29">
        <w:rPr>
          <w:b/>
          <w:bCs/>
          <w:i/>
          <w:iCs/>
        </w:rPr>
        <w:t>MeasGapConfig</w:t>
      </w:r>
      <w:proofErr w:type="spellEnd"/>
      <w:r w:rsidRPr="009444F2">
        <w:rPr>
          <w:b/>
          <w:bCs/>
        </w:rPr>
        <w:t xml:space="preserve"> IE is needed for the procedure text concerning the </w:t>
      </w:r>
      <w:r w:rsidRPr="009444F2">
        <w:rPr>
          <w:b/>
          <w:bCs/>
          <w:lang w:val="en-GB"/>
        </w:rPr>
        <w:t>CONTEXT SETUP RESPONSE and the UE CONTEXT MODIFICATION RE</w:t>
      </w:r>
      <w:r w:rsidRPr="009444F2">
        <w:rPr>
          <w:rFonts w:hint="eastAsia"/>
          <w:b/>
          <w:bCs/>
          <w:lang w:val="en-GB"/>
        </w:rPr>
        <w:t>SPONSE</w:t>
      </w:r>
    </w:p>
    <w:p w14:paraId="3DAD04B8" w14:textId="77777777" w:rsidR="009444F2" w:rsidRDefault="009444F2" w:rsidP="003C365A"/>
    <w:p w14:paraId="0E25003E" w14:textId="3FFE8B1F" w:rsidR="00AA2E9F" w:rsidRPr="0058408D" w:rsidRDefault="00AA2E9F" w:rsidP="003C365A">
      <w:pPr>
        <w:rPr>
          <w:b/>
          <w:bCs/>
        </w:rPr>
      </w:pPr>
    </w:p>
    <w:tbl>
      <w:tblPr>
        <w:tblStyle w:val="TableGrid"/>
        <w:tblW w:w="0" w:type="auto"/>
        <w:tblLook w:val="04A0" w:firstRow="1" w:lastRow="0" w:firstColumn="1" w:lastColumn="0" w:noHBand="0" w:noVBand="1"/>
      </w:tblPr>
      <w:tblGrid>
        <w:gridCol w:w="3068"/>
        <w:gridCol w:w="5999"/>
      </w:tblGrid>
      <w:tr w:rsidR="00AA2E9F" w14:paraId="73E32829" w14:textId="77777777" w:rsidTr="002177DD">
        <w:tc>
          <w:tcPr>
            <w:tcW w:w="3068" w:type="dxa"/>
          </w:tcPr>
          <w:p w14:paraId="6A778466" w14:textId="77777777" w:rsidR="00AA2E9F" w:rsidRPr="00C020F6" w:rsidRDefault="00AA2E9F" w:rsidP="002177DD">
            <w:pPr>
              <w:rPr>
                <w:b/>
                <w:bCs/>
              </w:rPr>
            </w:pPr>
            <w:r w:rsidRPr="00C020F6">
              <w:rPr>
                <w:b/>
                <w:bCs/>
              </w:rPr>
              <w:t>Company</w:t>
            </w:r>
          </w:p>
        </w:tc>
        <w:tc>
          <w:tcPr>
            <w:tcW w:w="5999" w:type="dxa"/>
          </w:tcPr>
          <w:p w14:paraId="061F2535" w14:textId="77777777" w:rsidR="00AA2E9F" w:rsidRPr="00C020F6" w:rsidRDefault="00AA2E9F" w:rsidP="002177DD">
            <w:pPr>
              <w:rPr>
                <w:b/>
                <w:bCs/>
              </w:rPr>
            </w:pPr>
            <w:r>
              <w:rPr>
                <w:b/>
                <w:bCs/>
              </w:rPr>
              <w:t>Comments</w:t>
            </w:r>
          </w:p>
        </w:tc>
      </w:tr>
      <w:tr w:rsidR="00AA2E9F" w14:paraId="15E91E03" w14:textId="77777777" w:rsidTr="002177DD">
        <w:tc>
          <w:tcPr>
            <w:tcW w:w="3068" w:type="dxa"/>
          </w:tcPr>
          <w:p w14:paraId="6C8898CA" w14:textId="77777777" w:rsidR="00AA2E9F" w:rsidRDefault="00AA2E9F" w:rsidP="002177DD">
            <w:r>
              <w:t>Ericsson</w:t>
            </w:r>
          </w:p>
        </w:tc>
        <w:tc>
          <w:tcPr>
            <w:tcW w:w="5999" w:type="dxa"/>
          </w:tcPr>
          <w:p w14:paraId="5B0CD235" w14:textId="76606DBC" w:rsidR="007A790B" w:rsidRDefault="009444F2" w:rsidP="002177DD">
            <w:r>
              <w:t xml:space="preserve">In order to be compliant to section 4.1 of TS38.473, we need to include a description of the required inclusion of the </w:t>
            </w:r>
            <w:proofErr w:type="spellStart"/>
            <w:r w:rsidRPr="009444F2">
              <w:rPr>
                <w:i/>
                <w:iCs/>
              </w:rPr>
              <w:t>MeasGapConfig</w:t>
            </w:r>
            <w:proofErr w:type="spellEnd"/>
            <w:r>
              <w:t xml:space="preserve"> IE</w:t>
            </w:r>
            <w:r w:rsidR="007A790B">
              <w:t xml:space="preserve"> </w:t>
            </w:r>
            <w:r>
              <w:t xml:space="preserve">in the procedure text. Not including it entitles a vendor to consider this IE absent, which would of course cause interoperability issues. </w:t>
            </w:r>
            <w:r w:rsidR="00AC4A29">
              <w:t xml:space="preserve">Besides, not including such description leaves up to interpretation when the IE should be included and what the receiver </w:t>
            </w:r>
            <w:proofErr w:type="spellStart"/>
            <w:r w:rsidR="00AC4A29">
              <w:t>behaviour</w:t>
            </w:r>
            <w:proofErr w:type="spellEnd"/>
            <w:r w:rsidR="00AC4A29">
              <w:t xml:space="preserve"> should be when it is received.</w:t>
            </w:r>
          </w:p>
        </w:tc>
      </w:tr>
      <w:tr w:rsidR="00AA2E9F" w14:paraId="6776AD32" w14:textId="77777777" w:rsidTr="002177DD">
        <w:tc>
          <w:tcPr>
            <w:tcW w:w="3068" w:type="dxa"/>
          </w:tcPr>
          <w:p w14:paraId="2B311C01" w14:textId="2EFFC231" w:rsidR="00AA2E9F" w:rsidRDefault="008D297B" w:rsidP="002177DD">
            <w:r>
              <w:t>Deutsche Telekom</w:t>
            </w:r>
          </w:p>
        </w:tc>
        <w:tc>
          <w:tcPr>
            <w:tcW w:w="5999" w:type="dxa"/>
          </w:tcPr>
          <w:p w14:paraId="160C0DB6" w14:textId="005B7933" w:rsidR="00AA2E9F" w:rsidRDefault="008D297B" w:rsidP="002177DD">
            <w:r>
              <w:t xml:space="preserve">We </w:t>
            </w:r>
            <w:r w:rsidR="00A92E52">
              <w:t>share</w:t>
            </w:r>
            <w:bookmarkStart w:id="3" w:name="_GoBack"/>
            <w:bookmarkEnd w:id="3"/>
            <w:r>
              <w:t xml:space="preserve"> the same view as Ericsson.</w:t>
            </w:r>
          </w:p>
        </w:tc>
      </w:tr>
      <w:tr w:rsidR="00AA2E9F" w14:paraId="7CD6E9F7" w14:textId="77777777" w:rsidTr="002177DD">
        <w:tc>
          <w:tcPr>
            <w:tcW w:w="3068" w:type="dxa"/>
          </w:tcPr>
          <w:p w14:paraId="4EDF4C34" w14:textId="77777777" w:rsidR="00AA2E9F" w:rsidRDefault="00AA2E9F" w:rsidP="002177DD"/>
        </w:tc>
        <w:tc>
          <w:tcPr>
            <w:tcW w:w="5999" w:type="dxa"/>
          </w:tcPr>
          <w:p w14:paraId="677B3616" w14:textId="77777777" w:rsidR="00AA2E9F" w:rsidRDefault="00AA2E9F" w:rsidP="002177DD"/>
        </w:tc>
      </w:tr>
    </w:tbl>
    <w:p w14:paraId="22AE2D75" w14:textId="1B698E3E" w:rsidR="00AA2E9F" w:rsidRDefault="00AA2E9F" w:rsidP="003C365A"/>
    <w:p w14:paraId="2D11DC07" w14:textId="77777777" w:rsidR="009444F2" w:rsidRDefault="009444F2" w:rsidP="003C365A"/>
    <w:p w14:paraId="48BA0D78" w14:textId="1BC9F03C" w:rsidR="009444F2" w:rsidRDefault="009444F2" w:rsidP="003C365A">
      <w:r>
        <w:t xml:space="preserve">It should be noted that, in RAN3, the description of the required inclusion of an IE is expressed in terms of receiver’s </w:t>
      </w:r>
      <w:proofErr w:type="spellStart"/>
      <w:r>
        <w:t>behaviour</w:t>
      </w:r>
      <w:proofErr w:type="spellEnd"/>
      <w:r>
        <w:t>.</w:t>
      </w:r>
    </w:p>
    <w:p w14:paraId="6692761C" w14:textId="06E2A404" w:rsidR="009444F2" w:rsidRDefault="009444F2" w:rsidP="003C365A">
      <w:r>
        <w:t xml:space="preserve">With this respect, the common understanding </w:t>
      </w:r>
      <w:proofErr w:type="spellStart"/>
      <w:r>
        <w:t>minuted</w:t>
      </w:r>
      <w:proofErr w:type="spellEnd"/>
      <w:r>
        <w:t xml:space="preserve"> at the last RAN3 meeting </w:t>
      </w:r>
      <w:r w:rsidR="0020624C">
        <w:t xml:space="preserve">provides the information necessary to describe the required inclusion of the </w:t>
      </w:r>
      <w:proofErr w:type="spellStart"/>
      <w:r w:rsidR="0020624C" w:rsidRPr="009444F2">
        <w:rPr>
          <w:i/>
          <w:iCs/>
        </w:rPr>
        <w:t>M</w:t>
      </w:r>
      <w:r w:rsidR="0020624C">
        <w:rPr>
          <w:i/>
          <w:iCs/>
        </w:rPr>
        <w:t>e</w:t>
      </w:r>
      <w:r w:rsidR="0020624C" w:rsidRPr="009444F2">
        <w:rPr>
          <w:i/>
          <w:iCs/>
        </w:rPr>
        <w:t>asGapConfig</w:t>
      </w:r>
      <w:proofErr w:type="spellEnd"/>
      <w:r w:rsidR="0020624C">
        <w:t xml:space="preserve"> IE. Namely:</w:t>
      </w:r>
    </w:p>
    <w:p w14:paraId="3FBAD6E4" w14:textId="77777777" w:rsidR="0020624C" w:rsidRDefault="0020624C" w:rsidP="003C365A"/>
    <w:p w14:paraId="44F7D76E" w14:textId="4D41C93D" w:rsidR="0020624C" w:rsidRPr="009B3A19" w:rsidRDefault="0020624C" w:rsidP="0020624C">
      <w:pPr>
        <w:widowControl w:val="0"/>
        <w:spacing w:after="0" w:line="259" w:lineRule="auto"/>
        <w:ind w:left="144" w:hanging="144"/>
        <w:rPr>
          <w:rFonts w:ascii="Calibri" w:eastAsia="Calibri" w:hAnsi="Calibri" w:cs="Calibri"/>
          <w:b/>
          <w:i/>
          <w:iCs/>
          <w:color w:val="FF0000"/>
          <w:sz w:val="20"/>
          <w:szCs w:val="28"/>
          <w:lang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-CU </w:t>
      </w:r>
      <w:r w:rsidRPr="009B3A19">
        <w:rPr>
          <w:rFonts w:ascii="Calibri" w:eastAsia="Calibri" w:hAnsi="Calibri" w:cs="Calibri"/>
          <w:b/>
          <w:i/>
          <w:iCs/>
          <w:color w:val="FF0000"/>
          <w:sz w:val="20"/>
          <w:szCs w:val="28"/>
          <w:highlight w:val="yellow"/>
          <w:lang w:val="en-GB" w:eastAsia="en-US"/>
        </w:rPr>
        <w:t>should trigger a UE RRC reconfiguration aimed at configuring the measurement gaps</w:t>
      </w:r>
      <w:r w:rsidR="00AC4A29">
        <w:rPr>
          <w:rFonts w:ascii="Calibri" w:eastAsia="Calibri" w:hAnsi="Calibri" w:cs="Calibri"/>
          <w:b/>
          <w:i/>
          <w:iCs/>
          <w:color w:val="FF0000"/>
          <w:sz w:val="20"/>
          <w:szCs w:val="28"/>
          <w:lang w:val="en-GB" w:eastAsia="en-US"/>
        </w:rPr>
        <w:t xml:space="preserve"> </w:t>
      </w:r>
      <w:r w:rsidR="00AC4A29" w:rsidRPr="0020624C">
        <w:rPr>
          <w:rFonts w:ascii="Calibri" w:eastAsia="Calibri" w:hAnsi="Calibri" w:cs="Calibri"/>
          <w:bCs/>
          <w:sz w:val="20"/>
          <w:szCs w:val="28"/>
          <w:lang w:val="en-GB" w:eastAsia="en-US"/>
        </w:rPr>
        <w:t>[</w:t>
      </w:r>
      <w:r w:rsidR="00AC4A29">
        <w:rPr>
          <w:rFonts w:ascii="Calibri" w:eastAsia="Calibri" w:hAnsi="Calibri" w:cs="Calibri"/>
          <w:bCs/>
          <w:sz w:val="20"/>
          <w:szCs w:val="28"/>
          <w:lang w:val="en-GB" w:eastAsia="en-US"/>
        </w:rPr>
        <w:t>the highlighted text is the</w:t>
      </w:r>
      <w:r w:rsidR="00AC4A29" w:rsidRPr="0020624C">
        <w:rPr>
          <w:rFonts w:ascii="Calibri" w:eastAsia="Calibri" w:hAnsi="Calibri" w:cs="Calibri"/>
          <w:bCs/>
          <w:sz w:val="20"/>
          <w:szCs w:val="28"/>
          <w:lang w:val="en-GB" w:eastAsia="en-US"/>
        </w:rPr>
        <w:t xml:space="preserve"> receiver’s behaviour </w:t>
      </w:r>
      <w:r w:rsidR="00AC4A29">
        <w:rPr>
          <w:rFonts w:ascii="Calibri" w:eastAsia="Calibri" w:hAnsi="Calibri" w:cs="Calibri"/>
          <w:bCs/>
          <w:sz w:val="20"/>
          <w:szCs w:val="28"/>
          <w:lang w:val="en-GB" w:eastAsia="en-US"/>
        </w:rPr>
        <w:t>at IE reception</w:t>
      </w:r>
      <w:r w:rsidR="00AC4A29" w:rsidRPr="0020624C">
        <w:rPr>
          <w:rFonts w:ascii="Calibri" w:eastAsia="Calibri" w:hAnsi="Calibri" w:cs="Calibri"/>
          <w:bCs/>
          <w:sz w:val="20"/>
          <w:szCs w:val="28"/>
          <w:lang w:val="en-GB" w:eastAsia="en-US"/>
        </w:rPr>
        <w:t>]</w:t>
      </w:r>
    </w:p>
    <w:p w14:paraId="73105DC4" w14:textId="3C4594DE" w:rsidR="0020624C" w:rsidRPr="009B3A19" w:rsidRDefault="0020624C" w:rsidP="0020624C">
      <w:pPr>
        <w:widowControl w:val="0"/>
        <w:spacing w:after="0" w:line="259" w:lineRule="auto"/>
        <w:ind w:left="144" w:hanging="144"/>
        <w:rPr>
          <w:rFonts w:ascii="Calibri" w:eastAsia="Calibri" w:hAnsi="Calibri" w:cs="Calibri"/>
          <w:b/>
          <w:i/>
          <w:iCs/>
          <w:color w:val="FF0000"/>
          <w:sz w:val="20"/>
          <w:szCs w:val="28"/>
          <w:lang w:val="en-GB" w:eastAsia="en-US"/>
        </w:rPr>
      </w:pPr>
      <w:r w:rsidRPr="009B3A19">
        <w:rPr>
          <w:rFonts w:ascii="Calibri" w:eastAsia="Calibri" w:hAnsi="Calibri" w:cs="Calibri"/>
          <w:b/>
          <w:i/>
          <w:iCs/>
          <w:color w:val="FF0000"/>
          <w:sz w:val="20"/>
          <w:szCs w:val="28"/>
          <w:lang w:val="en-GB" w:eastAsia="en-US"/>
        </w:rPr>
        <w:t xml:space="preserve">A new </w:t>
      </w:r>
      <w:proofErr w:type="spellStart"/>
      <w:r w:rsidRPr="009B3A19">
        <w:rPr>
          <w:rFonts w:ascii="Calibri" w:eastAsia="Calibri" w:hAnsi="Calibri" w:cs="Calibri"/>
          <w:b/>
          <w:i/>
          <w:iCs/>
          <w:color w:val="FF0000"/>
          <w:sz w:val="20"/>
          <w:szCs w:val="28"/>
          <w:lang w:val="en-GB" w:eastAsia="en-US"/>
        </w:rPr>
        <w:t>MeasGapConfig</w:t>
      </w:r>
      <w:proofErr w:type="spellEnd"/>
      <w:r w:rsidRPr="009B3A19">
        <w:rPr>
          <w:rFonts w:ascii="Calibri" w:eastAsia="Calibri" w:hAnsi="Calibri" w:cs="Calibri"/>
          <w:b/>
          <w:i/>
          <w:iCs/>
          <w:color w:val="FF0000"/>
          <w:sz w:val="20"/>
          <w:szCs w:val="28"/>
          <w:lang w:val="en-GB" w:eastAsia="en-US"/>
        </w:rPr>
        <w:t xml:space="preserve"> IE </w:t>
      </w:r>
      <w:proofErr w:type="spellStart"/>
      <w:r w:rsidRPr="009B3A19">
        <w:rPr>
          <w:rFonts w:ascii="Calibri" w:eastAsia="Calibri" w:hAnsi="Calibri" w:cs="Calibri"/>
          <w:b/>
          <w:i/>
          <w:iCs/>
          <w:color w:val="FF0000"/>
          <w:sz w:val="20"/>
          <w:szCs w:val="28"/>
          <w:lang w:val="en-GB" w:eastAsia="en-US"/>
        </w:rPr>
        <w:t>signaled</w:t>
      </w:r>
      <w:proofErr w:type="spellEnd"/>
      <w:r w:rsidRPr="009B3A19">
        <w:rPr>
          <w:rFonts w:ascii="Calibri" w:eastAsia="Calibri" w:hAnsi="Calibri" w:cs="Calibri"/>
          <w:b/>
          <w:i/>
          <w:iCs/>
          <w:color w:val="FF0000"/>
          <w:sz w:val="20"/>
          <w:szCs w:val="28"/>
          <w:lang w:val="en-GB" w:eastAsia="en-US"/>
        </w:rPr>
        <w:t xml:space="preserve"> from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-DU to a </w:t>
      </w:r>
      <w:proofErr w:type="spellStart"/>
      <w:r w:rsidRPr="009B3A19">
        <w:rPr>
          <w:rFonts w:ascii="Calibri" w:eastAsia="Calibri" w:hAnsi="Calibri" w:cs="Calibri"/>
          <w:b/>
          <w:i/>
          <w:iCs/>
          <w:color w:val="FF0000"/>
          <w:sz w:val="20"/>
          <w:szCs w:val="28"/>
          <w:lang w:val="en-GB" w:eastAsia="en-US"/>
        </w:rPr>
        <w:t>gNB</w:t>
      </w:r>
      <w:proofErr w:type="spellEnd"/>
      <w:r w:rsidRPr="009B3A19">
        <w:rPr>
          <w:rFonts w:ascii="Calibri" w:eastAsia="Calibri" w:hAnsi="Calibri" w:cs="Calibri"/>
          <w:b/>
          <w:i/>
          <w:iCs/>
          <w:color w:val="FF0000"/>
          <w:sz w:val="20"/>
          <w:szCs w:val="28"/>
          <w:lang w:val="en-GB" w:eastAsia="en-US"/>
        </w:rPr>
        <w:t xml:space="preserve">-CU </w:t>
      </w:r>
      <w:r w:rsidRPr="009B3A19">
        <w:rPr>
          <w:rFonts w:ascii="Calibri" w:eastAsia="Calibri" w:hAnsi="Calibri" w:cs="Calibri"/>
          <w:b/>
          <w:i/>
          <w:iCs/>
          <w:color w:val="FF0000"/>
          <w:sz w:val="20"/>
          <w:szCs w:val="28"/>
          <w:highlight w:val="yellow"/>
          <w:lang w:val="en-GB" w:eastAsia="en-US"/>
        </w:rPr>
        <w:t xml:space="preserve">should be </w:t>
      </w:r>
      <w:proofErr w:type="spellStart"/>
      <w:r w:rsidRPr="009B3A19">
        <w:rPr>
          <w:rFonts w:ascii="Calibri" w:eastAsia="Calibri" w:hAnsi="Calibri" w:cs="Calibri"/>
          <w:b/>
          <w:i/>
          <w:iCs/>
          <w:color w:val="FF0000"/>
          <w:sz w:val="20"/>
          <w:szCs w:val="28"/>
          <w:highlight w:val="yellow"/>
          <w:lang w:val="en-GB" w:eastAsia="en-US"/>
        </w:rPr>
        <w:t>signaled</w:t>
      </w:r>
      <w:proofErr w:type="spellEnd"/>
      <w:r w:rsidRPr="009B3A19">
        <w:rPr>
          <w:rFonts w:ascii="Calibri" w:eastAsia="Calibri" w:hAnsi="Calibri" w:cs="Calibri"/>
          <w:b/>
          <w:i/>
          <w:iCs/>
          <w:color w:val="FF0000"/>
          <w:sz w:val="20"/>
          <w:szCs w:val="28"/>
          <w:highlight w:val="yellow"/>
          <w:lang w:val="en-GB" w:eastAsia="en-US"/>
        </w:rPr>
        <w:t xml:space="preserve"> to the UE transparently</w:t>
      </w:r>
      <w:r w:rsidR="00AC4A29" w:rsidRPr="00AC4A29">
        <w:rPr>
          <w:rFonts w:ascii="Calibri" w:eastAsia="Calibri" w:hAnsi="Calibri" w:cs="Calibri"/>
          <w:bCs/>
          <w:sz w:val="20"/>
          <w:szCs w:val="28"/>
          <w:lang w:val="en-GB" w:eastAsia="en-US"/>
        </w:rPr>
        <w:t xml:space="preserve"> </w:t>
      </w:r>
      <w:r w:rsidR="00AC4A29">
        <w:rPr>
          <w:rFonts w:ascii="Calibri" w:eastAsia="Calibri" w:hAnsi="Calibri" w:cs="Calibri"/>
          <w:bCs/>
          <w:sz w:val="20"/>
          <w:szCs w:val="28"/>
          <w:lang w:val="en-GB" w:eastAsia="en-US"/>
        </w:rPr>
        <w:t>[the highlighted text is the</w:t>
      </w:r>
      <w:r w:rsidR="00AC4A29" w:rsidRPr="0020624C">
        <w:rPr>
          <w:rFonts w:ascii="Calibri" w:eastAsia="Calibri" w:hAnsi="Calibri" w:cs="Calibri"/>
          <w:bCs/>
          <w:sz w:val="20"/>
          <w:szCs w:val="28"/>
          <w:lang w:val="en-GB" w:eastAsia="en-US"/>
        </w:rPr>
        <w:t xml:space="preserve"> receiver’s behaviour </w:t>
      </w:r>
      <w:r w:rsidR="00AC4A29">
        <w:rPr>
          <w:rFonts w:ascii="Calibri" w:eastAsia="Calibri" w:hAnsi="Calibri" w:cs="Calibri"/>
          <w:bCs/>
          <w:sz w:val="20"/>
          <w:szCs w:val="28"/>
          <w:lang w:val="en-GB" w:eastAsia="en-US"/>
        </w:rPr>
        <w:t>at IE reception</w:t>
      </w:r>
      <w:r w:rsidR="00AC4A29" w:rsidRPr="0020624C">
        <w:rPr>
          <w:rFonts w:ascii="Calibri" w:eastAsia="Calibri" w:hAnsi="Calibri" w:cs="Calibri"/>
          <w:bCs/>
          <w:sz w:val="20"/>
          <w:szCs w:val="28"/>
          <w:lang w:val="en-GB" w:eastAsia="en-US"/>
        </w:rPr>
        <w:t>]</w:t>
      </w:r>
    </w:p>
    <w:p w14:paraId="32D27C08" w14:textId="1122179C" w:rsidR="009444F2" w:rsidRDefault="009444F2" w:rsidP="003C365A">
      <w:pPr>
        <w:rPr>
          <w:lang w:val="en-GB"/>
        </w:rPr>
      </w:pPr>
    </w:p>
    <w:p w14:paraId="63F07990" w14:textId="6E70C7F5" w:rsidR="0020624C" w:rsidRDefault="0020624C" w:rsidP="003C365A">
      <w:pPr>
        <w:rPr>
          <w:lang w:val="en-GB"/>
        </w:rPr>
      </w:pPr>
      <w:r>
        <w:rPr>
          <w:lang w:val="en-GB"/>
        </w:rPr>
        <w:t>If we try to translate the above in procedure text, a good approximation could be provided by the following text (which takes the UE Context Setup procedure as an example:</w:t>
      </w:r>
    </w:p>
    <w:p w14:paraId="0059C5B7" w14:textId="77777777" w:rsidR="0020624C" w:rsidRPr="0020624C" w:rsidRDefault="0020624C" w:rsidP="0020624C">
      <w:pPr>
        <w:rPr>
          <w:color w:val="4F81BD" w:themeColor="accent1"/>
          <w:lang w:val="en-GB"/>
        </w:rPr>
      </w:pPr>
      <w:bookmarkStart w:id="4" w:name="_Hlk61433557"/>
      <w:r w:rsidRPr="0020624C">
        <w:rPr>
          <w:color w:val="4F81BD" w:themeColor="accent1"/>
          <w:lang w:val="en-GB"/>
        </w:rPr>
        <w:lastRenderedPageBreak/>
        <w:t xml:space="preserve">If the </w:t>
      </w:r>
      <w:proofErr w:type="spellStart"/>
      <w:r w:rsidRPr="0020624C">
        <w:rPr>
          <w:i/>
          <w:iCs/>
          <w:color w:val="4F81BD" w:themeColor="accent1"/>
          <w:lang w:val="en-GB"/>
        </w:rPr>
        <w:t>MeasGapConfig</w:t>
      </w:r>
      <w:proofErr w:type="spellEnd"/>
      <w:r w:rsidRPr="0020624C">
        <w:rPr>
          <w:color w:val="4F81BD" w:themeColor="accent1"/>
          <w:lang w:val="en-GB"/>
        </w:rPr>
        <w:t xml:space="preserve"> IE is included in the </w:t>
      </w:r>
      <w:r w:rsidRPr="0020624C">
        <w:rPr>
          <w:i/>
          <w:color w:val="4F81BD" w:themeColor="accent1"/>
          <w:lang w:val="en-GB"/>
        </w:rPr>
        <w:t>DU to CU RRC Information</w:t>
      </w:r>
      <w:r w:rsidRPr="0020624C">
        <w:rPr>
          <w:color w:val="4F81BD" w:themeColor="accent1"/>
          <w:lang w:val="en-GB"/>
        </w:rPr>
        <w:t xml:space="preserve"> IE contained in the UE CONTEXT SETUP RESPONSE message, the </w:t>
      </w:r>
      <w:proofErr w:type="spellStart"/>
      <w:r w:rsidRPr="0020624C">
        <w:rPr>
          <w:color w:val="4F81BD" w:themeColor="accent1"/>
          <w:lang w:val="en-GB"/>
        </w:rPr>
        <w:t>gNB</w:t>
      </w:r>
      <w:proofErr w:type="spellEnd"/>
      <w:r w:rsidRPr="0020624C">
        <w:rPr>
          <w:color w:val="4F81BD" w:themeColor="accent1"/>
          <w:lang w:val="en-GB"/>
        </w:rPr>
        <w:t xml:space="preserve">-CU shall assume that the </w:t>
      </w:r>
      <w:proofErr w:type="spellStart"/>
      <w:r w:rsidRPr="0020624C">
        <w:rPr>
          <w:color w:val="4F81BD" w:themeColor="accent1"/>
          <w:lang w:val="en-GB"/>
        </w:rPr>
        <w:t>gNB</w:t>
      </w:r>
      <w:proofErr w:type="spellEnd"/>
      <w:r w:rsidRPr="0020624C">
        <w:rPr>
          <w:color w:val="4F81BD" w:themeColor="accent1"/>
          <w:lang w:val="en-GB"/>
        </w:rPr>
        <w:t xml:space="preserve">-DU assigned a new measurement gap and the </w:t>
      </w:r>
      <w:proofErr w:type="spellStart"/>
      <w:r w:rsidRPr="0020624C">
        <w:rPr>
          <w:color w:val="4F81BD" w:themeColor="accent1"/>
          <w:lang w:val="en-GB"/>
        </w:rPr>
        <w:t>gNB</w:t>
      </w:r>
      <w:proofErr w:type="spellEnd"/>
      <w:r w:rsidRPr="0020624C">
        <w:rPr>
          <w:color w:val="4F81BD" w:themeColor="accent1"/>
          <w:lang w:val="en-GB"/>
        </w:rPr>
        <w:t xml:space="preserve">-CU shall perform RRC Reconfiguration or RRC connection resume, as specified in TS 38.331 [8], in order to transparently signal the </w:t>
      </w:r>
      <w:proofErr w:type="spellStart"/>
      <w:r w:rsidRPr="0020624C">
        <w:rPr>
          <w:i/>
          <w:iCs/>
          <w:color w:val="4F81BD" w:themeColor="accent1"/>
          <w:lang w:val="en-GB"/>
        </w:rPr>
        <w:t>MeasGapConfig</w:t>
      </w:r>
      <w:proofErr w:type="spellEnd"/>
      <w:r w:rsidRPr="0020624C">
        <w:rPr>
          <w:color w:val="4F81BD" w:themeColor="accent1"/>
          <w:lang w:val="en-GB"/>
        </w:rPr>
        <w:t xml:space="preserve"> IE to the UE.</w:t>
      </w:r>
    </w:p>
    <w:bookmarkEnd w:id="4"/>
    <w:p w14:paraId="33DCB01F" w14:textId="515B624F" w:rsidR="0020624C" w:rsidRDefault="0020624C" w:rsidP="003C365A">
      <w:pPr>
        <w:rPr>
          <w:lang w:val="en-GB"/>
        </w:rPr>
      </w:pPr>
    </w:p>
    <w:p w14:paraId="39D75E35" w14:textId="5ED396AF" w:rsidR="0020624C" w:rsidRPr="0020624C" w:rsidRDefault="0020624C" w:rsidP="003C365A">
      <w:pPr>
        <w:rPr>
          <w:b/>
          <w:bCs/>
          <w:lang w:val="en-GB"/>
        </w:rPr>
      </w:pPr>
      <w:r w:rsidRPr="0020624C">
        <w:rPr>
          <w:b/>
          <w:bCs/>
          <w:lang w:val="en-GB"/>
        </w:rPr>
        <w:t>Companies are invited to express their view on whether the text above should be added to the procedure text for the CONTEXT SETUP RESPONSE and the UE CONTEXT MODIFICATION RE</w:t>
      </w:r>
      <w:r w:rsidRPr="0020624C">
        <w:rPr>
          <w:rFonts w:hint="eastAsia"/>
          <w:b/>
          <w:bCs/>
          <w:lang w:val="en-GB"/>
        </w:rPr>
        <w:t>SPONSE</w:t>
      </w:r>
      <w:r w:rsidRPr="0020624C">
        <w:rPr>
          <w:b/>
          <w:bCs/>
          <w:lang w:val="en-GB"/>
        </w:rPr>
        <w:t xml:space="preserve"> messages</w:t>
      </w:r>
    </w:p>
    <w:tbl>
      <w:tblPr>
        <w:tblStyle w:val="TableGrid"/>
        <w:tblW w:w="0" w:type="auto"/>
        <w:tblLook w:val="04A0" w:firstRow="1" w:lastRow="0" w:firstColumn="1" w:lastColumn="0" w:noHBand="0" w:noVBand="1"/>
      </w:tblPr>
      <w:tblGrid>
        <w:gridCol w:w="3068"/>
        <w:gridCol w:w="5999"/>
      </w:tblGrid>
      <w:tr w:rsidR="0020624C" w14:paraId="2E3E472B" w14:textId="77777777" w:rsidTr="00573DE8">
        <w:tc>
          <w:tcPr>
            <w:tcW w:w="3068" w:type="dxa"/>
          </w:tcPr>
          <w:p w14:paraId="0DA9226B" w14:textId="77777777" w:rsidR="0020624C" w:rsidRPr="00C020F6" w:rsidRDefault="0020624C" w:rsidP="00573DE8">
            <w:pPr>
              <w:rPr>
                <w:b/>
                <w:bCs/>
              </w:rPr>
            </w:pPr>
            <w:r w:rsidRPr="00C020F6">
              <w:rPr>
                <w:b/>
                <w:bCs/>
              </w:rPr>
              <w:t>Company</w:t>
            </w:r>
          </w:p>
        </w:tc>
        <w:tc>
          <w:tcPr>
            <w:tcW w:w="5999" w:type="dxa"/>
          </w:tcPr>
          <w:p w14:paraId="2C9A15AD" w14:textId="77777777" w:rsidR="0020624C" w:rsidRPr="00C020F6" w:rsidRDefault="0020624C" w:rsidP="00573DE8">
            <w:pPr>
              <w:rPr>
                <w:b/>
                <w:bCs/>
              </w:rPr>
            </w:pPr>
            <w:r>
              <w:rPr>
                <w:b/>
                <w:bCs/>
              </w:rPr>
              <w:t>Comments</w:t>
            </w:r>
          </w:p>
        </w:tc>
      </w:tr>
      <w:tr w:rsidR="0020624C" w14:paraId="1D16CA0A" w14:textId="77777777" w:rsidTr="00573DE8">
        <w:tc>
          <w:tcPr>
            <w:tcW w:w="3068" w:type="dxa"/>
          </w:tcPr>
          <w:p w14:paraId="263D14BD" w14:textId="77777777" w:rsidR="0020624C" w:rsidRDefault="0020624C" w:rsidP="00573DE8">
            <w:r>
              <w:t>Ericsson</w:t>
            </w:r>
          </w:p>
        </w:tc>
        <w:tc>
          <w:tcPr>
            <w:tcW w:w="5999" w:type="dxa"/>
          </w:tcPr>
          <w:p w14:paraId="10516184" w14:textId="095C891D" w:rsidR="0020624C" w:rsidRDefault="0020624C" w:rsidP="00573DE8">
            <w:r>
              <w:t xml:space="preserve">We agree to add the text </w:t>
            </w:r>
          </w:p>
        </w:tc>
      </w:tr>
      <w:tr w:rsidR="0020624C" w14:paraId="596C6566" w14:textId="77777777" w:rsidTr="00573DE8">
        <w:tc>
          <w:tcPr>
            <w:tcW w:w="3068" w:type="dxa"/>
          </w:tcPr>
          <w:p w14:paraId="0E51A73F" w14:textId="75769EB0" w:rsidR="0020624C" w:rsidRDefault="001A236E" w:rsidP="00573DE8">
            <w:r>
              <w:t>Deutsche Telekom</w:t>
            </w:r>
          </w:p>
        </w:tc>
        <w:tc>
          <w:tcPr>
            <w:tcW w:w="5999" w:type="dxa"/>
          </w:tcPr>
          <w:p w14:paraId="6D89C58B" w14:textId="34F15C6A" w:rsidR="0020624C" w:rsidRDefault="001A236E" w:rsidP="00573DE8">
            <w:r>
              <w:t>We support the proposed text addition.</w:t>
            </w:r>
          </w:p>
        </w:tc>
      </w:tr>
      <w:tr w:rsidR="0020624C" w14:paraId="5C5D392D" w14:textId="77777777" w:rsidTr="00573DE8">
        <w:tc>
          <w:tcPr>
            <w:tcW w:w="3068" w:type="dxa"/>
          </w:tcPr>
          <w:p w14:paraId="2E7AD64B" w14:textId="77777777" w:rsidR="0020624C" w:rsidRDefault="0020624C" w:rsidP="00573DE8"/>
        </w:tc>
        <w:tc>
          <w:tcPr>
            <w:tcW w:w="5999" w:type="dxa"/>
          </w:tcPr>
          <w:p w14:paraId="397BC5BA" w14:textId="77777777" w:rsidR="0020624C" w:rsidRDefault="0020624C" w:rsidP="00573DE8"/>
        </w:tc>
      </w:tr>
    </w:tbl>
    <w:p w14:paraId="089C5DA0" w14:textId="0CEA19BE" w:rsidR="0020624C" w:rsidRDefault="0020624C" w:rsidP="003C365A"/>
    <w:p w14:paraId="4771F629" w14:textId="56A2EAF7" w:rsidR="005B757A" w:rsidRDefault="005B757A" w:rsidP="005B757A">
      <w:pPr>
        <w:pStyle w:val="Heading2"/>
      </w:pPr>
      <w:r>
        <w:t xml:space="preserve">Defining a </w:t>
      </w:r>
      <w:r w:rsidR="00AC4A29">
        <w:t xml:space="preserve">general </w:t>
      </w:r>
      <w:r>
        <w:t xml:space="preserve">RAN3 position with respect to </w:t>
      </w:r>
      <w:r w:rsidR="00AC4A29">
        <w:t xml:space="preserve">the description of </w:t>
      </w:r>
      <w:r>
        <w:t>required inclusion of optional IEs</w:t>
      </w:r>
    </w:p>
    <w:p w14:paraId="67506FA1" w14:textId="2C0EEDE6" w:rsidR="005B757A" w:rsidRDefault="005B757A" w:rsidP="005B757A">
      <w:r>
        <w:t>Section 4.1 of TS38.473, which was quoted in section 3.1, is present in every stage 3 application protocol specification under the responsibility of RAN3.</w:t>
      </w:r>
    </w:p>
    <w:p w14:paraId="53C96393" w14:textId="0BAE3FCC" w:rsidR="005B757A" w:rsidRDefault="005B757A" w:rsidP="005B757A">
      <w:r>
        <w:t xml:space="preserve">The reason why this section is omni-present, is that it is essential </w:t>
      </w:r>
      <w:r w:rsidR="00AC4A29">
        <w:t xml:space="preserve">for RAN3’s specifications </w:t>
      </w:r>
      <w:r>
        <w:t>to describe the conditions upon which inclusion of an optional IE is required. Failure to do so defeats the purpose of stage 3 specifications, leaving the specs up to different interpretations and therefore exposing to the risk of inter vendor interoperability problems.</w:t>
      </w:r>
    </w:p>
    <w:p w14:paraId="71831FB8" w14:textId="4A5A891E" w:rsidR="005B757A" w:rsidRPr="005B757A" w:rsidRDefault="005B757A" w:rsidP="005B757A">
      <w:pPr>
        <w:rPr>
          <w:b/>
          <w:bCs/>
        </w:rPr>
      </w:pPr>
      <w:r w:rsidRPr="005B757A">
        <w:rPr>
          <w:b/>
          <w:bCs/>
        </w:rPr>
        <w:t>Observation</w:t>
      </w:r>
      <w:r w:rsidR="003F28AD">
        <w:rPr>
          <w:b/>
          <w:bCs/>
        </w:rPr>
        <w:t xml:space="preserve"> </w:t>
      </w:r>
      <w:r w:rsidRPr="005B757A">
        <w:rPr>
          <w:b/>
          <w:bCs/>
        </w:rPr>
        <w:t>1: Failure to describe the conditions upon which inclusion of an optional IE is required</w:t>
      </w:r>
      <w:r w:rsidR="003F28AD">
        <w:rPr>
          <w:b/>
          <w:bCs/>
        </w:rPr>
        <w:t>,</w:t>
      </w:r>
      <w:r w:rsidRPr="005B757A">
        <w:rPr>
          <w:b/>
          <w:bCs/>
        </w:rPr>
        <w:t xml:space="preserve"> exposes the specifications to multiple interpretations and </w:t>
      </w:r>
      <w:proofErr w:type="gramStart"/>
      <w:r w:rsidRPr="005B757A">
        <w:rPr>
          <w:b/>
          <w:bCs/>
        </w:rPr>
        <w:t>opens up</w:t>
      </w:r>
      <w:proofErr w:type="gramEnd"/>
      <w:r w:rsidRPr="005B757A">
        <w:rPr>
          <w:b/>
          <w:bCs/>
        </w:rPr>
        <w:t xml:space="preserve"> to the risk of multi</w:t>
      </w:r>
      <w:r>
        <w:rPr>
          <w:b/>
          <w:bCs/>
        </w:rPr>
        <w:t>-</w:t>
      </w:r>
      <w:r w:rsidRPr="005B757A">
        <w:rPr>
          <w:b/>
          <w:bCs/>
        </w:rPr>
        <w:t>vendor interoperability issues</w:t>
      </w:r>
    </w:p>
    <w:p w14:paraId="0BEA488C" w14:textId="66B9D304" w:rsidR="005B757A" w:rsidRDefault="003F28AD" w:rsidP="003C365A">
      <w:r>
        <w:t>It is plausible that procedure descriptions for some optional IEs may be missing, e.g. due to tight deadlines (such as the closure of a release). However, the aim of RAN3 should be to complete the specifications with such descriptions as soon as possible. 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14:paraId="70862D4A" w14:textId="77777777" w:rsidR="003F28AD" w:rsidRPr="003F28AD" w:rsidRDefault="003F28AD" w:rsidP="003F28AD">
      <w:pPr>
        <w:rPr>
          <w:b/>
          <w:bCs/>
        </w:rPr>
      </w:pPr>
      <w:r w:rsidRPr="003F28AD">
        <w:rPr>
          <w:b/>
          <w:bCs/>
        </w:rPr>
        <w:t>Observation 2: The reasoning according to which “there are so many optional IEs that we cannot specify the inclusion conditions for all of them” is not a valid argument. If there is the opportunity of clarifying the inclusion conditions of an optional IE, RAN3 shall take up the task and fulfill it.</w:t>
      </w:r>
    </w:p>
    <w:p w14:paraId="01E1253C" w14:textId="66845901" w:rsidR="003F28AD" w:rsidRDefault="003F28AD" w:rsidP="003C365A"/>
    <w:p w14:paraId="7F785C18" w14:textId="217417DA" w:rsidR="005B757A" w:rsidRDefault="003F28AD" w:rsidP="003C365A">
      <w:pPr>
        <w:rPr>
          <w:b/>
          <w:bCs/>
        </w:rPr>
      </w:pPr>
      <w:r>
        <w:t>With the above said,</w:t>
      </w:r>
      <w:r w:rsidRPr="003F28AD">
        <w:rPr>
          <w:b/>
          <w:bCs/>
        </w:rPr>
        <w:t xml:space="preserve"> companies are invited to provide their views on whether RAN3 should commit to describe the inclusion condition of optional IEs in the procedure text, whenever there is an opportunity to do so.</w:t>
      </w:r>
    </w:p>
    <w:p w14:paraId="7DC3CA4D" w14:textId="77777777" w:rsidR="003F28AD" w:rsidRDefault="003F28AD" w:rsidP="003C365A">
      <w:pPr>
        <w:rPr>
          <w:b/>
          <w:bCs/>
        </w:rPr>
      </w:pPr>
    </w:p>
    <w:tbl>
      <w:tblPr>
        <w:tblStyle w:val="TableGrid"/>
        <w:tblW w:w="0" w:type="auto"/>
        <w:tblLook w:val="04A0" w:firstRow="1" w:lastRow="0" w:firstColumn="1" w:lastColumn="0" w:noHBand="0" w:noVBand="1"/>
      </w:tblPr>
      <w:tblGrid>
        <w:gridCol w:w="3068"/>
        <w:gridCol w:w="5999"/>
      </w:tblGrid>
      <w:tr w:rsidR="003F28AD" w14:paraId="4757CC48" w14:textId="77777777" w:rsidTr="00573DE8">
        <w:tc>
          <w:tcPr>
            <w:tcW w:w="3068" w:type="dxa"/>
          </w:tcPr>
          <w:p w14:paraId="77706B24" w14:textId="77777777" w:rsidR="003F28AD" w:rsidRPr="00C020F6" w:rsidRDefault="003F28AD" w:rsidP="00573DE8">
            <w:pPr>
              <w:rPr>
                <w:b/>
                <w:bCs/>
              </w:rPr>
            </w:pPr>
            <w:r w:rsidRPr="00C020F6">
              <w:rPr>
                <w:b/>
                <w:bCs/>
              </w:rPr>
              <w:t>Company</w:t>
            </w:r>
          </w:p>
        </w:tc>
        <w:tc>
          <w:tcPr>
            <w:tcW w:w="5999" w:type="dxa"/>
          </w:tcPr>
          <w:p w14:paraId="2ECB4661" w14:textId="77777777" w:rsidR="003F28AD" w:rsidRPr="00C020F6" w:rsidRDefault="003F28AD" w:rsidP="00573DE8">
            <w:pPr>
              <w:rPr>
                <w:b/>
                <w:bCs/>
              </w:rPr>
            </w:pPr>
            <w:r>
              <w:rPr>
                <w:b/>
                <w:bCs/>
              </w:rPr>
              <w:t>Comments</w:t>
            </w:r>
          </w:p>
        </w:tc>
      </w:tr>
      <w:tr w:rsidR="003F28AD" w14:paraId="46A3E403" w14:textId="77777777" w:rsidTr="00573DE8">
        <w:tc>
          <w:tcPr>
            <w:tcW w:w="3068" w:type="dxa"/>
          </w:tcPr>
          <w:p w14:paraId="0E44C638" w14:textId="77777777" w:rsidR="003F28AD" w:rsidRDefault="003F28AD" w:rsidP="00573DE8">
            <w:r>
              <w:t>Ericsson</w:t>
            </w:r>
          </w:p>
        </w:tc>
        <w:tc>
          <w:tcPr>
            <w:tcW w:w="5999" w:type="dxa"/>
          </w:tcPr>
          <w:p w14:paraId="7F750092" w14:textId="719CE718" w:rsidR="003F28AD" w:rsidRDefault="003F28AD" w:rsidP="00573DE8">
            <w:r>
              <w:t>We totally agree with the principle above. If we want the 3GPP standard to be considered as a state of the art, valid and complete standard, we should seriously take the task of describing the inclusion conditions of optional IEs</w:t>
            </w:r>
            <w:r w:rsidR="00AC4A29">
              <w:t xml:space="preserve"> in our specifications</w:t>
            </w:r>
            <w:r>
              <w:t>. If we do not fulfill this task</w:t>
            </w:r>
            <w:r w:rsidR="00AC4A29">
              <w:t>,</w:t>
            </w:r>
            <w:r>
              <w:t xml:space="preserve"> we produce an incomplete standard that </w:t>
            </w:r>
            <w:r>
              <w:lastRenderedPageBreak/>
              <w:t xml:space="preserve">can be interpreted in multiple ways and that exposes to the risk of interoperability issues. </w:t>
            </w:r>
          </w:p>
        </w:tc>
      </w:tr>
      <w:tr w:rsidR="003F28AD" w14:paraId="477AA950" w14:textId="77777777" w:rsidTr="00573DE8">
        <w:tc>
          <w:tcPr>
            <w:tcW w:w="3068" w:type="dxa"/>
          </w:tcPr>
          <w:p w14:paraId="186F346A" w14:textId="72084690" w:rsidR="003F28AD" w:rsidRDefault="001A236E" w:rsidP="00573DE8">
            <w:r>
              <w:lastRenderedPageBreak/>
              <w:t>Deutsche Telekom</w:t>
            </w:r>
          </w:p>
        </w:tc>
        <w:tc>
          <w:tcPr>
            <w:tcW w:w="5999" w:type="dxa"/>
          </w:tcPr>
          <w:p w14:paraId="7D3A7A81" w14:textId="52CEC4E5" w:rsidR="003F28AD" w:rsidRDefault="001A236E" w:rsidP="00573DE8">
            <w:r>
              <w:t>The listed principle is a basic design criterium for implementation of multi-vendor networks allowing proper interoperability between equipment from different vendors</w:t>
            </w:r>
            <w:r w:rsidR="00A92E52">
              <w:t xml:space="preserve"> which is more and more important </w:t>
            </w:r>
            <w:r w:rsidR="00A92E52">
              <w:t>from an operator’s perspective</w:t>
            </w:r>
            <w:r w:rsidR="00A92E52">
              <w:t xml:space="preserve">. Therefore, we see the </w:t>
            </w:r>
            <w:r>
              <w:t xml:space="preserve">need </w:t>
            </w:r>
            <w:r w:rsidR="00A92E52">
              <w:t xml:space="preserve">that RAN3 is </w:t>
            </w:r>
            <w:r>
              <w:t>follow</w:t>
            </w:r>
            <w:r w:rsidR="00A92E52">
              <w:t>ing</w:t>
            </w:r>
            <w:r>
              <w:t xml:space="preserve"> that principle in the specification work. </w:t>
            </w:r>
          </w:p>
        </w:tc>
      </w:tr>
      <w:tr w:rsidR="003F28AD" w14:paraId="5E5296E8" w14:textId="77777777" w:rsidTr="00573DE8">
        <w:tc>
          <w:tcPr>
            <w:tcW w:w="3068" w:type="dxa"/>
          </w:tcPr>
          <w:p w14:paraId="47BE450B" w14:textId="77777777" w:rsidR="003F28AD" w:rsidRDefault="003F28AD" w:rsidP="00573DE8"/>
        </w:tc>
        <w:tc>
          <w:tcPr>
            <w:tcW w:w="5999" w:type="dxa"/>
          </w:tcPr>
          <w:p w14:paraId="696B8ECF" w14:textId="77777777" w:rsidR="003F28AD" w:rsidRDefault="003F28AD" w:rsidP="00573DE8"/>
        </w:tc>
      </w:tr>
    </w:tbl>
    <w:p w14:paraId="30BA558A" w14:textId="77777777" w:rsidR="003F28AD" w:rsidRPr="0020624C" w:rsidRDefault="003F28AD" w:rsidP="003C365A"/>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7C5398A7" w14:textId="5327459F" w:rsidR="00A0431B" w:rsidRDefault="00FB1571" w:rsidP="00FB1571">
      <w:r>
        <w:t>[1] R3-21</w:t>
      </w:r>
      <w:r w:rsidR="00A0431B">
        <w:t>0624</w:t>
      </w:r>
      <w:r>
        <w:t xml:space="preserve">, </w:t>
      </w:r>
      <w:r w:rsidR="00A0431B" w:rsidRPr="00A0431B">
        <w:t xml:space="preserve">Cause value on X2, Xn for normal release (Ericsson, Verizon Wireless, Deutsche Telekom, </w:t>
      </w:r>
      <w:proofErr w:type="gramStart"/>
      <w:r w:rsidR="00A0431B" w:rsidRPr="00A0431B">
        <w:t>CMCC,  BT</w:t>
      </w:r>
      <w:proofErr w:type="gramEnd"/>
      <w:r w:rsidR="00A0431B" w:rsidRPr="00A0431B">
        <w:t xml:space="preserve">, AT&amp;T, China Unicom, Telecom Italia, Vodafone) </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B3D1" w14:textId="77777777" w:rsidR="000F0752" w:rsidRDefault="000F0752" w:rsidP="002C1F86">
      <w:pPr>
        <w:spacing w:after="0"/>
      </w:pPr>
      <w:r>
        <w:separator/>
      </w:r>
    </w:p>
  </w:endnote>
  <w:endnote w:type="continuationSeparator" w:id="0">
    <w:p w14:paraId="4EA091C4" w14:textId="77777777" w:rsidR="000F0752" w:rsidRDefault="000F0752"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F513" w14:textId="77777777" w:rsidR="000F0752" w:rsidRDefault="000F0752" w:rsidP="002C1F86">
      <w:pPr>
        <w:spacing w:after="0"/>
      </w:pPr>
      <w:r>
        <w:separator/>
      </w:r>
    </w:p>
  </w:footnote>
  <w:footnote w:type="continuationSeparator" w:id="0">
    <w:p w14:paraId="2D626BC0" w14:textId="77777777" w:rsidR="000F0752" w:rsidRDefault="000F0752"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1CF"/>
    <w:multiLevelType w:val="hybridMultilevel"/>
    <w:tmpl w:val="6D00F92A"/>
    <w:lvl w:ilvl="0" w:tplc="2764B0E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F0F4044"/>
    <w:multiLevelType w:val="hybridMultilevel"/>
    <w:tmpl w:val="69A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94A65"/>
    <w:multiLevelType w:val="hybridMultilevel"/>
    <w:tmpl w:val="A1D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
  </w:num>
  <w:num w:numId="3">
    <w:abstractNumId w:val="5"/>
  </w:num>
  <w:num w:numId="4">
    <w:abstractNumId w:val="16"/>
  </w:num>
  <w:num w:numId="5">
    <w:abstractNumId w:val="9"/>
  </w:num>
  <w:num w:numId="6">
    <w:abstractNumId w:val="12"/>
  </w:num>
  <w:num w:numId="7">
    <w:abstractNumId w:val="13"/>
  </w:num>
  <w:num w:numId="8">
    <w:abstractNumId w:val="10"/>
  </w:num>
  <w:num w:numId="9">
    <w:abstractNumId w:val="18"/>
  </w:num>
  <w:num w:numId="10">
    <w:abstractNumId w:val="8"/>
  </w:num>
  <w:num w:numId="11">
    <w:abstractNumId w:val="19"/>
  </w:num>
  <w:num w:numId="12">
    <w:abstractNumId w:val="0"/>
  </w:num>
  <w:num w:numId="13">
    <w:abstractNumId w:val="4"/>
  </w:num>
  <w:num w:numId="14">
    <w:abstractNumId w:val="11"/>
  </w:num>
  <w:num w:numId="15">
    <w:abstractNumId w:val="15"/>
  </w:num>
  <w:num w:numId="16">
    <w:abstractNumId w:val="2"/>
  </w:num>
  <w:num w:numId="17">
    <w:abstractNumId w:val="14"/>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0752"/>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36E"/>
    <w:rsid w:val="001A2D65"/>
    <w:rsid w:val="001A55FE"/>
    <w:rsid w:val="001B1A86"/>
    <w:rsid w:val="001B2810"/>
    <w:rsid w:val="001B6D6D"/>
    <w:rsid w:val="001B779B"/>
    <w:rsid w:val="001D7468"/>
    <w:rsid w:val="001E5A74"/>
    <w:rsid w:val="001F1EA8"/>
    <w:rsid w:val="001F39CD"/>
    <w:rsid w:val="001F6C06"/>
    <w:rsid w:val="0020624C"/>
    <w:rsid w:val="00210DE0"/>
    <w:rsid w:val="0021521F"/>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28AD"/>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B757A"/>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297B"/>
    <w:rsid w:val="008D3FB0"/>
    <w:rsid w:val="008D4CF4"/>
    <w:rsid w:val="008D5EE7"/>
    <w:rsid w:val="008D60D0"/>
    <w:rsid w:val="008E7DD2"/>
    <w:rsid w:val="008F1045"/>
    <w:rsid w:val="008F2D63"/>
    <w:rsid w:val="00900637"/>
    <w:rsid w:val="00900A6D"/>
    <w:rsid w:val="009027D8"/>
    <w:rsid w:val="00916EEB"/>
    <w:rsid w:val="0092537E"/>
    <w:rsid w:val="00930EE4"/>
    <w:rsid w:val="00933FC9"/>
    <w:rsid w:val="0093495A"/>
    <w:rsid w:val="009410D7"/>
    <w:rsid w:val="00942214"/>
    <w:rsid w:val="009444F2"/>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B3A1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2E52"/>
    <w:rsid w:val="00A9399E"/>
    <w:rsid w:val="00A967CC"/>
    <w:rsid w:val="00AA181F"/>
    <w:rsid w:val="00AA2E9F"/>
    <w:rsid w:val="00AB05D5"/>
    <w:rsid w:val="00AB40A7"/>
    <w:rsid w:val="00AC3223"/>
    <w:rsid w:val="00AC4A29"/>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1FE"/>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32CE9"/>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Zimmermann.Gerd\Documents\Int_Gremien\3GPP\RAN3\2021\RAN3%23111-E\Inbox\Drafts\CB%20%23%2094_MeasGapConfig_signaling\Inbox\R3-21109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5ECE4DE2-C3B8-4148-B616-A521276A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Zimmermann, Gerd</cp:lastModifiedBy>
  <cp:revision>4</cp:revision>
  <cp:lastPrinted>1899-12-31T23:00:00Z</cp:lastPrinted>
  <dcterms:created xsi:type="dcterms:W3CDTF">2021-01-29T08:28:00Z</dcterms:created>
  <dcterms:modified xsi:type="dcterms:W3CDTF">2021-01-29T11:00:00Z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