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65EA1982"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1062</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045B53AE" w:rsidR="00953485" w:rsidRPr="00450EB2" w:rsidRDefault="00953485" w:rsidP="00953485">
      <w:pPr>
        <w:pStyle w:val="3GPPHeader"/>
      </w:pPr>
      <w:r w:rsidRPr="00450EB2">
        <w:t>Title:</w:t>
      </w:r>
      <w:r w:rsidRPr="00450EB2">
        <w:tab/>
      </w:r>
      <w:r>
        <w:t xml:space="preserve">Summary of Discussion for </w:t>
      </w:r>
      <w:r w:rsidR="00224449">
        <w:t>Insufficient UE Capabilities Indication</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BB5D183"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224449">
        <w:t>Insufficient UE Capabilities Indication</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685474AC" w14:textId="77777777" w:rsidR="00224449" w:rsidRDefault="00224449" w:rsidP="00224449">
      <w:pPr>
        <w:widowControl w:val="0"/>
        <w:ind w:left="144" w:hanging="144"/>
        <w:rPr>
          <w:rFonts w:ascii="Calibri" w:hAnsi="Calibri" w:cs="Calibri"/>
          <w:b/>
          <w:color w:val="FF00FF"/>
          <w:sz w:val="18"/>
        </w:rPr>
      </w:pPr>
      <w:r>
        <w:rPr>
          <w:rFonts w:ascii="Calibri" w:hAnsi="Calibri" w:cs="Calibri"/>
          <w:b/>
          <w:color w:val="FF00FF"/>
          <w:sz w:val="18"/>
        </w:rPr>
        <w:t>CB: # 90_MOACV</w:t>
      </w:r>
    </w:p>
    <w:p w14:paraId="0B0CCB12" w14:textId="77777777" w:rsidR="00224449" w:rsidRDefault="00224449" w:rsidP="00224449">
      <w:pPr>
        <w:widowControl w:val="0"/>
        <w:ind w:left="144" w:hanging="144"/>
        <w:rPr>
          <w:rFonts w:ascii="Calibri" w:hAnsi="Calibri" w:cs="Calibri"/>
          <w:b/>
          <w:color w:val="FF00FF"/>
          <w:sz w:val="18"/>
        </w:rPr>
      </w:pPr>
      <w:r>
        <w:rPr>
          <w:rFonts w:ascii="Calibri" w:hAnsi="Calibri" w:cs="Calibri"/>
          <w:b/>
          <w:color w:val="FF00FF"/>
          <w:sz w:val="18"/>
        </w:rPr>
        <w:t>- confirmed that it’s for “don’t try again for this UE”</w:t>
      </w:r>
    </w:p>
    <w:p w14:paraId="04D72A30" w14:textId="77777777" w:rsidR="00224449" w:rsidRDefault="00224449" w:rsidP="00224449">
      <w:pPr>
        <w:widowControl w:val="0"/>
        <w:ind w:left="144" w:hanging="144"/>
        <w:rPr>
          <w:rFonts w:ascii="Calibri" w:hAnsi="Calibri" w:cs="Calibri"/>
          <w:b/>
          <w:color w:val="FF00FF"/>
          <w:sz w:val="18"/>
        </w:rPr>
      </w:pPr>
      <w:r>
        <w:rPr>
          <w:rFonts w:ascii="Calibri" w:hAnsi="Calibri" w:cs="Calibri"/>
          <w:b/>
          <w:color w:val="FF00FF"/>
          <w:sz w:val="18"/>
        </w:rPr>
        <w:t>- seems no possibility for OAM-based solution?</w:t>
      </w:r>
    </w:p>
    <w:p w14:paraId="4D7A3333" w14:textId="77777777" w:rsidR="00224449" w:rsidRDefault="00224449" w:rsidP="00224449">
      <w:pPr>
        <w:widowControl w:val="0"/>
        <w:ind w:left="144" w:hanging="144"/>
        <w:rPr>
          <w:rFonts w:ascii="Calibri" w:hAnsi="Calibri" w:cs="Calibri"/>
          <w:b/>
          <w:color w:val="FF00FF"/>
          <w:sz w:val="18"/>
        </w:rPr>
      </w:pPr>
      <w:r>
        <w:rPr>
          <w:rFonts w:ascii="Calibri" w:hAnsi="Calibri" w:cs="Calibri"/>
          <w:b/>
          <w:color w:val="FF00FF"/>
          <w:sz w:val="18"/>
        </w:rPr>
        <w:t>- clarify usage</w:t>
      </w:r>
    </w:p>
    <w:p w14:paraId="640B1B78" w14:textId="77777777" w:rsidR="00224449" w:rsidRDefault="00224449" w:rsidP="00224449">
      <w:pPr>
        <w:widowControl w:val="0"/>
        <w:ind w:left="144" w:hanging="144"/>
        <w:rPr>
          <w:rFonts w:ascii="Calibri" w:hAnsi="Calibri" w:cs="Calibri"/>
          <w:color w:val="000000"/>
          <w:sz w:val="18"/>
        </w:rPr>
      </w:pPr>
      <w:r>
        <w:rPr>
          <w:rFonts w:ascii="Calibri" w:hAnsi="Calibri" w:cs="Calibri"/>
          <w:color w:val="000000"/>
          <w:sz w:val="18"/>
        </w:rPr>
        <w:t>(E/// - moderator)</w:t>
      </w:r>
    </w:p>
    <w:p w14:paraId="2640F71F" w14:textId="4EB28E5D" w:rsidR="00E250A8" w:rsidRDefault="005D2DBA" w:rsidP="00224449">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1AB2163B" w:rsidR="00E250A8" w:rsidRDefault="00EC57F9" w:rsidP="00E250A8">
      <w:pPr>
        <w:pStyle w:val="Heading1"/>
      </w:pPr>
      <w:r>
        <w:t>Discussion</w:t>
      </w:r>
    </w:p>
    <w:p w14:paraId="436383FF" w14:textId="77777777" w:rsidR="00224449" w:rsidRDefault="00224449" w:rsidP="003C365A">
      <w:r>
        <w:t>During RAN3-110e the topic of failure events due to insufficient UE capabilities has been discussed and the following has been minuted:</w:t>
      </w:r>
    </w:p>
    <w:p w14:paraId="2C55627B" w14:textId="77777777" w:rsidR="00224449" w:rsidRDefault="00224449" w:rsidP="003C365A"/>
    <w:p w14:paraId="5086D629" w14:textId="53ADC679" w:rsidR="00224449" w:rsidRDefault="00A80BEC" w:rsidP="003C365A">
      <w:r w:rsidRPr="00A80BEC">
        <w:rPr>
          <w:rFonts w:ascii="Calibri" w:eastAsia="Calibri" w:hAnsi="Calibri" w:cs="Calibri"/>
          <w:b/>
          <w:bCs/>
          <w:color w:val="FF0000"/>
          <w:sz w:val="18"/>
          <w:lang w:eastAsia="en-GB"/>
        </w:rPr>
        <w:t>Need a proper analysis on whether there is an issue that should be addressed in signaling (</w:t>
      </w:r>
      <w:r w:rsidRPr="00A80BEC">
        <w:rPr>
          <w:rFonts w:ascii="Calibri" w:eastAsia="Calibri" w:hAnsi="Calibri" w:cs="Calibri"/>
          <w:b/>
          <w:color w:val="FF0000"/>
          <w:sz w:val="18"/>
          <w:lang w:eastAsia="en-GB"/>
        </w:rPr>
        <w:t>addressing this via cause value probably not the most appropriate way</w:t>
      </w:r>
      <w:r w:rsidRPr="00A80BEC">
        <w:rPr>
          <w:rFonts w:ascii="Calibri" w:eastAsia="Calibri" w:hAnsi="Calibri" w:cs="Calibri"/>
          <w:b/>
          <w:bCs/>
          <w:color w:val="FF0000"/>
          <w:sz w:val="18"/>
          <w:lang w:eastAsia="en-GB"/>
        </w:rPr>
        <w:t>)</w:t>
      </w:r>
      <w:r w:rsidR="00224449">
        <w:t xml:space="preserve"> </w:t>
      </w:r>
    </w:p>
    <w:p w14:paraId="32A7E995" w14:textId="79E9F767" w:rsidR="00224449" w:rsidRDefault="00224449" w:rsidP="003C365A"/>
    <w:p w14:paraId="1FC52F0B" w14:textId="3BCFA7D0" w:rsidR="00A80BEC" w:rsidRDefault="00A80BEC" w:rsidP="003C365A">
      <w:r>
        <w:t>At this meeting a more detailed description of failure cases due to UE insufficient capabilities has been presented in [1] and cosigned by a large number of operators.</w:t>
      </w:r>
    </w:p>
    <w:p w14:paraId="2865A354" w14:textId="77777777" w:rsidR="00AA2E9F" w:rsidRDefault="00AA2E9F" w:rsidP="003C365A"/>
    <w:p w14:paraId="3436F7DD" w14:textId="485FAE2B" w:rsidR="00AA2E9F" w:rsidRPr="007C53B8" w:rsidRDefault="00946658" w:rsidP="00AA2E9F">
      <w:pPr>
        <w:pStyle w:val="Heading2"/>
        <w:rPr>
          <w:bCs/>
        </w:rPr>
      </w:pPr>
      <w:r>
        <w:rPr>
          <w:bCs/>
        </w:rPr>
        <w:t>On the need for Insufficient UE Capabilities indication</w:t>
      </w:r>
    </w:p>
    <w:p w14:paraId="019E628A" w14:textId="77777777" w:rsidR="00AA2E9F" w:rsidRDefault="00AA2E9F" w:rsidP="003C365A"/>
    <w:p w14:paraId="6F9818C0" w14:textId="4166036E" w:rsidR="00A80BEC" w:rsidRDefault="00A80BEC" w:rsidP="003C365A">
      <w:r>
        <w:t>The failure cases brought in [1] as examples can be summarized as follows:</w:t>
      </w:r>
    </w:p>
    <w:p w14:paraId="1A13F8E7" w14:textId="77777777" w:rsidR="00A80BEC" w:rsidRDefault="00A80BEC" w:rsidP="003C365A"/>
    <w:p w14:paraId="1F156949" w14:textId="15E54ACC" w:rsidR="00A80BEC" w:rsidRDefault="00A80BEC" w:rsidP="003C365A">
      <w:r>
        <w:lastRenderedPageBreak/>
        <w:t>EN-DC failure case</w:t>
      </w:r>
      <w:r w:rsidR="00091B08">
        <w:t>s</w:t>
      </w:r>
      <w:r>
        <w:t>:</w:t>
      </w:r>
    </w:p>
    <w:p w14:paraId="367C7DD1" w14:textId="187325DD" w:rsidR="00A80BEC" w:rsidRDefault="00A80BEC" w:rsidP="00A80BEC">
      <w:pPr>
        <w:pStyle w:val="ListParagraph"/>
        <w:numPr>
          <w:ilvl w:val="0"/>
          <w:numId w:val="18"/>
        </w:numPr>
        <w:ind w:firstLineChars="0"/>
      </w:pPr>
      <w:r>
        <w:t xml:space="preserve">An MeNB does not decode the NR UE Capabilities and for that it is not aware of whether the UE capabilities match the capabilities required by the SgNB. </w:t>
      </w:r>
      <w:r>
        <w:br/>
        <w:t>For example, the MeNB does not know the UE capabilities in terms of supported DL BWP and DSS. If the SgNB requires support of a specific DL BWP size or it requires support of DSS, and if the UE does not have matching capabilities fo</w:t>
      </w:r>
      <w:r w:rsidR="00091B08">
        <w:t>r</w:t>
      </w:r>
      <w:r>
        <w:t xml:space="preserve"> the PSCells selected by the SgNB, the SgNB addition will fail.  </w:t>
      </w:r>
    </w:p>
    <w:p w14:paraId="1B0EDC2A" w14:textId="484186B1" w:rsidR="00091B08" w:rsidRDefault="00091B08" w:rsidP="00091B08">
      <w:pPr>
        <w:pStyle w:val="ListParagraph"/>
        <w:numPr>
          <w:ilvl w:val="0"/>
          <w:numId w:val="18"/>
        </w:numPr>
        <w:ind w:firstLineChars="0"/>
      </w:pPr>
      <w:r>
        <w:t>Failure case described in [2]</w:t>
      </w:r>
      <w:r w:rsidR="0032173B">
        <w:t>:</w:t>
      </w:r>
      <w:r>
        <w:t xml:space="preserve"> </w:t>
      </w:r>
      <w:r w:rsidR="0032173B">
        <w:t>if an M</w:t>
      </w:r>
      <w:r>
        <w:t xml:space="preserve">eNB narrows down a list of band combination and transmits it to </w:t>
      </w:r>
      <w:r w:rsidR="0032173B">
        <w:t>the S</w:t>
      </w:r>
      <w:r>
        <w:t xml:space="preserve">gNB, EN-DC configuration may fail due to no band combination available for </w:t>
      </w:r>
      <w:r w:rsidR="0032173B">
        <w:t>S</w:t>
      </w:r>
      <w:r>
        <w:t>gNB. In detail, for instance, assume UE notifies eNB of UE capability of BC#1 and BC#2</w:t>
      </w:r>
      <w:r w:rsidR="0032173B">
        <w:t>.</w:t>
      </w:r>
      <w:r>
        <w:t xml:space="preserve"> Since eNB has no </w:t>
      </w:r>
      <w:r w:rsidR="0032173B">
        <w:t>visibility over</w:t>
      </w:r>
      <w:r>
        <w:t xml:space="preserve"> NR capabilit</w:t>
      </w:r>
      <w:r w:rsidR="0032173B">
        <w:t>ies</w:t>
      </w:r>
      <w:r>
        <w:t>, it may narrow down a list of allowed band combination to BC#1 and transmit</w:t>
      </w:r>
      <w:r w:rsidR="0032173B">
        <w:t xml:space="preserve"> this available band combination</w:t>
      </w:r>
      <w:r>
        <w:t xml:space="preserve"> to </w:t>
      </w:r>
      <w:r w:rsidR="0032173B">
        <w:t>the S</w:t>
      </w:r>
      <w:r>
        <w:t xml:space="preserve">gNB. Assume </w:t>
      </w:r>
      <w:r w:rsidR="0032173B">
        <w:t>S</w:t>
      </w:r>
      <w:r>
        <w:t xml:space="preserve">gNB </w:t>
      </w:r>
      <w:r w:rsidR="00B9695B">
        <w:t xml:space="preserve">only supports a fixed </w:t>
      </w:r>
      <w:r w:rsidR="007F00F0">
        <w:t>bandwidth operation for BC#1 (e.g. 100MHz), but the UE does not support such bandwidth operation. Th</w:t>
      </w:r>
      <w:r>
        <w:t xml:space="preserve">en there is no band combination available for </w:t>
      </w:r>
      <w:r w:rsidR="0032173B">
        <w:t>S</w:t>
      </w:r>
      <w:r>
        <w:t xml:space="preserve">gNB to select. Thus, </w:t>
      </w:r>
      <w:r w:rsidR="0032173B">
        <w:t>the SgNB Addition procedure would fail</w:t>
      </w:r>
      <w:r>
        <w:t>.</w:t>
      </w:r>
    </w:p>
    <w:p w14:paraId="4DE42463" w14:textId="77777777" w:rsidR="00091B08" w:rsidRDefault="00091B08" w:rsidP="00A80BEC"/>
    <w:p w14:paraId="3AA505F3" w14:textId="47EC4371" w:rsidR="00A80BEC" w:rsidRDefault="00A80BEC" w:rsidP="00A80BEC">
      <w:r>
        <w:t>MR-DC Failure Case:</w:t>
      </w:r>
    </w:p>
    <w:p w14:paraId="24C9DDE7" w14:textId="25DA7CD1" w:rsidR="00091B08" w:rsidRDefault="00A80BEC" w:rsidP="00091B08">
      <w:pPr>
        <w:pStyle w:val="ListParagraph"/>
        <w:numPr>
          <w:ilvl w:val="0"/>
          <w:numId w:val="18"/>
        </w:numPr>
        <w:ind w:firstLineChars="0"/>
      </w:pPr>
      <w:r>
        <w:t xml:space="preserve">An MgNB </w:t>
      </w:r>
      <w:r w:rsidR="00091B08">
        <w:t>does not know if potential PSCells at an SgNB use DSS with other nodes (</w:t>
      </w:r>
      <w:r w:rsidR="007F00F0">
        <w:t xml:space="preserve">other than </w:t>
      </w:r>
      <w:r w:rsidR="00091B08">
        <w:t xml:space="preserve">the MgNB). If the SgNB requires support of DSS, and if the UE does not have matching capabilities for the PSCells selected by the SgNB, the SgNB addition will fail.  </w:t>
      </w:r>
    </w:p>
    <w:p w14:paraId="0119BC55" w14:textId="77777777" w:rsidR="00091B08" w:rsidRDefault="00091B08" w:rsidP="00091B08"/>
    <w:p w14:paraId="5D0471C9" w14:textId="1B52243E" w:rsidR="00A80BEC" w:rsidRDefault="00091B08" w:rsidP="00091B08">
      <w:r>
        <w:t>Handover Failure Case</w:t>
      </w:r>
      <w:r w:rsidR="007F00F0">
        <w:t xml:space="preserve"> (valid for Xn and NG HOs)</w:t>
      </w:r>
      <w:r>
        <w:t>:</w:t>
      </w:r>
    </w:p>
    <w:p w14:paraId="510C6608" w14:textId="4A2AF70E" w:rsidR="00091B08" w:rsidRDefault="00091B08" w:rsidP="00270947">
      <w:pPr>
        <w:pStyle w:val="ListParagraph"/>
        <w:numPr>
          <w:ilvl w:val="0"/>
          <w:numId w:val="18"/>
        </w:numPr>
        <w:ind w:firstLineChars="0"/>
      </w:pPr>
      <w:r w:rsidRPr="00091B08">
        <w:t xml:space="preserve">At handover the source is not able to determine the Initial BWP of the target cell. This is because UE neighbour cells measurements do not report this information (UE ANR measurements only report the CellAccessRelatedInfo IE from SIB1). Therefore, the target RAN node needs to perform a check of whether the UE capabilities support the carrier and bandwidth-part bandwidths of the target cell. </w:t>
      </w:r>
      <w:r>
        <w:br/>
      </w:r>
      <w:r w:rsidRPr="00091B08">
        <w:t>In case of bandwidth capability check at target, the target gNB can check the UE capabilities vs BWP and carrier bandwidth. If such check doesn’t have a positive outcome, the Handover Request will be rejected.</w:t>
      </w:r>
    </w:p>
    <w:p w14:paraId="4196BBE1" w14:textId="3DD00A3A" w:rsidR="00224449" w:rsidRDefault="00224449" w:rsidP="003C365A"/>
    <w:p w14:paraId="71252903" w14:textId="0180BF58" w:rsidR="0032173B" w:rsidRDefault="0032173B" w:rsidP="003C365A">
      <w:r>
        <w:t xml:space="preserve">It was confirmed during the online discussion that the solutions proposed are aimed at preventing the repetition of the failure for the same UE. </w:t>
      </w:r>
    </w:p>
    <w:p w14:paraId="65678DDE" w14:textId="77777777" w:rsidR="0032173B" w:rsidRDefault="0032173B" w:rsidP="003C365A">
      <w:r>
        <w:t>If it is known at serving RAN node that a failure occurred because of insufficient UE capabilities, then:</w:t>
      </w:r>
    </w:p>
    <w:p w14:paraId="4B9B90D7" w14:textId="2192549E" w:rsidR="0032173B" w:rsidRDefault="0032173B" w:rsidP="0032173B">
      <w:pPr>
        <w:pStyle w:val="ListParagraph"/>
        <w:numPr>
          <w:ilvl w:val="0"/>
          <w:numId w:val="18"/>
        </w:numPr>
        <w:ind w:firstLineChars="0"/>
      </w:pPr>
      <w:r>
        <w:t>For DC scenarios, SN addition may be prevented if the same candidate PSCells</w:t>
      </w:r>
      <w:r w:rsidR="00AA2E9F">
        <w:t xml:space="preserve"> (for which a failure occurred in the past)</w:t>
      </w:r>
      <w:r>
        <w:t xml:space="preserve"> are reported by the UE as best cells for DC configuration</w:t>
      </w:r>
    </w:p>
    <w:p w14:paraId="43393510" w14:textId="36EA6F64" w:rsidR="0032173B" w:rsidRDefault="0032173B" w:rsidP="0032173B">
      <w:pPr>
        <w:pStyle w:val="ListParagraph"/>
        <w:numPr>
          <w:ilvl w:val="0"/>
          <w:numId w:val="18"/>
        </w:numPr>
        <w:ind w:firstLineChars="0"/>
      </w:pPr>
      <w:r>
        <w:t>For HO scenarios, HO towards a given HO target cell can be prevented if a failure due to insufficient capabilities was reported in the past for that target cell</w:t>
      </w:r>
    </w:p>
    <w:p w14:paraId="46B652A7" w14:textId="05C4FF41" w:rsidR="0032173B" w:rsidRDefault="0032173B" w:rsidP="003C365A"/>
    <w:p w14:paraId="71810985" w14:textId="72A7A018" w:rsidR="00AA2E9F" w:rsidRDefault="00AA2E9F" w:rsidP="003C365A">
      <w:r>
        <w:t xml:space="preserve">Without a solution for this issue failures due to insufficient capabilities would neither be traceable, nor they would be preventable. </w:t>
      </w:r>
    </w:p>
    <w:p w14:paraId="0E25003E" w14:textId="38085C40" w:rsidR="00AA2E9F" w:rsidRDefault="00AA2E9F" w:rsidP="003C365A">
      <w:r>
        <w:t xml:space="preserve">Companies are therefore invited to provide their view on whether introducing an indication of failure due to Insufficient UE Capabilities in the SN addition and HO failure procedures is needed </w:t>
      </w:r>
    </w:p>
    <w:tbl>
      <w:tblPr>
        <w:tblStyle w:val="TableGrid"/>
        <w:tblW w:w="0" w:type="auto"/>
        <w:tblLook w:val="04A0" w:firstRow="1" w:lastRow="0" w:firstColumn="1" w:lastColumn="0" w:noHBand="0" w:noVBand="1"/>
      </w:tblPr>
      <w:tblGrid>
        <w:gridCol w:w="3068"/>
        <w:gridCol w:w="5999"/>
      </w:tblGrid>
      <w:tr w:rsidR="00AA2E9F" w14:paraId="73E32829" w14:textId="77777777" w:rsidTr="005820C8">
        <w:tc>
          <w:tcPr>
            <w:tcW w:w="3068" w:type="dxa"/>
          </w:tcPr>
          <w:p w14:paraId="6A778466" w14:textId="77777777" w:rsidR="00AA2E9F" w:rsidRPr="00C020F6" w:rsidRDefault="00AA2E9F" w:rsidP="005820C8">
            <w:pPr>
              <w:rPr>
                <w:b/>
                <w:bCs/>
              </w:rPr>
            </w:pPr>
            <w:r w:rsidRPr="00C020F6">
              <w:rPr>
                <w:b/>
                <w:bCs/>
              </w:rPr>
              <w:t>Company</w:t>
            </w:r>
          </w:p>
        </w:tc>
        <w:tc>
          <w:tcPr>
            <w:tcW w:w="5999" w:type="dxa"/>
          </w:tcPr>
          <w:p w14:paraId="061F2535" w14:textId="77777777" w:rsidR="00AA2E9F" w:rsidRPr="00C020F6" w:rsidRDefault="00AA2E9F" w:rsidP="005820C8">
            <w:pPr>
              <w:rPr>
                <w:b/>
                <w:bCs/>
              </w:rPr>
            </w:pPr>
            <w:r>
              <w:rPr>
                <w:b/>
                <w:bCs/>
              </w:rPr>
              <w:t>Comments</w:t>
            </w:r>
          </w:p>
        </w:tc>
      </w:tr>
      <w:tr w:rsidR="00AA2E9F" w14:paraId="15E91E03" w14:textId="77777777" w:rsidTr="005820C8">
        <w:tc>
          <w:tcPr>
            <w:tcW w:w="3068" w:type="dxa"/>
          </w:tcPr>
          <w:p w14:paraId="6C8898CA" w14:textId="77777777" w:rsidR="00AA2E9F" w:rsidRDefault="00AA2E9F" w:rsidP="005820C8">
            <w:r>
              <w:t>Ericsson</w:t>
            </w:r>
          </w:p>
        </w:tc>
        <w:tc>
          <w:tcPr>
            <w:tcW w:w="5999" w:type="dxa"/>
          </w:tcPr>
          <w:p w14:paraId="5B0CD235" w14:textId="1477E36F" w:rsidR="00AA2E9F" w:rsidRDefault="00AA2E9F" w:rsidP="005820C8">
            <w:r>
              <w:t xml:space="preserve">Yes, such indication is needed. Without this indication the only solution is to reuse existing cause values that neither have the </w:t>
            </w:r>
            <w:r>
              <w:lastRenderedPageBreak/>
              <w:t xml:space="preserve">same “barring” effect nor can convey the real reason for the failure, which is useful for network visibility and optimization planning   </w:t>
            </w:r>
          </w:p>
        </w:tc>
      </w:tr>
      <w:tr w:rsidR="00AA2E9F" w14:paraId="6776AD32" w14:textId="77777777" w:rsidTr="005820C8">
        <w:tc>
          <w:tcPr>
            <w:tcW w:w="3068" w:type="dxa"/>
          </w:tcPr>
          <w:p w14:paraId="2B311C01" w14:textId="014DC201" w:rsidR="00AA2E9F" w:rsidRDefault="007B558D" w:rsidP="005820C8">
            <w:ins w:id="2" w:author="Nokia" w:date="2021-01-28T09:59:00Z">
              <w:r>
                <w:lastRenderedPageBreak/>
                <w:t>Nokia</w:t>
              </w:r>
            </w:ins>
          </w:p>
        </w:tc>
        <w:tc>
          <w:tcPr>
            <w:tcW w:w="5999" w:type="dxa"/>
          </w:tcPr>
          <w:p w14:paraId="68F6703E" w14:textId="77777777" w:rsidR="00AA2E9F" w:rsidRDefault="007B558D" w:rsidP="005820C8">
            <w:pPr>
              <w:rPr>
                <w:ins w:id="3" w:author="Nokia" w:date="2021-01-28T10:01:00Z"/>
              </w:rPr>
            </w:pPr>
            <w:ins w:id="4" w:author="Nokia" w:date="2021-01-28T10:00:00Z">
              <w:r>
                <w:t xml:space="preserve">First of all, when reading the example scenarios, it </w:t>
              </w:r>
            </w:ins>
            <w:ins w:id="5" w:author="Nokia" w:date="2021-01-28T10:01:00Z">
              <w:r>
                <w:t>does not seem like a critical error, so probably Rel.15 should not be touched.</w:t>
              </w:r>
            </w:ins>
          </w:p>
          <w:p w14:paraId="5A24C73A" w14:textId="77777777" w:rsidR="007B558D" w:rsidRDefault="007B558D" w:rsidP="005820C8">
            <w:pPr>
              <w:rPr>
                <w:ins w:id="6" w:author="Nokia" w:date="2021-01-28T10:06:00Z"/>
              </w:rPr>
            </w:pPr>
            <w:ins w:id="7" w:author="Nokia" w:date="2021-01-28T10:01:00Z">
              <w:r>
                <w:t>For EN-DC, th</w:t>
              </w:r>
            </w:ins>
            <w:ins w:id="8" w:author="Nokia" w:date="2021-01-28T10:02:00Z">
              <w:r>
                <w:t>e</w:t>
              </w:r>
            </w:ins>
            <w:ins w:id="9" w:author="Nokia" w:date="2021-01-28T10:03:00Z">
              <w:r>
                <w:t xml:space="preserve"> example scenario calls for a solution that we propose in another </w:t>
              </w:r>
            </w:ins>
            <w:ins w:id="10" w:author="Nokia" w:date="2021-01-28T10:04:00Z">
              <w:r>
                <w:t>discussion: load per initial BWP (after all, the initial BWP should be compatible with any UE, shouldn’t it?). Nonetheless, we acknowledge the problem with UEs</w:t>
              </w:r>
            </w:ins>
            <w:ins w:id="11" w:author="Nokia" w:date="2021-01-28T10:05:00Z">
              <w:r>
                <w:t xml:space="preserve"> that may need to be rejected, while the MeNB does not have means to understand the </w:t>
              </w:r>
            </w:ins>
            <w:ins w:id="12" w:author="Nokia" w:date="2021-01-28T10:06:00Z">
              <w:r>
                <w:t>scenario.</w:t>
              </w:r>
            </w:ins>
          </w:p>
          <w:p w14:paraId="05556A9D" w14:textId="77777777" w:rsidR="007B558D" w:rsidRDefault="007B558D" w:rsidP="005820C8">
            <w:pPr>
              <w:rPr>
                <w:ins w:id="13" w:author="Nokia" w:date="2021-01-28T10:09:00Z"/>
              </w:rPr>
            </w:pPr>
            <w:ins w:id="14" w:author="Nokia" w:date="2021-01-28T10:06:00Z">
              <w:r>
                <w:t>For</w:t>
              </w:r>
            </w:ins>
            <w:ins w:id="15" w:author="Nokia" w:date="2021-01-28T10:09:00Z">
              <w:r>
                <w:t xml:space="preserve"> </w:t>
              </w:r>
            </w:ins>
            <w:ins w:id="16" w:author="Nokia" w:date="2021-01-28T10:07:00Z">
              <w:r>
                <w:t xml:space="preserve">other Xn-based MR-DC options, the scenario is less clear: the MN should be able to read the capabilities, while the SgNB </w:t>
              </w:r>
            </w:ins>
            <w:ins w:id="17" w:author="Nokia" w:date="2021-01-28T10:08:00Z">
              <w:r>
                <w:t>does not have to configure features which are not compatible with the UE (isn’t DSS con</w:t>
              </w:r>
            </w:ins>
            <w:ins w:id="18" w:author="Nokia" w:date="2021-01-28T10:09:00Z">
              <w:r>
                <w:t xml:space="preserve">figured per UE, I’m not sure?). </w:t>
              </w:r>
            </w:ins>
          </w:p>
          <w:p w14:paraId="160C0DB6" w14:textId="54B7AB26" w:rsidR="0060567B" w:rsidRDefault="0060567B" w:rsidP="00BB2C1D">
            <w:ins w:id="19" w:author="Nokia" w:date="2021-01-28T10:11:00Z">
              <w:r>
                <w:t xml:space="preserve">All in all, it seems to </w:t>
              </w:r>
            </w:ins>
            <w:ins w:id="20" w:author="Nokia" w:date="2021-01-28T10:12:00Z">
              <w:r>
                <w:t xml:space="preserve">me like the problem is related to very specific features and then the cause should also be specific. </w:t>
              </w:r>
            </w:ins>
            <w:ins w:id="21" w:author="Nokia" w:date="2021-01-28T10:23:00Z">
              <w:r w:rsidR="00BB2C1D">
                <w:t>However, if this is not acceptable, we could accept also the general cause in Rel.16</w:t>
              </w:r>
            </w:ins>
            <w:ins w:id="22" w:author="Nokia" w:date="2021-01-28T10:14:00Z">
              <w:r>
                <w:t xml:space="preserve">. </w:t>
              </w:r>
            </w:ins>
            <w:ins w:id="23" w:author="Nokia" w:date="2021-01-28T10:15:00Z">
              <w:r>
                <w:t xml:space="preserve">However, </w:t>
              </w:r>
            </w:ins>
            <w:ins w:id="24" w:author="Nokia" w:date="2021-01-28T10:23:00Z">
              <w:r w:rsidR="00BB2C1D">
                <w:t xml:space="preserve">in this case, </w:t>
              </w:r>
            </w:ins>
            <w:bookmarkStart w:id="25" w:name="_GoBack"/>
            <w:bookmarkEnd w:id="25"/>
            <w:ins w:id="26" w:author="Nokia" w:date="2021-01-28T10:15:00Z">
              <w:r>
                <w:t>w</w:t>
              </w:r>
            </w:ins>
            <w:ins w:id="27" w:author="Nokia" w:date="2021-01-28T10:14:00Z">
              <w:r>
                <w:t xml:space="preserve">e would </w:t>
              </w:r>
            </w:ins>
            <w:ins w:id="28" w:author="Nokia" w:date="2021-01-28T10:15:00Z">
              <w:r>
                <w:t>like</w:t>
              </w:r>
            </w:ins>
            <w:ins w:id="29" w:author="Nokia" w:date="2021-01-28T10:14:00Z">
              <w:r>
                <w:t xml:space="preserve"> to make the description </w:t>
              </w:r>
            </w:ins>
            <w:ins w:id="30" w:author="Nokia" w:date="2021-01-28T10:15:00Z">
              <w:r>
                <w:t xml:space="preserve">of the new cause </w:t>
              </w:r>
            </w:ins>
            <w:ins w:id="31" w:author="Nokia" w:date="2021-01-28T10:14:00Z">
              <w:r>
                <w:t xml:space="preserve">more specific, i.e. to list there examples of what </w:t>
              </w:r>
            </w:ins>
            <w:ins w:id="32" w:author="Nokia" w:date="2021-01-28T10:15:00Z">
              <w:r>
                <w:t xml:space="preserve">capability </w:t>
              </w:r>
            </w:ins>
            <w:ins w:id="33" w:author="Nokia" w:date="2021-01-28T10:14:00Z">
              <w:r>
                <w:t>exac</w:t>
              </w:r>
            </w:ins>
            <w:ins w:id="34" w:author="Nokia" w:date="2021-01-28T10:15:00Z">
              <w:r>
                <w:t xml:space="preserve">tly may be insufficient. </w:t>
              </w:r>
            </w:ins>
          </w:p>
        </w:tc>
      </w:tr>
      <w:tr w:rsidR="00AA2E9F" w14:paraId="7CD6E9F7" w14:textId="77777777" w:rsidTr="005820C8">
        <w:tc>
          <w:tcPr>
            <w:tcW w:w="3068" w:type="dxa"/>
          </w:tcPr>
          <w:p w14:paraId="4EDF4C34" w14:textId="77777777" w:rsidR="00AA2E9F" w:rsidRDefault="00AA2E9F" w:rsidP="005820C8"/>
        </w:tc>
        <w:tc>
          <w:tcPr>
            <w:tcW w:w="5999" w:type="dxa"/>
          </w:tcPr>
          <w:p w14:paraId="677B3616" w14:textId="77777777" w:rsidR="00AA2E9F" w:rsidRDefault="00AA2E9F" w:rsidP="005820C8"/>
        </w:tc>
      </w:tr>
    </w:tbl>
    <w:p w14:paraId="22AE2D75" w14:textId="77777777" w:rsidR="00AA2E9F" w:rsidRDefault="00AA2E9F" w:rsidP="003C365A"/>
    <w:p w14:paraId="2EAE6B8A" w14:textId="77777777" w:rsidR="00DF40A4" w:rsidRPr="00DF40A4" w:rsidRDefault="00DF40A4" w:rsidP="00DF40A4">
      <w:pPr>
        <w:rPr>
          <w:iCs/>
        </w:rPr>
      </w:pPr>
    </w:p>
    <w:p w14:paraId="0A3B7EF0" w14:textId="2C023A13" w:rsidR="00C020F6" w:rsidRPr="007C53B8" w:rsidRDefault="00946658" w:rsidP="00C020F6">
      <w:pPr>
        <w:pStyle w:val="Heading2"/>
        <w:rPr>
          <w:bCs/>
        </w:rPr>
      </w:pPr>
      <w:r>
        <w:rPr>
          <w:bCs/>
        </w:rPr>
        <w:t>On the type of Insufficient UE Capabilities Indication</w:t>
      </w:r>
    </w:p>
    <w:p w14:paraId="37F25736" w14:textId="6A1A9620" w:rsidR="00946658" w:rsidRDefault="00946658" w:rsidP="00C020F6">
      <w:r>
        <w:t>In [1] two solutions are proposed for Insufficient UE Capabilities indication.</w:t>
      </w:r>
    </w:p>
    <w:p w14:paraId="173D2199" w14:textId="48953F74" w:rsidR="00946658" w:rsidRPr="00946658" w:rsidRDefault="00946658" w:rsidP="00946658">
      <w:pPr>
        <w:ind w:left="1134" w:hanging="1134"/>
      </w:pPr>
      <w:r>
        <w:t>Solution 1:</w:t>
      </w:r>
      <w:r w:rsidRPr="00946658">
        <w:t xml:space="preserve"> </w:t>
      </w:r>
      <w:r>
        <w:t>To</w:t>
      </w:r>
      <w:r w:rsidRPr="00946658">
        <w:t xml:space="preserve"> specify a </w:t>
      </w:r>
      <w:r>
        <w:t xml:space="preserve">new </w:t>
      </w:r>
      <w:r w:rsidRPr="00946658">
        <w:t xml:space="preserve">cause value </w:t>
      </w:r>
      <w:r>
        <w:t>over the X2, Xn, F1, NG interfaces for Insufficient UE capabilities</w:t>
      </w:r>
      <w:r w:rsidRPr="00946658">
        <w:t>.</w:t>
      </w:r>
      <w:r>
        <w:t xml:space="preserve"> This solution maintains standardization impacts to a minimum</w:t>
      </w:r>
    </w:p>
    <w:p w14:paraId="1F3EA0E8" w14:textId="0304B4BF" w:rsidR="00946658" w:rsidRPr="00946658" w:rsidRDefault="00946658" w:rsidP="00946658">
      <w:pPr>
        <w:ind w:left="993" w:hanging="993"/>
      </w:pPr>
      <w:r>
        <w:t>Solution</w:t>
      </w:r>
      <w:r w:rsidRPr="00946658">
        <w:t xml:space="preserve"> 2: </w:t>
      </w:r>
      <w:r>
        <w:t>To</w:t>
      </w:r>
      <w:r w:rsidRPr="00946658">
        <w:t xml:space="preserve"> specify a </w:t>
      </w:r>
      <w:r>
        <w:t xml:space="preserve">new </w:t>
      </w:r>
      <w:r w:rsidRPr="00946658">
        <w:t xml:space="preserve">cause value </w:t>
      </w:r>
      <w:r>
        <w:t xml:space="preserve">over the X2, Xn, F1, NG interfaces for Insufficient UE capabilities and to </w:t>
      </w:r>
      <w:r w:rsidRPr="00946658">
        <w:t xml:space="preserve">enhance the X2: SgNB ADDITION REQUEST REJECT message </w:t>
      </w:r>
      <w:r>
        <w:t xml:space="preserve">and the </w:t>
      </w:r>
      <w:r w:rsidRPr="00B9695B">
        <w:t>Xn: S-NODE ADDITION REQUEST REJECT</w:t>
      </w:r>
      <w:r w:rsidRPr="00946658">
        <w:t xml:space="preserve"> </w:t>
      </w:r>
      <w:r>
        <w:t xml:space="preserve">with </w:t>
      </w:r>
      <w:r w:rsidRPr="00946658">
        <w:t>a list of PSCells for which the rejection occurred, namely a list of the PSCells that were tried, but where the procedure failed.</w:t>
      </w:r>
    </w:p>
    <w:p w14:paraId="18FE366C" w14:textId="77777777" w:rsidR="00946658" w:rsidRPr="00946658" w:rsidRDefault="00946658" w:rsidP="00C020F6"/>
    <w:p w14:paraId="4D9F7A93" w14:textId="7905C35B" w:rsidR="00946658" w:rsidRPr="00B9695B" w:rsidRDefault="00B9695B" w:rsidP="00C020F6">
      <w:pPr>
        <w:rPr>
          <w:b/>
          <w:bCs/>
        </w:rPr>
      </w:pPr>
      <w:r w:rsidRPr="00B9695B">
        <w:rPr>
          <w:b/>
          <w:bCs/>
        </w:rPr>
        <w:t xml:space="preserve">Companies are invited to provide their view on which of the two solutions </w:t>
      </w:r>
      <w:r>
        <w:rPr>
          <w:b/>
          <w:bCs/>
        </w:rPr>
        <w:t xml:space="preserve">above </w:t>
      </w:r>
      <w:r w:rsidRPr="00B9695B">
        <w:rPr>
          <w:b/>
          <w:bCs/>
        </w:rPr>
        <w:t>is preferred.</w:t>
      </w:r>
    </w:p>
    <w:p w14:paraId="5C77A0A6" w14:textId="6D247A7C" w:rsidR="00C020F6" w:rsidRPr="00C020F6" w:rsidRDefault="00C020F6" w:rsidP="00C020F6">
      <w:pPr>
        <w:rPr>
          <w:b/>
          <w:bCs/>
        </w:rPr>
      </w:pPr>
    </w:p>
    <w:tbl>
      <w:tblPr>
        <w:tblStyle w:val="TableGrid"/>
        <w:tblW w:w="0" w:type="auto"/>
        <w:tblLook w:val="04A0" w:firstRow="1" w:lastRow="0" w:firstColumn="1" w:lastColumn="0" w:noHBand="0" w:noVBand="1"/>
      </w:tblPr>
      <w:tblGrid>
        <w:gridCol w:w="3068"/>
        <w:gridCol w:w="5999"/>
      </w:tblGrid>
      <w:tr w:rsidR="008C3299" w14:paraId="66C38972" w14:textId="77777777" w:rsidTr="008C3299">
        <w:tc>
          <w:tcPr>
            <w:tcW w:w="3068" w:type="dxa"/>
          </w:tcPr>
          <w:p w14:paraId="3C6BB22E" w14:textId="63B8EC2A" w:rsidR="008C3299" w:rsidRPr="00C020F6" w:rsidRDefault="008C3299" w:rsidP="00C020F6">
            <w:pPr>
              <w:rPr>
                <w:b/>
                <w:bCs/>
              </w:rPr>
            </w:pPr>
            <w:r w:rsidRPr="00C020F6">
              <w:rPr>
                <w:b/>
                <w:bCs/>
              </w:rPr>
              <w:t>Company</w:t>
            </w:r>
          </w:p>
        </w:tc>
        <w:tc>
          <w:tcPr>
            <w:tcW w:w="5999" w:type="dxa"/>
          </w:tcPr>
          <w:p w14:paraId="1D83DD0A" w14:textId="304AAF1C" w:rsidR="008C3299" w:rsidRPr="00C020F6" w:rsidRDefault="008C3299" w:rsidP="00C020F6">
            <w:pPr>
              <w:rPr>
                <w:b/>
                <w:bCs/>
              </w:rPr>
            </w:pPr>
            <w:r>
              <w:rPr>
                <w:b/>
                <w:bCs/>
              </w:rPr>
              <w:t>Comments</w:t>
            </w:r>
          </w:p>
        </w:tc>
      </w:tr>
      <w:tr w:rsidR="008C3299" w14:paraId="7A34851B" w14:textId="77777777" w:rsidTr="008C3299">
        <w:tc>
          <w:tcPr>
            <w:tcW w:w="3068" w:type="dxa"/>
          </w:tcPr>
          <w:p w14:paraId="767CB8D2" w14:textId="7F9F6303" w:rsidR="008C3299" w:rsidRDefault="008C3299" w:rsidP="00C020F6">
            <w:r>
              <w:t>Ericsson</w:t>
            </w:r>
          </w:p>
        </w:tc>
        <w:tc>
          <w:tcPr>
            <w:tcW w:w="5999" w:type="dxa"/>
          </w:tcPr>
          <w:p w14:paraId="77184C50" w14:textId="210BFAA2" w:rsidR="008C3299" w:rsidRDefault="00B9695B" w:rsidP="00C020F6">
            <w:r>
              <w:t>We prefer Solution 2, which is a more complete solution and allows to have more knowledge about the PSCells for which the failure occurred</w:t>
            </w:r>
            <w:r w:rsidR="008C3299">
              <w:t xml:space="preserve">   </w:t>
            </w:r>
          </w:p>
        </w:tc>
      </w:tr>
      <w:tr w:rsidR="008C3299" w14:paraId="374C8767" w14:textId="77777777" w:rsidTr="008C3299">
        <w:tc>
          <w:tcPr>
            <w:tcW w:w="3068" w:type="dxa"/>
          </w:tcPr>
          <w:p w14:paraId="4BE35A50" w14:textId="0B3F5B00" w:rsidR="008C3299" w:rsidRDefault="0060567B" w:rsidP="00C020F6">
            <w:ins w:id="35" w:author="Nokia" w:date="2021-01-28T10:16:00Z">
              <w:r>
                <w:t>Nokia</w:t>
              </w:r>
            </w:ins>
          </w:p>
        </w:tc>
        <w:tc>
          <w:tcPr>
            <w:tcW w:w="5999" w:type="dxa"/>
          </w:tcPr>
          <w:p w14:paraId="027C77B8" w14:textId="77777777" w:rsidR="008C3299" w:rsidRDefault="0060567B" w:rsidP="00C020F6">
            <w:pPr>
              <w:rPr>
                <w:ins w:id="36" w:author="Nokia" w:date="2021-01-28T10:19:00Z"/>
              </w:rPr>
            </w:pPr>
            <w:ins w:id="37" w:author="Nokia" w:date="2021-01-28T10:16:00Z">
              <w:r>
                <w:t xml:space="preserve">Providing back the list of PSCells is very strange proposal: </w:t>
              </w:r>
            </w:ins>
            <w:ins w:id="38" w:author="Nokia" w:date="2021-01-28T10:17:00Z">
              <w:r>
                <w:t>the MN does not select the PSCell, so it would have absolutely no benefit in knowing which cells are “incompatible” wit</w:t>
              </w:r>
            </w:ins>
            <w:ins w:id="39" w:author="Nokia" w:date="2021-01-28T10:18:00Z">
              <w:r>
                <w:t xml:space="preserve">h the UE. Also, we expect that if there is at least one PSCell where the UE could be admitted, the SN would not reject it. Hence, rejection </w:t>
              </w:r>
              <w:r>
                <w:lastRenderedPageBreak/>
                <w:t>means none of the possible PSCells (if the MN even analyses the N</w:t>
              </w:r>
            </w:ins>
            <w:ins w:id="40" w:author="Nokia" w:date="2021-01-28T10:19:00Z">
              <w:r>
                <w:t>R measurements!) could be used for the UE.</w:t>
              </w:r>
            </w:ins>
          </w:p>
          <w:p w14:paraId="395CC709" w14:textId="218F9B3D" w:rsidR="0060567B" w:rsidRDefault="0060567B" w:rsidP="00C020F6">
            <w:ins w:id="41" w:author="Nokia" w:date="2021-01-28T10:19:00Z">
              <w:r>
                <w:t>So, option 1 is the only needed solution for the problem, as presented..</w:t>
              </w:r>
            </w:ins>
          </w:p>
        </w:tc>
      </w:tr>
      <w:tr w:rsidR="008C3299" w14:paraId="3A0561A8" w14:textId="77777777" w:rsidTr="008C3299">
        <w:tc>
          <w:tcPr>
            <w:tcW w:w="3068" w:type="dxa"/>
          </w:tcPr>
          <w:p w14:paraId="2BD0681D" w14:textId="77777777" w:rsidR="008C3299" w:rsidRDefault="008C3299" w:rsidP="00C020F6"/>
        </w:tc>
        <w:tc>
          <w:tcPr>
            <w:tcW w:w="5999" w:type="dxa"/>
          </w:tcPr>
          <w:p w14:paraId="59A8C11D" w14:textId="77777777" w:rsidR="008C3299" w:rsidRDefault="008C3299" w:rsidP="00C020F6"/>
        </w:tc>
      </w:tr>
    </w:tbl>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258BCB36" w14:textId="3F993C76" w:rsidR="00A80BEC" w:rsidRDefault="00FB1571" w:rsidP="00FB1571">
      <w:r>
        <w:t>[1] R3-21</w:t>
      </w:r>
      <w:r w:rsidR="00A80BEC">
        <w:t>1064</w:t>
      </w:r>
      <w:r>
        <w:t xml:space="preserve">, </w:t>
      </w:r>
      <w:r w:rsidR="00A80BEC" w:rsidRPr="00A80BEC">
        <w:t>Cause value on X2, Xn and F1 for insufficient UE capabilities (Ericsson, Verizon Wireless, Deutsche Telekom, CMCC, BT, AT&amp;T, China Unicom, Telecom Italia, Vodafone</w:t>
      </w:r>
      <w:r w:rsidR="00A80BEC">
        <w:t>, NTT DoCoMo Inc.</w:t>
      </w:r>
      <w:r w:rsidR="00A80BEC" w:rsidRPr="00A80BEC">
        <w:t xml:space="preserve">) </w:t>
      </w:r>
    </w:p>
    <w:p w14:paraId="51550CB4" w14:textId="31976B26" w:rsidR="00525C05" w:rsidRDefault="00FB1571" w:rsidP="00FB1571">
      <w:r>
        <w:t>[2] R</w:t>
      </w:r>
      <w:r w:rsidR="0032173B">
        <w:t>2</w:t>
      </w:r>
      <w:r>
        <w:t>-21</w:t>
      </w:r>
      <w:r w:rsidR="00525C05">
        <w:t>0</w:t>
      </w:r>
      <w:r w:rsidR="0032173B">
        <w:t>0772</w:t>
      </w:r>
      <w:r>
        <w:t xml:space="preserve">, </w:t>
      </w:r>
      <w:r w:rsidR="00091B08" w:rsidRPr="00091B08">
        <w:t>Clarification</w:t>
      </w:r>
      <w:r w:rsidR="00091B08" w:rsidRPr="00091B08">
        <w:rPr>
          <w:rFonts w:hint="eastAsia"/>
        </w:rPr>
        <w:t xml:space="preserve"> on </w:t>
      </w:r>
      <w:r w:rsidR="00091B08" w:rsidRPr="00091B08">
        <w:t>band combination selection over inter-node message</w:t>
      </w:r>
      <w:r w:rsidR="0032173B">
        <w:t xml:space="preserve"> (NTT DoCoMo Inc.)</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6319" w14:textId="77777777" w:rsidR="005416FC" w:rsidRDefault="005416FC" w:rsidP="002C1F86">
      <w:pPr>
        <w:spacing w:after="0"/>
      </w:pPr>
      <w:r>
        <w:separator/>
      </w:r>
    </w:p>
  </w:endnote>
  <w:endnote w:type="continuationSeparator" w:id="0">
    <w:p w14:paraId="67A38B20" w14:textId="77777777" w:rsidR="005416FC" w:rsidRDefault="005416FC"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62CD" w14:textId="77777777" w:rsidR="005416FC" w:rsidRDefault="005416FC" w:rsidP="002C1F86">
      <w:pPr>
        <w:spacing w:after="0"/>
      </w:pPr>
      <w:r>
        <w:separator/>
      </w:r>
    </w:p>
  </w:footnote>
  <w:footnote w:type="continuationSeparator" w:id="0">
    <w:p w14:paraId="224FCFBE" w14:textId="77777777" w:rsidR="005416FC" w:rsidRDefault="005416FC"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
  </w:num>
  <w:num w:numId="3">
    <w:abstractNumId w:val="5"/>
  </w:num>
  <w:num w:numId="4">
    <w:abstractNumId w:val="14"/>
  </w:num>
  <w:num w:numId="5">
    <w:abstractNumId w:val="7"/>
  </w:num>
  <w:num w:numId="6">
    <w:abstractNumId w:val="10"/>
  </w:num>
  <w:num w:numId="7">
    <w:abstractNumId w:val="11"/>
  </w:num>
  <w:num w:numId="8">
    <w:abstractNumId w:val="8"/>
  </w:num>
  <w:num w:numId="9">
    <w:abstractNumId w:val="16"/>
  </w:num>
  <w:num w:numId="10">
    <w:abstractNumId w:val="6"/>
  </w:num>
  <w:num w:numId="11">
    <w:abstractNumId w:val="17"/>
  </w:num>
  <w:num w:numId="12">
    <w:abstractNumId w:val="0"/>
  </w:num>
  <w:num w:numId="13">
    <w:abstractNumId w:val="4"/>
  </w:num>
  <w:num w:numId="14">
    <w:abstractNumId w:val="9"/>
  </w:num>
  <w:num w:numId="15">
    <w:abstractNumId w:val="13"/>
  </w:num>
  <w:num w:numId="16">
    <w:abstractNumId w:val="2"/>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37ADB"/>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16FC"/>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0567B"/>
    <w:rsid w:val="00622627"/>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B558D"/>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B2C1D"/>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3672D-55EA-44B2-8E47-E75C3414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1067</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5</cp:revision>
  <cp:lastPrinted>1899-12-31T23:00:00Z</cp:lastPrinted>
  <dcterms:created xsi:type="dcterms:W3CDTF">2021-01-27T10:37:00Z</dcterms:created>
  <dcterms:modified xsi:type="dcterms:W3CDTF">2021-01-28T09:24:00Z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