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306F3" w14:textId="77777777" w:rsidR="008B14D7" w:rsidRDefault="00D74A20">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宋体" w:hint="eastAsia"/>
          <w:b/>
          <w:sz w:val="24"/>
          <w:lang w:eastAsia="zh-CN"/>
        </w:rPr>
        <w:t>10-e</w:t>
      </w:r>
      <w:r>
        <w:rPr>
          <w:rFonts w:eastAsia="宋体" w:hint="eastAsia"/>
          <w:b/>
          <w:bCs/>
          <w:sz w:val="24"/>
          <w:lang w:eastAsia="zh-CN"/>
        </w:rPr>
        <w:t xml:space="preserve">                                                                    </w:t>
      </w:r>
      <w:r>
        <w:rPr>
          <w:b/>
          <w:bCs/>
          <w:sz w:val="24"/>
        </w:rPr>
        <w:t>R3-</w:t>
      </w:r>
      <w:r>
        <w:rPr>
          <w:rFonts w:eastAsia="宋体" w:hint="eastAsia"/>
          <w:b/>
          <w:bCs/>
          <w:sz w:val="24"/>
          <w:lang w:eastAsia="zh-CN"/>
        </w:rPr>
        <w:t>2109</w:t>
      </w:r>
      <w:r>
        <w:rPr>
          <w:rFonts w:eastAsia="宋体"/>
          <w:b/>
          <w:bCs/>
          <w:sz w:val="24"/>
          <w:lang w:eastAsia="zh-CN"/>
        </w:rPr>
        <w:t>54</w:t>
      </w:r>
    </w:p>
    <w:p w14:paraId="112E8BAC" w14:textId="77777777" w:rsidR="008B14D7" w:rsidRDefault="00D74A20">
      <w:pPr>
        <w:widowControl w:val="0"/>
        <w:tabs>
          <w:tab w:val="right" w:pos="9639"/>
        </w:tabs>
        <w:spacing w:after="0"/>
        <w:rPr>
          <w:rFonts w:eastAsia="宋体"/>
          <w:b/>
          <w:sz w:val="24"/>
          <w:lang w:eastAsia="zh-CN"/>
        </w:rPr>
      </w:pPr>
      <w:bookmarkStart w:id="1" w:name="_Hlk536523677"/>
      <w:r>
        <w:rPr>
          <w:b/>
          <w:sz w:val="24"/>
        </w:rPr>
        <w:t xml:space="preserve">Online, </w:t>
      </w:r>
      <w:r>
        <w:rPr>
          <w:rFonts w:eastAsia="宋体"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宋体" w:hint="eastAsia"/>
          <w:b/>
          <w:sz w:val="24"/>
          <w:lang w:eastAsia="zh-CN"/>
        </w:rPr>
        <w:t>5</w:t>
      </w:r>
      <w:r>
        <w:rPr>
          <w:rFonts w:eastAsia="宋体" w:hint="eastAsia"/>
          <w:b/>
          <w:sz w:val="24"/>
          <w:vertAlign w:val="superscript"/>
          <w:lang w:eastAsia="zh-CN"/>
        </w:rPr>
        <w:t>th</w:t>
      </w:r>
      <w:r>
        <w:rPr>
          <w:rFonts w:eastAsia="宋体"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41B0EE78" w14:textId="77777777" w:rsidR="008B14D7" w:rsidRDefault="008B14D7">
      <w:pPr>
        <w:pStyle w:val="3GPPHeader"/>
        <w:rPr>
          <w:rFonts w:eastAsiaTheme="minorEastAsia"/>
          <w:lang w:eastAsia="zh-CN"/>
        </w:rPr>
      </w:pPr>
    </w:p>
    <w:p w14:paraId="3BB95925" w14:textId="77777777" w:rsidR="008B14D7" w:rsidRDefault="00D74A20">
      <w:pPr>
        <w:pStyle w:val="3GPPHeader"/>
      </w:pPr>
      <w:r>
        <w:t>Agenda Item:</w:t>
      </w:r>
      <w:r>
        <w:tab/>
        <w:t>8.3.1</w:t>
      </w:r>
    </w:p>
    <w:p w14:paraId="509DBB54" w14:textId="77777777" w:rsidR="008B14D7" w:rsidRDefault="00D74A20">
      <w:pPr>
        <w:pStyle w:val="3GPPHeader"/>
      </w:pPr>
      <w:r>
        <w:t>Source:</w:t>
      </w:r>
      <w:r>
        <w:tab/>
        <w:t>Ericsson</w:t>
      </w:r>
    </w:p>
    <w:p w14:paraId="4E286C04" w14:textId="77777777" w:rsidR="008B14D7" w:rsidRDefault="00D74A20">
      <w:pPr>
        <w:pStyle w:val="3GPPHeader"/>
      </w:pPr>
      <w:r>
        <w:t>Title:</w:t>
      </w:r>
      <w:r>
        <w:tab/>
        <w:t>Summary of Discussion for QoS Monitoring for URLLC</w:t>
      </w:r>
    </w:p>
    <w:p w14:paraId="7FC4C1DF" w14:textId="77777777" w:rsidR="008B14D7" w:rsidRDefault="00D74A20">
      <w:pPr>
        <w:pStyle w:val="3GPPHeader"/>
      </w:pPr>
      <w:r>
        <w:t>Document for:</w:t>
      </w:r>
      <w:r>
        <w:tab/>
        <w:t>Discussion, Decision</w:t>
      </w:r>
    </w:p>
    <w:p w14:paraId="3A4E81D9" w14:textId="77777777" w:rsidR="008B14D7" w:rsidRDefault="00D74A20">
      <w:pPr>
        <w:pStyle w:val="Heading1"/>
      </w:pPr>
      <w:r>
        <w:t>Introduction</w:t>
      </w:r>
    </w:p>
    <w:p w14:paraId="70D822CB" w14:textId="77777777" w:rsidR="008B14D7" w:rsidRDefault="00D74A20">
      <w:pPr>
        <w:pStyle w:val="BodyText"/>
        <w:rPr>
          <w:lang w:val="en-US"/>
        </w:rPr>
      </w:pPr>
      <w:r>
        <w:rPr>
          <w:lang w:val="en-US"/>
        </w:rPr>
        <w:t xml:space="preserve">A Summary of Offline Discussions has been assigned to the topic of </w:t>
      </w:r>
      <w:r>
        <w:rPr>
          <w:bCs/>
          <w:lang w:val="en-US"/>
        </w:rPr>
        <w:t>QoS Monitoring for URLLC</w:t>
      </w:r>
      <w:r>
        <w:rPr>
          <w:lang w:val="en-US"/>
        </w:rPr>
        <w:t>.</w:t>
      </w:r>
    </w:p>
    <w:p w14:paraId="2EBBB218" w14:textId="77777777" w:rsidR="008B14D7" w:rsidRDefault="00D74A20">
      <w:pPr>
        <w:pStyle w:val="BodyText"/>
        <w:rPr>
          <w:lang w:val="en-US"/>
        </w:rPr>
      </w:pPr>
      <w:r>
        <w:rPr>
          <w:lang w:val="en-US"/>
        </w:rPr>
        <w:t>The discussion has been summarised as follows in the meeting minutes:</w:t>
      </w:r>
    </w:p>
    <w:p w14:paraId="71AC0F5E" w14:textId="77777777" w:rsidR="008B14D7" w:rsidRDefault="008B14D7">
      <w:pPr>
        <w:pStyle w:val="BodyText"/>
        <w:rPr>
          <w:lang w:val="en-US"/>
        </w:rPr>
      </w:pPr>
    </w:p>
    <w:p w14:paraId="70D68261"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CB: # 1_QoSmonURLLC</w:t>
      </w:r>
    </w:p>
    <w:p w14:paraId="7054BF8B"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ZTE</w:t>
      </w:r>
    </w:p>
    <w:p w14:paraId="7E451E85" w14:textId="77777777" w:rsidR="008B14D7" w:rsidRDefault="00D74A20">
      <w:pPr>
        <w:widowControl w:val="0"/>
        <w:ind w:left="144" w:hanging="144"/>
        <w:rPr>
          <w:rFonts w:ascii="Calibri" w:hAnsi="Calibri" w:cs="Calibri"/>
          <w:b/>
          <w:color w:val="7030A0"/>
          <w:sz w:val="18"/>
        </w:rPr>
      </w:pPr>
      <w:bookmarkStart w:id="2" w:name="_Hlk62591544"/>
      <w:r>
        <w:rPr>
          <w:rFonts w:ascii="Calibri" w:hAnsi="Calibri" w:cs="Calibri"/>
          <w:b/>
          <w:color w:val="7030A0"/>
          <w:sz w:val="18"/>
        </w:rPr>
        <w:t>Add “stop” value in the QoS Monitoring Request IE</w:t>
      </w:r>
      <w:bookmarkEnd w:id="2"/>
      <w:r>
        <w:rPr>
          <w:rFonts w:ascii="Calibri" w:hAnsi="Calibri" w:cs="Calibri"/>
          <w:b/>
          <w:color w:val="7030A0"/>
          <w:sz w:val="18"/>
        </w:rPr>
        <w:t xml:space="preserve"> in order to support Full control of QoS monitoring</w:t>
      </w:r>
    </w:p>
    <w:p w14:paraId="3CB0CB3A"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SS</w:t>
      </w:r>
    </w:p>
    <w:p w14:paraId="65715419"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 xml:space="preserve">Adding reporting frequency to F1AP specification to support the RAN part delay reporting is required. </w:t>
      </w:r>
    </w:p>
    <w:p w14:paraId="47B42FBA"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The indication of UL D1 delay reporting capability is required to inform UPF or SMF.</w:t>
      </w:r>
    </w:p>
    <w:p w14:paraId="6697DAF2"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E///</w:t>
      </w:r>
    </w:p>
    <w:p w14:paraId="6AB750BA"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Introduce a flag in UL PDU SESSION INFORMATION and ASSISTANCE INFORMATION DATA messages to indicate if a reported UL Delay Result includes D1 measurement or not.</w:t>
      </w:r>
    </w:p>
    <w:p w14:paraId="15A0CF1B"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measurement frequency for packet delay is up to RAN implementation.</w:t>
      </w:r>
    </w:p>
    <w:p w14:paraId="553608FD"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HW</w:t>
      </w:r>
    </w:p>
    <w:p w14:paraId="1503A502"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configure the reporting frequency to the gNB-DU via F1AP.</w:t>
      </w:r>
    </w:p>
    <w:p w14:paraId="47DE0210"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Indicate the absence of D1 delay in RAN part delay reporting data frame over NG-U</w:t>
      </w:r>
    </w:p>
    <w:p w14:paraId="2B01EC77" w14:textId="77777777" w:rsidR="008B14D7" w:rsidRDefault="00D74A20">
      <w:pPr>
        <w:widowControl w:val="0"/>
        <w:ind w:left="144" w:hanging="144"/>
        <w:rPr>
          <w:rFonts w:ascii="Calibri" w:hAnsi="Calibri" w:cs="Calibri"/>
          <w:b/>
          <w:color w:val="7030A0"/>
          <w:sz w:val="18"/>
          <w:lang w:val="es-ES"/>
        </w:rPr>
      </w:pPr>
      <w:r>
        <w:rPr>
          <w:rFonts w:ascii="Calibri" w:hAnsi="Calibri" w:cs="Calibri"/>
          <w:b/>
          <w:color w:val="7030A0"/>
          <w:sz w:val="18"/>
        </w:rPr>
        <w:t xml:space="preserve">- Whether to impact UP protocol? </w:t>
      </w:r>
      <w:r>
        <w:rPr>
          <w:rFonts w:ascii="Calibri" w:hAnsi="Calibri" w:cs="Calibri"/>
          <w:b/>
          <w:color w:val="7030A0"/>
          <w:sz w:val="18"/>
          <w:lang w:val="es-ES"/>
        </w:rPr>
        <w:t>(NG-U, Xn-U)</w:t>
      </w:r>
    </w:p>
    <w:p w14:paraId="03D9641B" w14:textId="77777777" w:rsidR="008B14D7" w:rsidRDefault="00D74A20">
      <w:pPr>
        <w:widowControl w:val="0"/>
        <w:ind w:left="144" w:hanging="144"/>
        <w:rPr>
          <w:rFonts w:ascii="Calibri" w:hAnsi="Calibri" w:cs="Calibri"/>
          <w:b/>
          <w:color w:val="7030A0"/>
          <w:sz w:val="18"/>
          <w:lang w:val="es-ES"/>
        </w:rPr>
      </w:pPr>
      <w:r>
        <w:rPr>
          <w:rFonts w:ascii="Calibri" w:hAnsi="Calibri" w:cs="Calibri"/>
          <w:b/>
          <w:color w:val="7030A0"/>
          <w:sz w:val="18"/>
          <w:lang w:val="es-ES"/>
        </w:rPr>
        <w:t>- F1AP impacts?</w:t>
      </w:r>
    </w:p>
    <w:p w14:paraId="45E20F3D"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 other AP impacts?</w:t>
      </w:r>
    </w:p>
    <w:p w14:paraId="0C6F702E"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 revise/merge CRs as needed</w:t>
      </w:r>
    </w:p>
    <w:p w14:paraId="2A2F4019" w14:textId="77777777" w:rsidR="008B14D7" w:rsidRDefault="00D74A20">
      <w:pPr>
        <w:widowControl w:val="0"/>
        <w:ind w:left="144" w:hanging="144"/>
        <w:rPr>
          <w:rFonts w:ascii="Calibri" w:hAnsi="Calibri" w:cs="Calibri"/>
          <w:color w:val="000000"/>
          <w:sz w:val="18"/>
        </w:rPr>
      </w:pPr>
      <w:r>
        <w:rPr>
          <w:rFonts w:ascii="Calibri" w:hAnsi="Calibri" w:cs="Calibri"/>
          <w:color w:val="000000"/>
          <w:sz w:val="18"/>
        </w:rPr>
        <w:t>(E/// - moderator)</w:t>
      </w:r>
    </w:p>
    <w:p w14:paraId="71BAB913" w14:textId="77777777" w:rsidR="008B14D7" w:rsidRDefault="00D74A20">
      <w:pPr>
        <w:pStyle w:val="BodyText"/>
        <w:rPr>
          <w:lang w:val="en-US"/>
        </w:rPr>
      </w:pPr>
      <w:r>
        <w:rPr>
          <w:rFonts w:ascii="Calibri" w:hAnsi="Calibri" w:cs="Calibri"/>
          <w:color w:val="000000"/>
          <w:sz w:val="18"/>
          <w:szCs w:val="24"/>
        </w:rPr>
        <w:t xml:space="preserve">Summary of offline disc </w:t>
      </w:r>
      <w:hyperlink r:id="rId12" w:history="1">
        <w:r>
          <w:rPr>
            <w:rStyle w:val="Hyperlink"/>
            <w:rFonts w:ascii="Calibri" w:hAnsi="Calibri" w:cs="Calibri"/>
            <w:sz w:val="18"/>
            <w:szCs w:val="24"/>
          </w:rPr>
          <w:t>R3-210954</w:t>
        </w:r>
      </w:hyperlink>
    </w:p>
    <w:p w14:paraId="235AFE5F" w14:textId="77777777" w:rsidR="008B14D7" w:rsidRDefault="00D74A20">
      <w:pPr>
        <w:pStyle w:val="Heading1"/>
      </w:pPr>
      <w:r>
        <w:t>For the Chairman’s Notes</w:t>
      </w:r>
    </w:p>
    <w:p w14:paraId="74DD4EB6" w14:textId="77777777" w:rsidR="008B14D7" w:rsidRDefault="00D74A20">
      <w:pPr>
        <w:spacing w:after="240"/>
        <w:rPr>
          <w:rFonts w:eastAsia="宋体"/>
          <w:b/>
          <w:color w:val="FF0000"/>
          <w:lang w:eastAsia="zh-CN"/>
        </w:rPr>
      </w:pPr>
      <w:r>
        <w:rPr>
          <w:rFonts w:eastAsia="宋体" w:hint="eastAsia"/>
          <w:b/>
          <w:color w:val="FF0000"/>
          <w:lang w:eastAsia="zh-CN"/>
        </w:rPr>
        <w:t>[To be added]</w:t>
      </w:r>
    </w:p>
    <w:p w14:paraId="692191E7" w14:textId="77777777" w:rsidR="008B14D7" w:rsidRDefault="00D74A20">
      <w:pPr>
        <w:pStyle w:val="Heading1"/>
      </w:pPr>
      <w:r>
        <w:lastRenderedPageBreak/>
        <w:t>Discussion</w:t>
      </w:r>
    </w:p>
    <w:p w14:paraId="47E73970" w14:textId="77777777" w:rsidR="008B14D7" w:rsidRDefault="00D74A20">
      <w:pPr>
        <w:pStyle w:val="Heading2"/>
        <w:rPr>
          <w:bCs/>
        </w:rPr>
      </w:pPr>
      <w:r>
        <w:rPr>
          <w:bCs/>
        </w:rPr>
        <w:t>Add “stop” value in the QoS Monitoring Request IE</w:t>
      </w:r>
    </w:p>
    <w:p w14:paraId="0C935475" w14:textId="77777777" w:rsidR="008B14D7" w:rsidRDefault="00D74A20">
      <w:r>
        <w:t>In [1] it is proposed to add the value “stop” in the QoS Monitoring Request IE in order to stop reporting of QoS monitoring for URLLC measurements.</w:t>
      </w:r>
    </w:p>
    <w:p w14:paraId="0B1BCD05" w14:textId="77777777" w:rsidR="008B14D7" w:rsidRDefault="00D74A20">
      <w:pPr>
        <w:rPr>
          <w:b/>
          <w:bCs/>
        </w:rPr>
      </w:pPr>
      <w:r>
        <w:rPr>
          <w:b/>
          <w:bCs/>
        </w:rPr>
        <w:t>Companies are invited to provide their view on whether the proposal in [1] is needed</w:t>
      </w:r>
    </w:p>
    <w:tbl>
      <w:tblPr>
        <w:tblStyle w:val="TableGrid"/>
        <w:tblW w:w="0" w:type="auto"/>
        <w:tblLook w:val="04A0" w:firstRow="1" w:lastRow="0" w:firstColumn="1" w:lastColumn="0" w:noHBand="0" w:noVBand="1"/>
      </w:tblPr>
      <w:tblGrid>
        <w:gridCol w:w="3068"/>
        <w:gridCol w:w="3068"/>
        <w:gridCol w:w="3069"/>
      </w:tblGrid>
      <w:tr w:rsidR="008B14D7" w14:paraId="626C69D2" w14:textId="77777777">
        <w:tc>
          <w:tcPr>
            <w:tcW w:w="3068" w:type="dxa"/>
          </w:tcPr>
          <w:p w14:paraId="4494FB5A" w14:textId="77777777" w:rsidR="008B14D7" w:rsidRDefault="00D74A20">
            <w:pPr>
              <w:rPr>
                <w:b/>
                <w:bCs/>
              </w:rPr>
            </w:pPr>
            <w:r>
              <w:rPr>
                <w:b/>
                <w:bCs/>
              </w:rPr>
              <w:t>Company</w:t>
            </w:r>
          </w:p>
        </w:tc>
        <w:tc>
          <w:tcPr>
            <w:tcW w:w="3068" w:type="dxa"/>
          </w:tcPr>
          <w:p w14:paraId="227B90ED" w14:textId="77777777" w:rsidR="008B14D7" w:rsidRDefault="00D74A20">
            <w:pPr>
              <w:rPr>
                <w:b/>
                <w:bCs/>
              </w:rPr>
            </w:pPr>
            <w:r>
              <w:rPr>
                <w:b/>
                <w:bCs/>
              </w:rPr>
              <w:t xml:space="preserve">Yes/No </w:t>
            </w:r>
          </w:p>
        </w:tc>
        <w:tc>
          <w:tcPr>
            <w:tcW w:w="3069" w:type="dxa"/>
          </w:tcPr>
          <w:p w14:paraId="797396C8" w14:textId="77777777" w:rsidR="008B14D7" w:rsidRDefault="00D74A20">
            <w:pPr>
              <w:rPr>
                <w:b/>
                <w:bCs/>
              </w:rPr>
            </w:pPr>
            <w:r>
              <w:rPr>
                <w:b/>
                <w:bCs/>
              </w:rPr>
              <w:t>Comments</w:t>
            </w:r>
          </w:p>
        </w:tc>
      </w:tr>
      <w:tr w:rsidR="008B14D7" w14:paraId="0A2DCA4F" w14:textId="77777777">
        <w:tc>
          <w:tcPr>
            <w:tcW w:w="3068" w:type="dxa"/>
          </w:tcPr>
          <w:p w14:paraId="74247E2B" w14:textId="77777777" w:rsidR="008B14D7" w:rsidRDefault="00D74A20">
            <w:r>
              <w:t>Ericsson</w:t>
            </w:r>
          </w:p>
        </w:tc>
        <w:tc>
          <w:tcPr>
            <w:tcW w:w="3068" w:type="dxa"/>
          </w:tcPr>
          <w:p w14:paraId="37093281" w14:textId="77777777" w:rsidR="008B14D7" w:rsidRDefault="00D74A20">
            <w:r>
              <w:t>Yes</w:t>
            </w:r>
          </w:p>
        </w:tc>
        <w:tc>
          <w:tcPr>
            <w:tcW w:w="3069" w:type="dxa"/>
          </w:tcPr>
          <w:p w14:paraId="76E35481" w14:textId="77777777" w:rsidR="008B14D7" w:rsidRDefault="00D74A20">
            <w:r>
              <w:t xml:space="preserve">This proposal allows to stop delay measurement reporting that would otherwise carry on indefinitely  </w:t>
            </w:r>
          </w:p>
        </w:tc>
      </w:tr>
      <w:tr w:rsidR="008B14D7" w14:paraId="118B414B" w14:textId="77777777">
        <w:tc>
          <w:tcPr>
            <w:tcW w:w="3068" w:type="dxa"/>
          </w:tcPr>
          <w:p w14:paraId="19B6EC7A" w14:textId="77777777" w:rsidR="008B14D7" w:rsidRDefault="00D74A20">
            <w:pPr>
              <w:rPr>
                <w:rFonts w:eastAsia="宋体"/>
                <w:lang w:eastAsia="zh-CN"/>
              </w:rPr>
            </w:pPr>
            <w:r>
              <w:rPr>
                <w:rFonts w:eastAsia="宋体" w:hint="eastAsia"/>
                <w:lang w:eastAsia="zh-CN"/>
              </w:rPr>
              <w:t>ZTE</w:t>
            </w:r>
          </w:p>
        </w:tc>
        <w:tc>
          <w:tcPr>
            <w:tcW w:w="3068" w:type="dxa"/>
          </w:tcPr>
          <w:p w14:paraId="199ACB81" w14:textId="77777777" w:rsidR="008B14D7" w:rsidRDefault="00D74A20">
            <w:pPr>
              <w:rPr>
                <w:rFonts w:eastAsia="宋体"/>
                <w:lang w:eastAsia="zh-CN"/>
              </w:rPr>
            </w:pPr>
            <w:r>
              <w:rPr>
                <w:rFonts w:eastAsia="宋体" w:hint="eastAsia"/>
                <w:lang w:eastAsia="zh-CN"/>
              </w:rPr>
              <w:t>Yes</w:t>
            </w:r>
          </w:p>
        </w:tc>
        <w:tc>
          <w:tcPr>
            <w:tcW w:w="3069" w:type="dxa"/>
          </w:tcPr>
          <w:p w14:paraId="627DDCC4" w14:textId="77777777" w:rsidR="008B14D7" w:rsidRDefault="00D74A20">
            <w:pPr>
              <w:rPr>
                <w:rFonts w:eastAsia="宋体"/>
                <w:lang w:eastAsia="zh-CN"/>
              </w:rPr>
            </w:pPr>
            <w:r>
              <w:rPr>
                <w:rFonts w:eastAsia="宋体" w:hint="eastAsia"/>
                <w:lang w:eastAsia="zh-CN"/>
              </w:rPr>
              <w:t>In order to reduce unnecessary resource occupation in the RAN side (e.g., release the monitoring resource over air interface), the QoS monitoring for the corresponding QoS flow should be allowed to stop.</w:t>
            </w:r>
          </w:p>
        </w:tc>
      </w:tr>
      <w:tr w:rsidR="008B14D7" w14:paraId="0D5E4452" w14:textId="77777777">
        <w:tc>
          <w:tcPr>
            <w:tcW w:w="3068" w:type="dxa"/>
          </w:tcPr>
          <w:p w14:paraId="265497EA" w14:textId="77777777" w:rsidR="008B14D7" w:rsidRDefault="003F6D0D">
            <w:r>
              <w:t>Huawei</w:t>
            </w:r>
          </w:p>
        </w:tc>
        <w:tc>
          <w:tcPr>
            <w:tcW w:w="3068" w:type="dxa"/>
          </w:tcPr>
          <w:p w14:paraId="1654B24B" w14:textId="77777777" w:rsidR="008B14D7" w:rsidRDefault="003F6D0D">
            <w:r>
              <w:t>Need check with SA2</w:t>
            </w:r>
          </w:p>
        </w:tc>
        <w:tc>
          <w:tcPr>
            <w:tcW w:w="3069" w:type="dxa"/>
          </w:tcPr>
          <w:p w14:paraId="4A48A942" w14:textId="77777777" w:rsidR="008B14D7" w:rsidRDefault="003F6D0D">
            <w:pPr>
              <w:rPr>
                <w:rFonts w:eastAsiaTheme="minorEastAsia"/>
                <w:lang w:eastAsia="zh-CN"/>
              </w:rPr>
            </w:pPr>
            <w:r>
              <w:rPr>
                <w:rFonts w:eastAsiaTheme="minorEastAsia"/>
                <w:lang w:eastAsia="zh-CN"/>
              </w:rPr>
              <w:t xml:space="preserve">From function pov, it seems the stop indication from AMF is needed. </w:t>
            </w:r>
          </w:p>
          <w:p w14:paraId="609223CA" w14:textId="77777777" w:rsidR="003F6D0D" w:rsidRDefault="003F6D0D">
            <w:pPr>
              <w:rPr>
                <w:rFonts w:eastAsiaTheme="minorEastAsia"/>
                <w:lang w:eastAsia="zh-CN"/>
              </w:rPr>
            </w:pPr>
            <w:r>
              <w:rPr>
                <w:rFonts w:eastAsiaTheme="minorEastAsia"/>
                <w:lang w:eastAsia="zh-CN"/>
              </w:rPr>
              <w:t>However, we start our works based on SA2 LS and their stage 2 spec in TS23.501/23.502.</w:t>
            </w:r>
          </w:p>
          <w:p w14:paraId="6173DBEA" w14:textId="77777777" w:rsidR="003F6D0D" w:rsidRDefault="003F6D0D" w:rsidP="003F6D0D">
            <w:pPr>
              <w:rPr>
                <w:rFonts w:eastAsiaTheme="minorEastAsia"/>
                <w:lang w:eastAsia="zh-CN"/>
              </w:rPr>
            </w:pPr>
            <w:r>
              <w:rPr>
                <w:rFonts w:eastAsiaTheme="minorEastAsia"/>
                <w:lang w:eastAsia="zh-CN"/>
              </w:rPr>
              <w:t>The cited spec in [1] is the interaction between AF and PCF. There is no any clue to imply the stop indication to RAN.</w:t>
            </w:r>
          </w:p>
          <w:p w14:paraId="34C8908D" w14:textId="77777777" w:rsidR="003F6D0D" w:rsidRPr="003F6D0D" w:rsidRDefault="003F6D0D" w:rsidP="003F6D0D">
            <w:pPr>
              <w:rPr>
                <w:rFonts w:eastAsiaTheme="minorEastAsia"/>
                <w:lang w:eastAsia="zh-CN"/>
              </w:rPr>
            </w:pPr>
            <w:r>
              <w:rPr>
                <w:rFonts w:eastAsiaTheme="minorEastAsia"/>
                <w:lang w:eastAsia="zh-CN"/>
              </w:rPr>
              <w:t xml:space="preserve">Therefore, a confirmation from SA2 is necessary to avoid wrong interpretation to CN </w:t>
            </w:r>
            <w:r w:rsidR="0090438E">
              <w:rPr>
                <w:rFonts w:eastAsiaTheme="minorEastAsia"/>
                <w:lang w:eastAsia="zh-CN"/>
              </w:rPr>
              <w:t>specifications</w:t>
            </w:r>
            <w:r>
              <w:rPr>
                <w:rFonts w:eastAsiaTheme="minorEastAsia"/>
                <w:lang w:eastAsia="zh-CN"/>
              </w:rPr>
              <w:t>.</w:t>
            </w:r>
          </w:p>
        </w:tc>
      </w:tr>
      <w:tr w:rsidR="00501FDF" w14:paraId="07A5EF6A" w14:textId="77777777">
        <w:tc>
          <w:tcPr>
            <w:tcW w:w="3068" w:type="dxa"/>
          </w:tcPr>
          <w:p w14:paraId="52B7742D" w14:textId="7201537F" w:rsidR="00501FDF" w:rsidRDefault="00501FDF">
            <w:r>
              <w:t>Nokia</w:t>
            </w:r>
          </w:p>
        </w:tc>
        <w:tc>
          <w:tcPr>
            <w:tcW w:w="3068" w:type="dxa"/>
          </w:tcPr>
          <w:p w14:paraId="62F0C3D4" w14:textId="66E4EF7E" w:rsidR="00501FDF" w:rsidRDefault="00501FDF">
            <w:r>
              <w:t xml:space="preserve">No, this is not requested. </w:t>
            </w:r>
          </w:p>
        </w:tc>
        <w:tc>
          <w:tcPr>
            <w:tcW w:w="3069" w:type="dxa"/>
          </w:tcPr>
          <w:p w14:paraId="499581EB" w14:textId="5717DBEB" w:rsidR="00501FDF" w:rsidRDefault="00501FDF">
            <w:pPr>
              <w:rPr>
                <w:rFonts w:eastAsiaTheme="minorEastAsia"/>
                <w:lang w:eastAsia="zh-CN"/>
              </w:rPr>
            </w:pPr>
            <w:r w:rsidRPr="00501FDF">
              <w:rPr>
                <w:rFonts w:eastAsiaTheme="minorEastAsia"/>
                <w:lang w:eastAsia="zh-CN"/>
              </w:rPr>
              <w:t>QoS monitoring anyway stops when the UE goes to idle mode</w:t>
            </w:r>
            <w:r>
              <w:rPr>
                <w:rFonts w:eastAsiaTheme="minorEastAsia"/>
                <w:lang w:eastAsia="zh-CN"/>
              </w:rPr>
              <w:t>, so an explicit stop seems like over-engineering</w:t>
            </w:r>
            <w:r w:rsidRPr="00501FDF">
              <w:rPr>
                <w:rFonts w:eastAsiaTheme="minorEastAsia"/>
                <w:lang w:eastAsia="zh-CN"/>
              </w:rPr>
              <w:t>. No such signalling on N4</w:t>
            </w:r>
            <w:r>
              <w:rPr>
                <w:rFonts w:eastAsiaTheme="minorEastAsia"/>
                <w:lang w:eastAsia="zh-CN"/>
              </w:rPr>
              <w:t xml:space="preserve"> (from SMF to UPF) as far as I could see.</w:t>
            </w:r>
          </w:p>
        </w:tc>
      </w:tr>
      <w:tr w:rsidR="007856A1" w14:paraId="01428479" w14:textId="77777777">
        <w:tc>
          <w:tcPr>
            <w:tcW w:w="3068" w:type="dxa"/>
          </w:tcPr>
          <w:p w14:paraId="5D128417" w14:textId="2CD8E011" w:rsidR="007856A1" w:rsidRDefault="007856A1">
            <w:r>
              <w:t>Verizon</w:t>
            </w:r>
          </w:p>
        </w:tc>
        <w:tc>
          <w:tcPr>
            <w:tcW w:w="3068" w:type="dxa"/>
          </w:tcPr>
          <w:p w14:paraId="2A625327" w14:textId="6614AD00" w:rsidR="007856A1" w:rsidRDefault="009018CF">
            <w:r>
              <w:t>Yes</w:t>
            </w:r>
          </w:p>
        </w:tc>
        <w:tc>
          <w:tcPr>
            <w:tcW w:w="3069" w:type="dxa"/>
          </w:tcPr>
          <w:p w14:paraId="191CCF1F" w14:textId="77777777" w:rsidR="007856A1" w:rsidRPr="00501FDF" w:rsidRDefault="007856A1">
            <w:pPr>
              <w:rPr>
                <w:rFonts w:eastAsiaTheme="minorEastAsia"/>
                <w:lang w:eastAsia="zh-CN"/>
              </w:rPr>
            </w:pPr>
          </w:p>
        </w:tc>
      </w:tr>
      <w:tr w:rsidR="00056304" w14:paraId="2EEA8D53" w14:textId="77777777">
        <w:tc>
          <w:tcPr>
            <w:tcW w:w="3068" w:type="dxa"/>
          </w:tcPr>
          <w:p w14:paraId="0F321BD3" w14:textId="64769B05" w:rsidR="00056304" w:rsidRDefault="00056304">
            <w:r w:rsidRPr="00056304">
              <w:t>Samsung</w:t>
            </w:r>
          </w:p>
        </w:tc>
        <w:tc>
          <w:tcPr>
            <w:tcW w:w="3068" w:type="dxa"/>
          </w:tcPr>
          <w:p w14:paraId="10622E78" w14:textId="6CB46AAB" w:rsidR="00056304" w:rsidRDefault="00056304">
            <w:r>
              <w:t>Yes</w:t>
            </w:r>
          </w:p>
        </w:tc>
        <w:tc>
          <w:tcPr>
            <w:tcW w:w="3069" w:type="dxa"/>
          </w:tcPr>
          <w:p w14:paraId="219D69A4" w14:textId="15AB36DB" w:rsidR="00056304" w:rsidRPr="00056304" w:rsidRDefault="00E83809" w:rsidP="00A43346">
            <w:r>
              <w:t>T</w:t>
            </w:r>
            <w:r w:rsidR="00056304">
              <w:t>he value “stop”</w:t>
            </w:r>
            <w:r w:rsidR="00A43346">
              <w:t xml:space="preserve"> </w:t>
            </w:r>
            <w:r>
              <w:t xml:space="preserve">is needed </w:t>
            </w:r>
            <w:r w:rsidR="00A43346">
              <w:t>to terminate the</w:t>
            </w:r>
            <w:r w:rsidR="00056304">
              <w:t xml:space="preserve"> QoS measurement reporting</w:t>
            </w:r>
            <w:r w:rsidR="00004BA8">
              <w:t xml:space="preserve"> to avoid the unnecessary reporting.</w:t>
            </w:r>
          </w:p>
        </w:tc>
      </w:tr>
    </w:tbl>
    <w:p w14:paraId="746FC21F" w14:textId="77777777" w:rsidR="008B14D7" w:rsidRDefault="008B14D7"/>
    <w:p w14:paraId="7E771246" w14:textId="77777777" w:rsidR="008B14D7" w:rsidRDefault="00D74A20">
      <w:r>
        <w:lastRenderedPageBreak/>
        <w:t>If the answer to the above is “yes” companies are invited to comment whether an LS is needed to inform other groups of this decision</w:t>
      </w:r>
    </w:p>
    <w:tbl>
      <w:tblPr>
        <w:tblStyle w:val="TableGrid"/>
        <w:tblW w:w="0" w:type="auto"/>
        <w:tblLook w:val="04A0" w:firstRow="1" w:lastRow="0" w:firstColumn="1" w:lastColumn="0" w:noHBand="0" w:noVBand="1"/>
      </w:tblPr>
      <w:tblGrid>
        <w:gridCol w:w="3068"/>
        <w:gridCol w:w="3068"/>
        <w:gridCol w:w="3069"/>
      </w:tblGrid>
      <w:tr w:rsidR="008B14D7" w14:paraId="029C8901" w14:textId="77777777">
        <w:tc>
          <w:tcPr>
            <w:tcW w:w="3068" w:type="dxa"/>
          </w:tcPr>
          <w:p w14:paraId="390500BD" w14:textId="77777777" w:rsidR="008B14D7" w:rsidRDefault="00D74A20">
            <w:pPr>
              <w:rPr>
                <w:b/>
                <w:bCs/>
              </w:rPr>
            </w:pPr>
            <w:r>
              <w:rPr>
                <w:b/>
                <w:bCs/>
              </w:rPr>
              <w:t>Company</w:t>
            </w:r>
          </w:p>
        </w:tc>
        <w:tc>
          <w:tcPr>
            <w:tcW w:w="3068" w:type="dxa"/>
          </w:tcPr>
          <w:p w14:paraId="0FFA2F80" w14:textId="77777777" w:rsidR="008B14D7" w:rsidRDefault="00D74A20">
            <w:pPr>
              <w:rPr>
                <w:b/>
                <w:bCs/>
              </w:rPr>
            </w:pPr>
            <w:r>
              <w:rPr>
                <w:b/>
                <w:bCs/>
              </w:rPr>
              <w:t xml:space="preserve">Yes/No </w:t>
            </w:r>
          </w:p>
        </w:tc>
        <w:tc>
          <w:tcPr>
            <w:tcW w:w="3069" w:type="dxa"/>
          </w:tcPr>
          <w:p w14:paraId="0BFCF701" w14:textId="77777777" w:rsidR="008B14D7" w:rsidRDefault="00D74A20">
            <w:pPr>
              <w:rPr>
                <w:b/>
                <w:bCs/>
              </w:rPr>
            </w:pPr>
            <w:r>
              <w:rPr>
                <w:b/>
                <w:bCs/>
              </w:rPr>
              <w:t>Comments</w:t>
            </w:r>
          </w:p>
        </w:tc>
      </w:tr>
      <w:tr w:rsidR="008B14D7" w14:paraId="5C99DF38" w14:textId="77777777">
        <w:tc>
          <w:tcPr>
            <w:tcW w:w="3068" w:type="dxa"/>
          </w:tcPr>
          <w:p w14:paraId="4A40A236" w14:textId="77777777" w:rsidR="008B14D7" w:rsidRDefault="00D74A20">
            <w:r>
              <w:t>Ericsson</w:t>
            </w:r>
          </w:p>
        </w:tc>
        <w:tc>
          <w:tcPr>
            <w:tcW w:w="3068" w:type="dxa"/>
          </w:tcPr>
          <w:p w14:paraId="2C9BC9F6" w14:textId="77777777" w:rsidR="008B14D7" w:rsidRDefault="00D74A20">
            <w:r>
              <w:t>No</w:t>
            </w:r>
          </w:p>
        </w:tc>
        <w:tc>
          <w:tcPr>
            <w:tcW w:w="3069" w:type="dxa"/>
          </w:tcPr>
          <w:p w14:paraId="6F9FB2C3" w14:textId="77777777" w:rsidR="008B14D7" w:rsidRDefault="00D74A20">
            <w:r>
              <w:t xml:space="preserve">An LS is not needed. The RAN3 specifications are clear enough to understand what RAN3 agreed  </w:t>
            </w:r>
          </w:p>
        </w:tc>
      </w:tr>
      <w:tr w:rsidR="008B14D7" w14:paraId="41252FDC" w14:textId="77777777">
        <w:tc>
          <w:tcPr>
            <w:tcW w:w="3068" w:type="dxa"/>
          </w:tcPr>
          <w:p w14:paraId="16155544" w14:textId="77777777" w:rsidR="008B14D7" w:rsidRDefault="00D74A20">
            <w:pPr>
              <w:rPr>
                <w:rFonts w:eastAsia="宋体"/>
                <w:lang w:eastAsia="zh-CN"/>
              </w:rPr>
            </w:pPr>
            <w:r>
              <w:rPr>
                <w:rFonts w:eastAsia="宋体" w:hint="eastAsia"/>
                <w:lang w:eastAsia="zh-CN"/>
              </w:rPr>
              <w:t>ZTE</w:t>
            </w:r>
          </w:p>
        </w:tc>
        <w:tc>
          <w:tcPr>
            <w:tcW w:w="3068" w:type="dxa"/>
          </w:tcPr>
          <w:p w14:paraId="4B74D716" w14:textId="77777777" w:rsidR="008B14D7" w:rsidRDefault="00D74A20">
            <w:pPr>
              <w:rPr>
                <w:rFonts w:eastAsia="宋体"/>
                <w:lang w:eastAsia="zh-CN"/>
              </w:rPr>
            </w:pPr>
            <w:r>
              <w:rPr>
                <w:rFonts w:eastAsia="宋体" w:hint="eastAsia"/>
                <w:lang w:eastAsia="zh-CN"/>
              </w:rPr>
              <w:t>Yes</w:t>
            </w:r>
          </w:p>
        </w:tc>
        <w:tc>
          <w:tcPr>
            <w:tcW w:w="3069" w:type="dxa"/>
          </w:tcPr>
          <w:p w14:paraId="5C6C4879" w14:textId="77777777" w:rsidR="008B14D7" w:rsidRDefault="00D74A20">
            <w:pPr>
              <w:rPr>
                <w:rFonts w:eastAsia="宋体"/>
                <w:lang w:eastAsia="zh-CN"/>
              </w:rPr>
            </w:pPr>
            <w:r>
              <w:rPr>
                <w:rFonts w:hint="eastAsia"/>
                <w:lang w:eastAsia="zh-CN"/>
              </w:rPr>
              <w:t xml:space="preserve">Considering that such </w:t>
            </w:r>
            <w:r>
              <w:rPr>
                <w:lang w:eastAsia="zh-CN"/>
              </w:rPr>
              <w:t>“</w:t>
            </w:r>
            <w:r>
              <w:rPr>
                <w:rFonts w:hint="eastAsia"/>
                <w:lang w:eastAsia="zh-CN"/>
              </w:rPr>
              <w:t>stop</w:t>
            </w:r>
            <w:r>
              <w:rPr>
                <w:lang w:eastAsia="zh-CN"/>
              </w:rPr>
              <w:t>”</w:t>
            </w:r>
            <w:r>
              <w:rPr>
                <w:rFonts w:hint="eastAsia"/>
                <w:lang w:eastAsia="zh-CN"/>
              </w:rPr>
              <w:t xml:space="preserve"> value comes from AMF, </w:t>
            </w:r>
            <w:r>
              <w:t>SA2</w:t>
            </w:r>
            <w:r>
              <w:rPr>
                <w:rFonts w:hint="eastAsia"/>
                <w:lang w:eastAsia="zh-CN"/>
              </w:rPr>
              <w:t xml:space="preserve"> and CT4</w:t>
            </w:r>
            <w:r>
              <w:t xml:space="preserve"> </w:t>
            </w:r>
            <w:r>
              <w:rPr>
                <w:rFonts w:hint="eastAsia"/>
                <w:lang w:eastAsia="zh-CN"/>
              </w:rPr>
              <w:t>needs</w:t>
            </w:r>
            <w:r>
              <w:t xml:space="preserve"> </w:t>
            </w:r>
            <w:r>
              <w:rPr>
                <w:rFonts w:hint="eastAsia"/>
                <w:lang w:eastAsia="zh-CN"/>
              </w:rPr>
              <w:t>acknowledge this and update the related specification, if needed. An LS to SA2 and CT4 is helpful.</w:t>
            </w:r>
          </w:p>
        </w:tc>
      </w:tr>
      <w:tr w:rsidR="008B14D7" w14:paraId="6BB50EBA" w14:textId="77777777">
        <w:tc>
          <w:tcPr>
            <w:tcW w:w="3068" w:type="dxa"/>
          </w:tcPr>
          <w:p w14:paraId="4AA9E5F6" w14:textId="77777777" w:rsidR="008B14D7" w:rsidRDefault="003F6D0D">
            <w:r>
              <w:t>Huawei</w:t>
            </w:r>
          </w:p>
        </w:tc>
        <w:tc>
          <w:tcPr>
            <w:tcW w:w="3068" w:type="dxa"/>
          </w:tcPr>
          <w:p w14:paraId="72E7DC71" w14:textId="77777777" w:rsidR="008B14D7" w:rsidRDefault="003F6D0D">
            <w:r>
              <w:rPr>
                <w:rFonts w:asciiTheme="minorEastAsia" w:eastAsiaTheme="minorEastAsia" w:hAnsiTheme="minorEastAsia" w:hint="eastAsia"/>
                <w:lang w:eastAsia="zh-CN"/>
              </w:rPr>
              <w:t>Yes</w:t>
            </w:r>
          </w:p>
        </w:tc>
        <w:tc>
          <w:tcPr>
            <w:tcW w:w="3069" w:type="dxa"/>
          </w:tcPr>
          <w:p w14:paraId="4400BF3B" w14:textId="77777777" w:rsidR="008B14D7" w:rsidRPr="003F6D0D" w:rsidRDefault="003F6D0D">
            <w:pPr>
              <w:rPr>
                <w:rFonts w:eastAsiaTheme="minorEastAsia"/>
                <w:lang w:eastAsia="zh-CN"/>
              </w:rPr>
            </w:pPr>
            <w:r>
              <w:rPr>
                <w:rFonts w:eastAsiaTheme="minorEastAsia"/>
                <w:lang w:eastAsia="zh-CN"/>
              </w:rPr>
              <w:t>We have never replied the LS from sa2 yet. Therefore, we could send a LS to SA2 to summarize what RAN3 has done on this topic</w:t>
            </w:r>
            <w:r w:rsidR="0090438E">
              <w:rPr>
                <w:rFonts w:eastAsiaTheme="minorEastAsia"/>
                <w:lang w:eastAsia="zh-CN"/>
              </w:rPr>
              <w:t xml:space="preserve"> and with the issues that need to be clarified and confirmed</w:t>
            </w:r>
            <w:r>
              <w:rPr>
                <w:rFonts w:eastAsiaTheme="minorEastAsia"/>
                <w:lang w:eastAsia="zh-CN"/>
              </w:rPr>
              <w:t>.</w:t>
            </w:r>
          </w:p>
        </w:tc>
      </w:tr>
      <w:tr w:rsidR="00501FDF" w14:paraId="71695F90" w14:textId="77777777">
        <w:tc>
          <w:tcPr>
            <w:tcW w:w="3068" w:type="dxa"/>
          </w:tcPr>
          <w:p w14:paraId="3F53252F" w14:textId="22A6DB20" w:rsidR="00501FDF" w:rsidRDefault="00501FDF">
            <w:r>
              <w:t>Nokia</w:t>
            </w:r>
          </w:p>
        </w:tc>
        <w:tc>
          <w:tcPr>
            <w:tcW w:w="3068" w:type="dxa"/>
          </w:tcPr>
          <w:p w14:paraId="73C64AF9" w14:textId="68E4FF51" w:rsidR="00501FDF" w:rsidRDefault="00501FDF">
            <w:pPr>
              <w:rPr>
                <w:rFonts w:asciiTheme="minorEastAsia" w:eastAsiaTheme="minorEastAsia" w:hAnsiTheme="minorEastAsia"/>
                <w:lang w:eastAsia="zh-CN"/>
              </w:rPr>
            </w:pPr>
            <w:r>
              <w:rPr>
                <w:rFonts w:asciiTheme="minorEastAsia" w:eastAsiaTheme="minorEastAsia" w:hAnsiTheme="minorEastAsia"/>
                <w:lang w:eastAsia="zh-CN"/>
              </w:rPr>
              <w:t>No</w:t>
            </w:r>
          </w:p>
        </w:tc>
        <w:tc>
          <w:tcPr>
            <w:tcW w:w="3069" w:type="dxa"/>
          </w:tcPr>
          <w:p w14:paraId="19371690" w14:textId="4B3F2E35" w:rsidR="00501FDF" w:rsidRDefault="00501FDF">
            <w:pPr>
              <w:rPr>
                <w:rFonts w:eastAsiaTheme="minorEastAsia"/>
                <w:lang w:eastAsia="zh-CN"/>
              </w:rPr>
            </w:pPr>
            <w:r>
              <w:t xml:space="preserve">LS is not needed for the </w:t>
            </w:r>
            <w:r w:rsidR="009018CF">
              <w:t>‘</w:t>
            </w:r>
            <w:r>
              <w:t>stop</w:t>
            </w:r>
            <w:r w:rsidR="009018CF">
              <w:t>’</w:t>
            </w:r>
            <w:r>
              <w:t xml:space="preserve"> codepoint. Such question can be raised by company contribution in SA2 if needed.</w:t>
            </w:r>
          </w:p>
        </w:tc>
      </w:tr>
      <w:tr w:rsidR="009018CF" w14:paraId="6F80BBE8" w14:textId="77777777">
        <w:tc>
          <w:tcPr>
            <w:tcW w:w="3068" w:type="dxa"/>
          </w:tcPr>
          <w:p w14:paraId="5EC0626D" w14:textId="1870D7DA" w:rsidR="009018CF" w:rsidRDefault="009018CF">
            <w:r>
              <w:t>Verizon</w:t>
            </w:r>
          </w:p>
        </w:tc>
        <w:tc>
          <w:tcPr>
            <w:tcW w:w="3068" w:type="dxa"/>
          </w:tcPr>
          <w:p w14:paraId="158CCD7C" w14:textId="086F37F3" w:rsidR="009018CF" w:rsidRDefault="009018CF">
            <w:pPr>
              <w:rPr>
                <w:rFonts w:asciiTheme="minorEastAsia" w:eastAsiaTheme="minorEastAsia" w:hAnsiTheme="minorEastAsia"/>
                <w:lang w:eastAsia="zh-CN"/>
              </w:rPr>
            </w:pPr>
            <w:r>
              <w:rPr>
                <w:rFonts w:asciiTheme="minorEastAsia" w:eastAsiaTheme="minorEastAsia" w:hAnsiTheme="minorEastAsia"/>
                <w:lang w:eastAsia="zh-CN"/>
              </w:rPr>
              <w:t>Yes</w:t>
            </w:r>
          </w:p>
        </w:tc>
        <w:tc>
          <w:tcPr>
            <w:tcW w:w="3069" w:type="dxa"/>
          </w:tcPr>
          <w:p w14:paraId="55B3D860" w14:textId="77777777" w:rsidR="009018CF" w:rsidRDefault="009018CF"/>
        </w:tc>
        <w:bookmarkStart w:id="3" w:name="_GoBack"/>
        <w:bookmarkEnd w:id="3"/>
      </w:tr>
      <w:tr w:rsidR="00056304" w14:paraId="15BD5073" w14:textId="77777777">
        <w:tc>
          <w:tcPr>
            <w:tcW w:w="3068" w:type="dxa"/>
          </w:tcPr>
          <w:p w14:paraId="58DB6EAD" w14:textId="72601616" w:rsidR="00056304" w:rsidRDefault="00056304">
            <w:r>
              <w:t>Samsung</w:t>
            </w:r>
          </w:p>
        </w:tc>
        <w:tc>
          <w:tcPr>
            <w:tcW w:w="3068" w:type="dxa"/>
          </w:tcPr>
          <w:p w14:paraId="7531D316" w14:textId="09A8AAB4" w:rsidR="00056304" w:rsidRDefault="00056304">
            <w:pPr>
              <w:rPr>
                <w:rFonts w:asciiTheme="minorEastAsia" w:eastAsiaTheme="minorEastAsia" w:hAnsiTheme="minorEastAsia"/>
                <w:lang w:eastAsia="zh-CN"/>
              </w:rPr>
            </w:pPr>
            <w:r>
              <w:rPr>
                <w:rFonts w:asciiTheme="minorEastAsia" w:eastAsiaTheme="minorEastAsia" w:hAnsiTheme="minorEastAsia"/>
                <w:lang w:eastAsia="zh-CN"/>
              </w:rPr>
              <w:t>Yes</w:t>
            </w:r>
          </w:p>
        </w:tc>
        <w:tc>
          <w:tcPr>
            <w:tcW w:w="3069" w:type="dxa"/>
          </w:tcPr>
          <w:p w14:paraId="137BF6F2" w14:textId="23612EC3" w:rsidR="00056304" w:rsidRDefault="00A43346">
            <w:r>
              <w:t>As the QoS measurement reporting is confi</w:t>
            </w:r>
            <w:r w:rsidR="008B4755">
              <w:t xml:space="preserve">gured by CN, </w:t>
            </w:r>
            <w:r>
              <w:t xml:space="preserve">LS </w:t>
            </w:r>
            <w:r w:rsidR="008B4755">
              <w:t xml:space="preserve">is needed </w:t>
            </w:r>
            <w:r>
              <w:t>to</w:t>
            </w:r>
            <w:r w:rsidR="00270691">
              <w:t xml:space="preserve"> send to</w:t>
            </w:r>
            <w:r w:rsidR="00114C05">
              <w:t xml:space="preserve"> SA</w:t>
            </w:r>
            <w:r w:rsidR="00C91E8F">
              <w:t>2</w:t>
            </w:r>
            <w:r w:rsidR="00114C05">
              <w:t>.</w:t>
            </w:r>
          </w:p>
        </w:tc>
      </w:tr>
    </w:tbl>
    <w:p w14:paraId="1C02DCAD" w14:textId="77777777" w:rsidR="008B14D7" w:rsidRDefault="008B14D7"/>
    <w:p w14:paraId="34D889ED" w14:textId="77777777" w:rsidR="008B14D7" w:rsidRDefault="00D74A20">
      <w:pPr>
        <w:pStyle w:val="Heading2"/>
        <w:rPr>
          <w:bCs/>
        </w:rPr>
      </w:pPr>
      <w:r>
        <w:rPr>
          <w:bCs/>
        </w:rPr>
        <w:t>Indication of support for UE delay measurements</w:t>
      </w:r>
    </w:p>
    <w:p w14:paraId="723021F6" w14:textId="77777777" w:rsidR="008B14D7" w:rsidRDefault="00D74A20">
      <w:r>
        <w:t xml:space="preserve">In [2], [3] and[4] the problem of how to indicate to the UPF that the UE part of the delay measurement (D1 delay) is missing or is present in the reported measurements is described. </w:t>
      </w:r>
    </w:p>
    <w:p w14:paraId="3B93C48B" w14:textId="77777777" w:rsidR="008B14D7" w:rsidRDefault="00D74A20">
      <w:r>
        <w:t>These papers propose to add an indication over the UP of whether the D1 delay measurement is present or not, based on the UE capabilities of the UE, i.e. based on whether the UE is capable of providing the D1 measurement or not.</w:t>
      </w:r>
    </w:p>
    <w:p w14:paraId="2EE7CACF" w14:textId="77777777" w:rsidR="008B14D7" w:rsidRDefault="00D74A20">
      <w:pPr>
        <w:rPr>
          <w:b/>
          <w:bCs/>
        </w:rPr>
      </w:pPr>
      <w:r>
        <w:rPr>
          <w:b/>
          <w:bCs/>
        </w:rPr>
        <w:t>Proposal 1: It is proposed to agree to report a flag from NG-RAN to UPF indicating whether the D1 delay measure is included or not included in the UL delay results and to provide respective changes to TS38.415</w:t>
      </w:r>
    </w:p>
    <w:p w14:paraId="0D5C3787" w14:textId="77777777" w:rsidR="008B14D7" w:rsidRDefault="00D74A20">
      <w:r>
        <w:t xml:space="preserve">Companies are invited to provide their comments if Proposal 1 is </w:t>
      </w:r>
      <w:r>
        <w:rPr>
          <w:u w:val="single"/>
        </w:rPr>
        <w:t>not</w:t>
      </w:r>
      <w:r>
        <w:t xml:space="preserve"> agreeable</w:t>
      </w:r>
    </w:p>
    <w:p w14:paraId="25CADEBB" w14:textId="77777777" w:rsidR="008B14D7" w:rsidRDefault="008B14D7">
      <w:pPr>
        <w:rPr>
          <w:b/>
          <w:bCs/>
        </w:rPr>
      </w:pPr>
    </w:p>
    <w:tbl>
      <w:tblPr>
        <w:tblStyle w:val="TableGrid"/>
        <w:tblW w:w="0" w:type="auto"/>
        <w:tblLook w:val="04A0" w:firstRow="1" w:lastRow="0" w:firstColumn="1" w:lastColumn="0" w:noHBand="0" w:noVBand="1"/>
      </w:tblPr>
      <w:tblGrid>
        <w:gridCol w:w="3068"/>
        <w:gridCol w:w="5858"/>
      </w:tblGrid>
      <w:tr w:rsidR="008B14D7" w14:paraId="73459612" w14:textId="77777777">
        <w:tc>
          <w:tcPr>
            <w:tcW w:w="3068" w:type="dxa"/>
          </w:tcPr>
          <w:p w14:paraId="72CF779C" w14:textId="77777777" w:rsidR="008B14D7" w:rsidRDefault="00D74A20">
            <w:pPr>
              <w:rPr>
                <w:b/>
                <w:bCs/>
              </w:rPr>
            </w:pPr>
            <w:r>
              <w:rPr>
                <w:b/>
                <w:bCs/>
              </w:rPr>
              <w:t>Company</w:t>
            </w:r>
          </w:p>
        </w:tc>
        <w:tc>
          <w:tcPr>
            <w:tcW w:w="5858" w:type="dxa"/>
          </w:tcPr>
          <w:p w14:paraId="1C2C870C" w14:textId="77777777" w:rsidR="008B14D7" w:rsidRDefault="00D74A20">
            <w:pPr>
              <w:rPr>
                <w:b/>
                <w:bCs/>
              </w:rPr>
            </w:pPr>
            <w:r>
              <w:rPr>
                <w:b/>
                <w:bCs/>
              </w:rPr>
              <w:t>Comments</w:t>
            </w:r>
          </w:p>
        </w:tc>
      </w:tr>
      <w:tr w:rsidR="008B14D7" w14:paraId="50192032" w14:textId="77777777">
        <w:tc>
          <w:tcPr>
            <w:tcW w:w="3068" w:type="dxa"/>
          </w:tcPr>
          <w:p w14:paraId="4F9B3204" w14:textId="4EC1A452" w:rsidR="008B14D7" w:rsidRDefault="008B14D7"/>
        </w:tc>
        <w:tc>
          <w:tcPr>
            <w:tcW w:w="5858" w:type="dxa"/>
          </w:tcPr>
          <w:p w14:paraId="0FDA9880" w14:textId="77777777" w:rsidR="008B14D7" w:rsidRDefault="008B14D7"/>
        </w:tc>
      </w:tr>
      <w:tr w:rsidR="008B14D7" w14:paraId="35C20E50" w14:textId="77777777">
        <w:tc>
          <w:tcPr>
            <w:tcW w:w="3068" w:type="dxa"/>
          </w:tcPr>
          <w:p w14:paraId="6EF4F2C1" w14:textId="77777777" w:rsidR="008B14D7" w:rsidRDefault="008B14D7"/>
        </w:tc>
        <w:tc>
          <w:tcPr>
            <w:tcW w:w="5858" w:type="dxa"/>
          </w:tcPr>
          <w:p w14:paraId="4611D916" w14:textId="77777777" w:rsidR="008B14D7" w:rsidRDefault="008B14D7"/>
        </w:tc>
      </w:tr>
    </w:tbl>
    <w:p w14:paraId="70ABED6C" w14:textId="77777777" w:rsidR="008B14D7" w:rsidRDefault="00D74A20">
      <w:pPr>
        <w:pStyle w:val="Heading2"/>
      </w:pPr>
      <w:r>
        <w:lastRenderedPageBreak/>
        <w:t>Use of measurement reporting frequency</w:t>
      </w:r>
    </w:p>
    <w:p w14:paraId="0EC04AB0" w14:textId="77777777" w:rsidR="008B14D7" w:rsidRDefault="00D74A20">
      <w:pPr>
        <w:rPr>
          <w:lang w:val="en-GB"/>
        </w:rPr>
      </w:pPr>
      <w:r>
        <w:t xml:space="preserve">RAN3 has introduced a new IE over the NG interface, the </w:t>
      </w:r>
      <w:r>
        <w:rPr>
          <w:i/>
          <w:iCs/>
          <w:lang w:val="en-GB"/>
        </w:rPr>
        <w:t xml:space="preserve">QoS Monitoring Reporting Frequency </w:t>
      </w:r>
      <w:r>
        <w:rPr>
          <w:lang w:val="en-GB"/>
        </w:rPr>
        <w:t>IE.</w:t>
      </w:r>
    </w:p>
    <w:p w14:paraId="01FDFE8F" w14:textId="77777777" w:rsidR="008B14D7" w:rsidRDefault="00D74A20">
      <w:pPr>
        <w:rPr>
          <w:lang w:val="en-GB"/>
        </w:rPr>
      </w:pPr>
      <w:r>
        <w:rPr>
          <w:lang w:val="en-GB"/>
        </w:rPr>
        <w:t>Some excerpt from 38.413 explains the function of this IE:</w:t>
      </w:r>
    </w:p>
    <w:p w14:paraId="081B6568" w14:textId="77777777" w:rsidR="008B14D7" w:rsidRDefault="00D74A20">
      <w:pPr>
        <w:rPr>
          <w:i/>
          <w:iCs/>
          <w:lang w:val="en-GB"/>
        </w:rPr>
      </w:pPr>
      <w:r>
        <w:rPr>
          <w:i/>
          <w:iCs/>
          <w:lang w:val="en-GB"/>
        </w:rPr>
        <w:t xml:space="preserve">If the QoS Monitoring Reporting Frequency IE was included in the QoS Flow Level QoS Parameters IE contained in the PDU SESSION RESOURCE SETUP REQUEST message, the NG-RAN node shall store this information and, if supported, use it </w:t>
      </w:r>
      <w:bookmarkStart w:id="4" w:name="OLE_LINK31"/>
      <w:bookmarkStart w:id="5" w:name="OLE_LINK42"/>
      <w:r>
        <w:rPr>
          <w:i/>
          <w:iCs/>
          <w:lang w:val="en-GB"/>
        </w:rPr>
        <w:t>for RAN part delay</w:t>
      </w:r>
      <w:bookmarkEnd w:id="4"/>
      <w:r>
        <w:rPr>
          <w:i/>
          <w:iCs/>
          <w:lang w:val="en-GB"/>
        </w:rPr>
        <w:t xml:space="preserve"> </w:t>
      </w:r>
      <w:r>
        <w:rPr>
          <w:i/>
          <w:iCs/>
          <w:highlight w:val="yellow"/>
          <w:lang w:val="en-GB"/>
        </w:rPr>
        <w:t>reporting</w:t>
      </w:r>
      <w:r>
        <w:rPr>
          <w:i/>
          <w:iCs/>
          <w:lang w:val="en-GB"/>
        </w:rPr>
        <w:t>.</w:t>
      </w:r>
      <w:bookmarkEnd w:id="5"/>
    </w:p>
    <w:p w14:paraId="1E0DF5C4" w14:textId="77777777" w:rsidR="008B14D7" w:rsidRDefault="008B14D7">
      <w:pPr>
        <w:rPr>
          <w:lang w:val="en-GB"/>
        </w:rPr>
      </w:pPr>
    </w:p>
    <w:p w14:paraId="189A2668" w14:textId="77777777" w:rsidR="008B14D7" w:rsidRDefault="00D74A20">
      <w:pPr>
        <w:rPr>
          <w:lang w:val="en-GB"/>
        </w:rPr>
      </w:pPr>
      <w:r>
        <w:rPr>
          <w:lang w:val="en-GB"/>
        </w:rPr>
        <w:t>[…]</w:t>
      </w:r>
    </w:p>
    <w:p w14:paraId="6CC00F93" w14:textId="77777777" w:rsidR="008B14D7" w:rsidRDefault="008B14D7"/>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77"/>
        <w:gridCol w:w="1077"/>
      </w:tblGrid>
      <w:tr w:rsidR="008B14D7" w14:paraId="315BC187" w14:textId="77777777">
        <w:trPr>
          <w:jc w:val="center"/>
        </w:trPr>
        <w:tc>
          <w:tcPr>
            <w:tcW w:w="2268" w:type="dxa"/>
          </w:tcPr>
          <w:p w14:paraId="1F226DE8" w14:textId="77777777" w:rsidR="008B14D7" w:rsidRDefault="00D74A20">
            <w:pPr>
              <w:rPr>
                <w:lang w:val="en-GB"/>
              </w:rPr>
            </w:pPr>
            <w:r>
              <w:rPr>
                <w:lang w:val="en-GB"/>
              </w:rPr>
              <w:t>QoS Monitoring Reporting Frequency</w:t>
            </w:r>
          </w:p>
        </w:tc>
        <w:tc>
          <w:tcPr>
            <w:tcW w:w="1020" w:type="dxa"/>
          </w:tcPr>
          <w:p w14:paraId="06DF23F1" w14:textId="77777777" w:rsidR="008B14D7" w:rsidRDefault="00D74A20">
            <w:pPr>
              <w:rPr>
                <w:lang w:val="en-GB"/>
              </w:rPr>
            </w:pPr>
            <w:r>
              <w:rPr>
                <w:lang w:val="en-GB"/>
              </w:rPr>
              <w:t>O</w:t>
            </w:r>
          </w:p>
        </w:tc>
        <w:tc>
          <w:tcPr>
            <w:tcW w:w="1077" w:type="dxa"/>
          </w:tcPr>
          <w:p w14:paraId="3972930B" w14:textId="77777777" w:rsidR="008B14D7" w:rsidRDefault="008B14D7">
            <w:pPr>
              <w:rPr>
                <w:i/>
                <w:lang w:val="en-GB"/>
              </w:rPr>
            </w:pPr>
          </w:p>
        </w:tc>
        <w:tc>
          <w:tcPr>
            <w:tcW w:w="1587" w:type="dxa"/>
          </w:tcPr>
          <w:p w14:paraId="7B7FD333" w14:textId="77777777" w:rsidR="008B14D7" w:rsidRDefault="00D74A20">
            <w:pPr>
              <w:rPr>
                <w:lang w:val="en-GB"/>
              </w:rPr>
            </w:pPr>
            <w:r>
              <w:rPr>
                <w:lang w:val="en-GB"/>
              </w:rPr>
              <w:t>INTEGER (1.. 1800, …)</w:t>
            </w:r>
          </w:p>
        </w:tc>
        <w:tc>
          <w:tcPr>
            <w:tcW w:w="1757" w:type="dxa"/>
          </w:tcPr>
          <w:p w14:paraId="71D6534B" w14:textId="77777777" w:rsidR="008B14D7" w:rsidRDefault="00D74A20">
            <w:pPr>
              <w:rPr>
                <w:lang w:val="en-GB"/>
              </w:rPr>
            </w:pPr>
            <w:r>
              <w:rPr>
                <w:rFonts w:hint="eastAsia"/>
                <w:lang w:val="en-GB"/>
              </w:rPr>
              <w:t>I</w:t>
            </w:r>
            <w:r>
              <w:rPr>
                <w:lang w:val="en-GB"/>
              </w:rPr>
              <w:t xml:space="preserve">ndicates the </w:t>
            </w:r>
            <w:r>
              <w:rPr>
                <w:highlight w:val="yellow"/>
                <w:lang w:val="en-GB"/>
              </w:rPr>
              <w:t>reporting frequency</w:t>
            </w:r>
            <w:r>
              <w:rPr>
                <w:lang w:val="en-GB"/>
              </w:rPr>
              <w:t xml:space="preserve"> for RAN part delay for QoS monitoring.</w:t>
            </w:r>
          </w:p>
          <w:p w14:paraId="4646698B" w14:textId="77777777" w:rsidR="008B14D7" w:rsidRDefault="00D74A20">
            <w:pPr>
              <w:rPr>
                <w:lang w:val="en-GB"/>
              </w:rPr>
            </w:pPr>
            <w:r>
              <w:rPr>
                <w:lang w:val="en-GB"/>
              </w:rPr>
              <w:t>Units: second</w:t>
            </w:r>
          </w:p>
        </w:tc>
        <w:tc>
          <w:tcPr>
            <w:tcW w:w="1077" w:type="dxa"/>
          </w:tcPr>
          <w:p w14:paraId="164BD8BC" w14:textId="77777777" w:rsidR="008B14D7" w:rsidRDefault="00D74A20">
            <w:pPr>
              <w:rPr>
                <w:lang w:val="en-GB"/>
              </w:rPr>
            </w:pPr>
            <w:r>
              <w:rPr>
                <w:lang w:val="en-GB"/>
              </w:rPr>
              <w:t>YES</w:t>
            </w:r>
          </w:p>
        </w:tc>
        <w:tc>
          <w:tcPr>
            <w:tcW w:w="1077" w:type="dxa"/>
          </w:tcPr>
          <w:p w14:paraId="76C65299" w14:textId="77777777" w:rsidR="008B14D7" w:rsidRDefault="00D74A20">
            <w:pPr>
              <w:rPr>
                <w:lang w:val="en-GB"/>
              </w:rPr>
            </w:pPr>
            <w:r>
              <w:rPr>
                <w:lang w:val="en-GB"/>
              </w:rPr>
              <w:t>ignore</w:t>
            </w:r>
          </w:p>
        </w:tc>
      </w:tr>
    </w:tbl>
    <w:p w14:paraId="281C1AF5" w14:textId="77777777" w:rsidR="008B14D7" w:rsidRDefault="008B14D7"/>
    <w:p w14:paraId="5942E459" w14:textId="77777777" w:rsidR="008B14D7" w:rsidRDefault="00D74A20">
      <w:r>
        <w:t>In an LS from SA5 in [5] the following is stated:</w:t>
      </w:r>
    </w:p>
    <w:p w14:paraId="763EFEC6" w14:textId="77777777" w:rsidR="008B14D7" w:rsidRDefault="008B14D7"/>
    <w:p w14:paraId="69C0E6F7" w14:textId="77777777" w:rsidR="008B14D7" w:rsidRDefault="00D74A20">
      <w:pPr>
        <w:rPr>
          <w:i/>
          <w:iCs/>
          <w:lang w:val="en-GB"/>
        </w:rPr>
      </w:pPr>
      <w:r>
        <w:rPr>
          <w:i/>
          <w:iCs/>
          <w:lang w:val="en-GB"/>
        </w:rPr>
        <w:t xml:space="preserve">The SMF provides the </w:t>
      </w:r>
      <w:bookmarkStart w:id="6" w:name="_Hlk62593645"/>
      <w:r>
        <w:rPr>
          <w:b/>
          <w:i/>
          <w:iCs/>
          <w:lang w:val="en-GB"/>
        </w:rPr>
        <w:t>QoS Monitoring reporting frequency IE</w:t>
      </w:r>
      <w:r>
        <w:rPr>
          <w:i/>
          <w:iCs/>
          <w:lang w:val="en-GB"/>
        </w:rPr>
        <w:t xml:space="preserve"> </w:t>
      </w:r>
      <w:bookmarkEnd w:id="6"/>
      <w:r>
        <w:rPr>
          <w:i/>
          <w:iCs/>
          <w:lang w:val="en-GB"/>
        </w:rPr>
        <w:t xml:space="preserve">to the RAN, and RAN is required to report the RAN part of delay result according to the QoS Monitoring reporting frequency. </w:t>
      </w:r>
      <w:r>
        <w:rPr>
          <w:i/>
          <w:iCs/>
          <w:highlight w:val="yellow"/>
          <w:lang w:val="en-GB"/>
        </w:rPr>
        <w:t>This reporting frequency can be used by RAN to determine the frequency with which the RAN reports to the 5GC the packet delay measurement of RAN part. The measurement period of RAN part of delay is up to RAN’s implementation.</w:t>
      </w:r>
    </w:p>
    <w:p w14:paraId="28698772" w14:textId="77777777" w:rsidR="008B14D7" w:rsidRDefault="008B14D7">
      <w:pPr>
        <w:rPr>
          <w:lang w:val="en-GB"/>
        </w:rPr>
      </w:pPr>
    </w:p>
    <w:p w14:paraId="737DE199" w14:textId="77777777" w:rsidR="008B14D7" w:rsidRDefault="00D74A20">
      <w:r>
        <w:t xml:space="preserve">From the above it is clear that the </w:t>
      </w:r>
      <w:r>
        <w:rPr>
          <w:i/>
          <w:iCs/>
        </w:rPr>
        <w:t>QoS Monitoring reporting frequency</w:t>
      </w:r>
      <w:r>
        <w:t xml:space="preserve"> IE is used by the RAN to determine the frequency with which the RAN delay measurements need to be signalled to the UPF. Namely, this IE is not meant to instruct the RAN about the frequency with which the RAN needs to perform QoS monitoring measurements.</w:t>
      </w:r>
    </w:p>
    <w:p w14:paraId="3F44ABD5" w14:textId="77777777" w:rsidR="008B14D7" w:rsidRDefault="00D74A20">
      <w:r>
        <w:t>To prove that this interpretation is correct, the LS from SA5 in [5] states that “</w:t>
      </w:r>
      <w:r>
        <w:rPr>
          <w:i/>
          <w:iCs/>
          <w:lang w:val="en-GB"/>
        </w:rPr>
        <w:t>The measurement period of RAN part of delay is up to RAN’s implementation</w:t>
      </w:r>
      <w:r>
        <w:rPr>
          <w:lang w:val="en-GB"/>
        </w:rPr>
        <w:t xml:space="preserve">”. Given that the measurement period of the RAN part of delay is up to implementation, there is no mandate posed by the reception of the </w:t>
      </w:r>
      <w:r>
        <w:rPr>
          <w:i/>
          <w:iCs/>
          <w:lang w:val="en-GB"/>
        </w:rPr>
        <w:t>Measurement Reporting Frequency</w:t>
      </w:r>
      <w:r>
        <w:rPr>
          <w:lang w:val="en-GB"/>
        </w:rPr>
        <w:t xml:space="preserve"> IE on the frequency of the delay measurements.</w:t>
      </w:r>
    </w:p>
    <w:p w14:paraId="4880F0F5" w14:textId="77777777" w:rsidR="008B14D7" w:rsidRDefault="008B14D7"/>
    <w:p w14:paraId="15A8B408" w14:textId="77777777" w:rsidR="008B14D7" w:rsidRDefault="00D74A20">
      <w:r>
        <w:t>During RAN3-110e it was explained that the decision in SA2 for which the measurement period of RAN part delay measurement is up to implementation is due to the fact that the CN is not aware of the status of the RAN and for that the CN should not request the RAN to perform measurements at a given frequency when the RAN may not be able to perform such task. The RAN could be in overload or the UE could be in poor radio conditions, hence it is up to RAN implementation to configure measurements depending on its status.</w:t>
      </w:r>
    </w:p>
    <w:p w14:paraId="040F6642" w14:textId="77777777" w:rsidR="008B14D7" w:rsidRDefault="008B14D7"/>
    <w:p w14:paraId="5DD2B32A" w14:textId="77777777" w:rsidR="008B14D7" w:rsidRDefault="00D74A20">
      <w:r>
        <w:t xml:space="preserve">In [2] and [4] it is proposed that the </w:t>
      </w:r>
      <w:r>
        <w:rPr>
          <w:i/>
          <w:iCs/>
        </w:rPr>
        <w:t xml:space="preserve">Measurement Reporting Frequency </w:t>
      </w:r>
      <w:r>
        <w:t xml:space="preserve">IE is signalled over F1 to the gNB-DU in order to allow the gNB-DU to configure delay measurements with a frequency equal or higher than the Measurement Reporting Frequency. </w:t>
      </w:r>
    </w:p>
    <w:p w14:paraId="77302D25" w14:textId="77777777" w:rsidR="008B14D7" w:rsidRDefault="00D74A20">
      <w:r>
        <w:lastRenderedPageBreak/>
        <w:t>In [3] it is proposed that, as per current RAN3 specifications and LS from SA2, the measurement frequency for packet delay is up to RAN implementation.</w:t>
      </w:r>
    </w:p>
    <w:p w14:paraId="0E40CAF2" w14:textId="77777777" w:rsidR="008B14D7" w:rsidRDefault="00D74A20">
      <w:pPr>
        <w:rPr>
          <w:b/>
          <w:bCs/>
        </w:rPr>
      </w:pPr>
      <w:r>
        <w:rPr>
          <w:b/>
          <w:bCs/>
        </w:rPr>
        <w:t>Companies are invited to express their view on whether the Measurement Reporting Frequency IE should be used to set the frequency of the measurement of RAN part delay or whether the frequency of the measurement period of RAN part delay measurement shall be left up to RAN implementation</w:t>
      </w:r>
    </w:p>
    <w:p w14:paraId="66B66BF8" w14:textId="77777777" w:rsidR="008B14D7" w:rsidRDefault="008B14D7">
      <w:pPr>
        <w:pStyle w:val="BodyText"/>
        <w:rPr>
          <w:rFonts w:asciiTheme="minorHAnsi" w:hAnsiTheme="minorHAnsi"/>
          <w:b/>
          <w:bCs/>
          <w:lang w:eastAsia="ja-JP"/>
        </w:rPr>
      </w:pPr>
    </w:p>
    <w:tbl>
      <w:tblPr>
        <w:tblStyle w:val="TableGrid"/>
        <w:tblW w:w="0" w:type="auto"/>
        <w:tblLook w:val="04A0" w:firstRow="1" w:lastRow="0" w:firstColumn="1" w:lastColumn="0" w:noHBand="0" w:noVBand="1"/>
      </w:tblPr>
      <w:tblGrid>
        <w:gridCol w:w="3068"/>
        <w:gridCol w:w="5858"/>
      </w:tblGrid>
      <w:tr w:rsidR="008B14D7" w14:paraId="5CECCCEA" w14:textId="77777777">
        <w:tc>
          <w:tcPr>
            <w:tcW w:w="3068" w:type="dxa"/>
          </w:tcPr>
          <w:p w14:paraId="7F5902EC" w14:textId="77777777" w:rsidR="008B14D7" w:rsidRDefault="00D74A20">
            <w:pPr>
              <w:rPr>
                <w:b/>
                <w:bCs/>
              </w:rPr>
            </w:pPr>
            <w:r>
              <w:rPr>
                <w:b/>
                <w:bCs/>
              </w:rPr>
              <w:t>Company</w:t>
            </w:r>
          </w:p>
        </w:tc>
        <w:tc>
          <w:tcPr>
            <w:tcW w:w="5858" w:type="dxa"/>
          </w:tcPr>
          <w:p w14:paraId="14D22547" w14:textId="77777777" w:rsidR="008B14D7" w:rsidRDefault="00D74A20">
            <w:pPr>
              <w:rPr>
                <w:b/>
                <w:bCs/>
              </w:rPr>
            </w:pPr>
            <w:r>
              <w:rPr>
                <w:b/>
                <w:bCs/>
              </w:rPr>
              <w:t>Comments</w:t>
            </w:r>
          </w:p>
        </w:tc>
      </w:tr>
      <w:tr w:rsidR="008B14D7" w14:paraId="3C9D7985" w14:textId="77777777">
        <w:tc>
          <w:tcPr>
            <w:tcW w:w="3068" w:type="dxa"/>
          </w:tcPr>
          <w:p w14:paraId="037E08B9" w14:textId="77777777" w:rsidR="008B14D7" w:rsidRDefault="00D74A20">
            <w:r>
              <w:t>Ericsson</w:t>
            </w:r>
          </w:p>
        </w:tc>
        <w:tc>
          <w:tcPr>
            <w:tcW w:w="5858" w:type="dxa"/>
          </w:tcPr>
          <w:p w14:paraId="15216146" w14:textId="77777777" w:rsidR="008B14D7" w:rsidRDefault="00D74A20">
            <w:r>
              <w:t>The frequency of the measurement of RAN part delay shall be left up to RAN implementation. There should not be a mandate from the CN to force the RAN to take delay measurements at a given frequency because this may lead to RAN overloads and to poor radio performance. The RAN is the best system to know its capabilities and radio conditions for the UE, hence the RAN should independently decide the measurement frequency.</w:t>
            </w:r>
          </w:p>
        </w:tc>
      </w:tr>
      <w:tr w:rsidR="008B14D7" w14:paraId="788A308F" w14:textId="77777777">
        <w:tc>
          <w:tcPr>
            <w:tcW w:w="3068" w:type="dxa"/>
          </w:tcPr>
          <w:p w14:paraId="004BBAE9" w14:textId="77777777" w:rsidR="008B14D7" w:rsidRDefault="00D74A20">
            <w:pPr>
              <w:rPr>
                <w:rFonts w:eastAsia="宋体"/>
                <w:lang w:eastAsia="zh-CN"/>
              </w:rPr>
            </w:pPr>
            <w:r>
              <w:rPr>
                <w:rFonts w:eastAsia="宋体" w:hint="eastAsia"/>
                <w:lang w:eastAsia="zh-CN"/>
              </w:rPr>
              <w:t>ZTE</w:t>
            </w:r>
          </w:p>
        </w:tc>
        <w:tc>
          <w:tcPr>
            <w:tcW w:w="5858" w:type="dxa"/>
          </w:tcPr>
          <w:p w14:paraId="744E3D14" w14:textId="77777777" w:rsidR="008B14D7" w:rsidRDefault="00D74A20">
            <w:pPr>
              <w:rPr>
                <w:rFonts w:eastAsia="宋体"/>
                <w:lang w:eastAsia="zh-CN"/>
              </w:rPr>
            </w:pPr>
            <w:r>
              <w:rPr>
                <w:rFonts w:hint="eastAsia"/>
                <w:lang w:eastAsia="zh-CN"/>
              </w:rPr>
              <w:t xml:space="preserve">According to the LS from SA5, it clearly stated that </w:t>
            </w:r>
            <w:r>
              <w:rPr>
                <w:lang w:val="en-GB"/>
              </w:rPr>
              <w:t>The measurement period of RAN part of delay is up to RAN’s implementation.</w:t>
            </w:r>
          </w:p>
        </w:tc>
      </w:tr>
      <w:tr w:rsidR="003F6D0D" w14:paraId="41E5683E" w14:textId="77777777">
        <w:tc>
          <w:tcPr>
            <w:tcW w:w="3068" w:type="dxa"/>
          </w:tcPr>
          <w:p w14:paraId="6875D5C2" w14:textId="77777777" w:rsidR="003F6D0D" w:rsidRDefault="003F6D0D">
            <w:pPr>
              <w:rPr>
                <w:rFonts w:eastAsia="宋体"/>
                <w:lang w:eastAsia="zh-CN"/>
              </w:rPr>
            </w:pPr>
            <w:r>
              <w:rPr>
                <w:rFonts w:eastAsia="宋体" w:hint="eastAsia"/>
                <w:lang w:eastAsia="zh-CN"/>
              </w:rPr>
              <w:t>H</w:t>
            </w:r>
            <w:r>
              <w:rPr>
                <w:rFonts w:eastAsia="宋体"/>
                <w:lang w:eastAsia="zh-CN"/>
              </w:rPr>
              <w:t>uawei</w:t>
            </w:r>
          </w:p>
        </w:tc>
        <w:tc>
          <w:tcPr>
            <w:tcW w:w="5858" w:type="dxa"/>
          </w:tcPr>
          <w:p w14:paraId="0B965E67" w14:textId="77777777" w:rsidR="003F6D0D" w:rsidRDefault="0090438E">
            <w:pPr>
              <w:rPr>
                <w:rFonts w:eastAsiaTheme="minorEastAsia"/>
                <w:lang w:eastAsia="zh-CN"/>
              </w:rPr>
            </w:pPr>
            <w:r>
              <w:rPr>
                <w:rFonts w:eastAsiaTheme="minorEastAsia" w:hint="eastAsia"/>
                <w:lang w:eastAsia="zh-CN"/>
              </w:rPr>
              <w:t>W</w:t>
            </w:r>
            <w:r>
              <w:rPr>
                <w:rFonts w:eastAsiaTheme="minorEastAsia"/>
                <w:lang w:eastAsia="zh-CN"/>
              </w:rPr>
              <w:t>e think that sending the reporting frequency to DU does not contradict with the statement of RAN implementation in the LS.</w:t>
            </w:r>
          </w:p>
          <w:p w14:paraId="22B0509D" w14:textId="77777777" w:rsidR="0090438E" w:rsidRDefault="0090438E" w:rsidP="0090438E">
            <w:pPr>
              <w:rPr>
                <w:rFonts w:eastAsiaTheme="minorEastAsia"/>
                <w:lang w:eastAsia="zh-CN"/>
              </w:rPr>
            </w:pPr>
            <w:r>
              <w:rPr>
                <w:rFonts w:eastAsiaTheme="minorEastAsia"/>
                <w:lang w:eastAsia="zh-CN"/>
              </w:rPr>
              <w:t>If RAN likes, it may set a higher measurement frequency than the reporting frequency from AMF. So that a latest sample canbe available in RAN before each reporting period.</w:t>
            </w:r>
          </w:p>
          <w:p w14:paraId="61115D8A" w14:textId="77777777" w:rsidR="0090438E" w:rsidRDefault="0090438E" w:rsidP="0090438E">
            <w:pPr>
              <w:rPr>
                <w:rFonts w:eastAsiaTheme="minorEastAsia"/>
                <w:lang w:eastAsia="zh-CN"/>
              </w:rPr>
            </w:pPr>
            <w:r>
              <w:rPr>
                <w:rFonts w:eastAsiaTheme="minorEastAsia"/>
                <w:lang w:eastAsia="zh-CN"/>
              </w:rPr>
              <w:t>And if RAN is not able to follow, it may also set its measurement frequency as per its real load/resource situation.</w:t>
            </w:r>
          </w:p>
          <w:p w14:paraId="723E7469" w14:textId="77777777" w:rsidR="0090438E" w:rsidRDefault="0090438E" w:rsidP="0090438E">
            <w:pPr>
              <w:rPr>
                <w:rFonts w:eastAsiaTheme="minorEastAsia"/>
                <w:lang w:eastAsia="zh-CN"/>
              </w:rPr>
            </w:pPr>
            <w:r>
              <w:rPr>
                <w:rFonts w:eastAsiaTheme="minorEastAsia"/>
                <w:lang w:eastAsia="zh-CN"/>
              </w:rPr>
              <w:t>IN our spec</w:t>
            </w:r>
            <w:r>
              <w:rPr>
                <w:rFonts w:eastAsiaTheme="minorEastAsia" w:hint="eastAsia"/>
                <w:lang w:eastAsia="zh-CN"/>
              </w:rPr>
              <w:t>，</w:t>
            </w:r>
            <w:r>
              <w:rPr>
                <w:rFonts w:eastAsiaTheme="minorEastAsia"/>
                <w:lang w:eastAsia="zh-CN"/>
              </w:rPr>
              <w:t>we only say that the RAN/DU shall use the reporting frequency as per TS 23.501.</w:t>
            </w:r>
          </w:p>
          <w:p w14:paraId="6104D4F5" w14:textId="77777777" w:rsidR="0090438E" w:rsidRDefault="0090438E" w:rsidP="0090438E">
            <w:pPr>
              <w:rPr>
                <w:rFonts w:eastAsiaTheme="minorEastAsia"/>
                <w:lang w:eastAsia="zh-CN"/>
              </w:rPr>
            </w:pPr>
            <w:r>
              <w:rPr>
                <w:rFonts w:eastAsiaTheme="minorEastAsia" w:hint="eastAsia"/>
                <w:lang w:eastAsia="zh-CN"/>
              </w:rPr>
              <w:t>I</w:t>
            </w:r>
            <w:r>
              <w:rPr>
                <w:rFonts w:eastAsiaTheme="minorEastAsia"/>
                <w:lang w:eastAsia="zh-CN"/>
              </w:rPr>
              <w:t>s that acceptable for all?</w:t>
            </w:r>
          </w:p>
          <w:p w14:paraId="116A9BBD" w14:textId="77777777" w:rsidR="0090438E" w:rsidRPr="0090438E" w:rsidRDefault="0090438E" w:rsidP="0090438E">
            <w:pPr>
              <w:rPr>
                <w:rFonts w:eastAsiaTheme="minorEastAsia"/>
                <w:lang w:eastAsia="zh-CN"/>
              </w:rPr>
            </w:pPr>
          </w:p>
        </w:tc>
      </w:tr>
      <w:tr w:rsidR="00501FDF" w14:paraId="4A4F76FC" w14:textId="77777777">
        <w:tc>
          <w:tcPr>
            <w:tcW w:w="3068" w:type="dxa"/>
          </w:tcPr>
          <w:p w14:paraId="63894009" w14:textId="07CC03EC" w:rsidR="00501FDF" w:rsidRDefault="00501FDF">
            <w:pPr>
              <w:rPr>
                <w:rFonts w:eastAsia="宋体"/>
                <w:lang w:eastAsia="zh-CN"/>
              </w:rPr>
            </w:pPr>
            <w:r>
              <w:rPr>
                <w:rFonts w:eastAsia="宋体"/>
                <w:lang w:eastAsia="zh-CN"/>
              </w:rPr>
              <w:t>Nokia</w:t>
            </w:r>
          </w:p>
        </w:tc>
        <w:tc>
          <w:tcPr>
            <w:tcW w:w="5858" w:type="dxa"/>
          </w:tcPr>
          <w:p w14:paraId="236A9128" w14:textId="1F37D3C5" w:rsidR="00501FDF" w:rsidRDefault="00501FDF">
            <w:pPr>
              <w:rPr>
                <w:rFonts w:eastAsiaTheme="minorEastAsia"/>
                <w:lang w:eastAsia="zh-CN"/>
              </w:rPr>
            </w:pPr>
            <w:r>
              <w:rPr>
                <w:rFonts w:eastAsiaTheme="minorEastAsia"/>
                <w:lang w:eastAsia="zh-CN"/>
              </w:rPr>
              <w:t>Agree with Huawei. It was not SA2's intention that the part of the gNB (gNB-DU) that does the measurements collection should not be aware of the requested reporting period.</w:t>
            </w:r>
          </w:p>
        </w:tc>
      </w:tr>
      <w:tr w:rsidR="00056304" w14:paraId="47AC7FF0" w14:textId="77777777">
        <w:tc>
          <w:tcPr>
            <w:tcW w:w="3068" w:type="dxa"/>
          </w:tcPr>
          <w:p w14:paraId="4E6E5B6F" w14:textId="1FB2A643" w:rsidR="00056304" w:rsidRDefault="00056304">
            <w:pPr>
              <w:rPr>
                <w:rFonts w:eastAsia="宋体"/>
                <w:lang w:eastAsia="zh-CN"/>
              </w:rPr>
            </w:pPr>
            <w:r>
              <w:rPr>
                <w:rFonts w:eastAsia="宋体"/>
                <w:lang w:eastAsia="zh-CN"/>
              </w:rPr>
              <w:t>Samsung</w:t>
            </w:r>
          </w:p>
        </w:tc>
        <w:tc>
          <w:tcPr>
            <w:tcW w:w="5858" w:type="dxa"/>
          </w:tcPr>
          <w:p w14:paraId="7AB688D6" w14:textId="1A087C53" w:rsidR="00056304" w:rsidRDefault="00056304" w:rsidP="00004BA8">
            <w:pPr>
              <w:rPr>
                <w:rFonts w:eastAsiaTheme="minorEastAsia"/>
                <w:lang w:eastAsia="zh-CN"/>
              </w:rPr>
            </w:pPr>
            <w:r>
              <w:rPr>
                <w:rFonts w:eastAsiaTheme="minorEastAsia"/>
                <w:lang w:eastAsia="zh-CN"/>
              </w:rPr>
              <w:t xml:space="preserve">Agree with Huawei. </w:t>
            </w:r>
            <w:r w:rsidR="00E054C9">
              <w:rPr>
                <w:rFonts w:eastAsiaTheme="minorEastAsia"/>
                <w:lang w:eastAsia="zh-CN"/>
              </w:rPr>
              <w:t>T</w:t>
            </w:r>
            <w:r w:rsidR="00114C05">
              <w:rPr>
                <w:rFonts w:eastAsiaTheme="minorEastAsia"/>
                <w:lang w:eastAsia="zh-CN"/>
              </w:rPr>
              <w:t>he measurement frequency for RAN</w:t>
            </w:r>
            <w:r w:rsidR="002A7965">
              <w:rPr>
                <w:rFonts w:eastAsiaTheme="minorEastAsia"/>
                <w:lang w:eastAsia="zh-CN"/>
              </w:rPr>
              <w:t xml:space="preserve"> </w:t>
            </w:r>
            <w:r w:rsidR="00114C05">
              <w:rPr>
                <w:rFonts w:eastAsiaTheme="minorEastAsia"/>
                <w:lang w:eastAsia="zh-CN"/>
              </w:rPr>
              <w:t>shall be left to implementation</w:t>
            </w:r>
            <w:r w:rsidR="00800710">
              <w:rPr>
                <w:rFonts w:eastAsiaTheme="minorEastAsia"/>
                <w:lang w:eastAsia="zh-CN"/>
              </w:rPr>
              <w:t xml:space="preserve">, but </w:t>
            </w:r>
            <w:r w:rsidR="00044D03">
              <w:rPr>
                <w:rFonts w:eastAsiaTheme="minorEastAsia"/>
                <w:lang w:eastAsia="zh-CN"/>
              </w:rPr>
              <w:t>DU shall</w:t>
            </w:r>
            <w:r w:rsidR="00EF652F">
              <w:rPr>
                <w:rFonts w:eastAsiaTheme="minorEastAsia"/>
                <w:lang w:eastAsia="zh-CN"/>
              </w:rPr>
              <w:t xml:space="preserve"> report </w:t>
            </w:r>
            <w:r w:rsidR="00800710">
              <w:rPr>
                <w:rFonts w:eastAsiaTheme="minorEastAsia"/>
                <w:lang w:eastAsia="zh-CN"/>
              </w:rPr>
              <w:t xml:space="preserve">the result </w:t>
            </w:r>
            <w:r w:rsidR="00EF652F">
              <w:rPr>
                <w:rFonts w:eastAsiaTheme="minorEastAsia"/>
                <w:lang w:eastAsia="zh-CN"/>
              </w:rPr>
              <w:t xml:space="preserve">based on </w:t>
            </w:r>
            <w:r w:rsidR="00800710">
              <w:rPr>
                <w:rFonts w:eastAsiaTheme="minorEastAsia"/>
                <w:lang w:eastAsia="zh-CN"/>
              </w:rPr>
              <w:t>requested reporting frequency</w:t>
            </w:r>
            <w:r w:rsidR="00044D03">
              <w:rPr>
                <w:rFonts w:eastAsiaTheme="minorEastAsia"/>
                <w:lang w:eastAsia="zh-CN"/>
              </w:rPr>
              <w:t xml:space="preserve"> to CU, </w:t>
            </w:r>
            <w:r w:rsidR="00004BA8">
              <w:rPr>
                <w:rFonts w:eastAsiaTheme="minorEastAsia"/>
                <w:lang w:eastAsia="zh-CN"/>
              </w:rPr>
              <w:t xml:space="preserve">which is </w:t>
            </w:r>
            <w:r w:rsidR="00044D03">
              <w:rPr>
                <w:rFonts w:eastAsiaTheme="minorEastAsia"/>
                <w:lang w:eastAsia="zh-CN"/>
              </w:rPr>
              <w:t xml:space="preserve">beneficial for CU to collect the </w:t>
            </w:r>
            <w:r w:rsidR="00004BA8">
              <w:rPr>
                <w:rFonts w:eastAsiaTheme="minorEastAsia"/>
                <w:lang w:eastAsia="zh-CN"/>
              </w:rPr>
              <w:t>latest available result</w:t>
            </w:r>
            <w:r w:rsidR="00044D03">
              <w:rPr>
                <w:rFonts w:eastAsiaTheme="minorEastAsia"/>
                <w:lang w:eastAsia="zh-CN"/>
              </w:rPr>
              <w:t xml:space="preserve"> and report to CN.</w:t>
            </w:r>
          </w:p>
        </w:tc>
      </w:tr>
    </w:tbl>
    <w:p w14:paraId="18DCF069" w14:textId="77777777" w:rsidR="008B14D7" w:rsidRDefault="008B14D7">
      <w:pPr>
        <w:pStyle w:val="BodyText"/>
        <w:rPr>
          <w:rFonts w:asciiTheme="minorHAnsi" w:hAnsiTheme="minorHAnsi"/>
          <w:b/>
          <w:bCs/>
          <w:lang w:val="en-US" w:eastAsia="ja-JP"/>
        </w:rPr>
      </w:pPr>
    </w:p>
    <w:p w14:paraId="6EFFB679" w14:textId="77777777" w:rsidR="008B14D7" w:rsidRDefault="00D74A20">
      <w:pPr>
        <w:pStyle w:val="Heading1"/>
      </w:pPr>
      <w:r>
        <w:t>Conclusion, Recommendations</w:t>
      </w:r>
    </w:p>
    <w:p w14:paraId="630820FD" w14:textId="77777777" w:rsidR="008B14D7" w:rsidRDefault="008B14D7">
      <w:pPr>
        <w:pStyle w:val="Reference"/>
        <w:numPr>
          <w:ilvl w:val="0"/>
          <w:numId w:val="0"/>
        </w:numPr>
        <w:ind w:left="567" w:hanging="567"/>
        <w:rPr>
          <w:lang w:val="it-IT"/>
        </w:rPr>
      </w:pPr>
    </w:p>
    <w:p w14:paraId="49E66C71" w14:textId="77777777" w:rsidR="008B14D7" w:rsidRDefault="00D74A20">
      <w:pPr>
        <w:pStyle w:val="Heading1"/>
      </w:pPr>
      <w:r>
        <w:lastRenderedPageBreak/>
        <w:t>References</w:t>
      </w:r>
    </w:p>
    <w:p w14:paraId="27DAFF6C" w14:textId="77777777" w:rsidR="008B14D7" w:rsidRDefault="00D74A20">
      <w:r>
        <w:t>[1] R3-210061, Discussion on QoS monitoring control (ZTE Corporation)</w:t>
      </w:r>
    </w:p>
    <w:p w14:paraId="178599F2" w14:textId="77777777" w:rsidR="008B14D7" w:rsidRDefault="00D74A20">
      <w:r>
        <w:t xml:space="preserve">[2] R3-210269, Discussion on QoS Monitoring for URLLC (Samsung) </w:t>
      </w:r>
    </w:p>
    <w:p w14:paraId="7B6F85DE" w14:textId="77777777" w:rsidR="008B14D7" w:rsidRDefault="00D74A20">
      <w:r>
        <w:t>[3] R3-210426, QoS monitoring for URLCC (Ericsson)</w:t>
      </w:r>
    </w:p>
    <w:p w14:paraId="006F9541" w14:textId="77777777" w:rsidR="008B14D7" w:rsidRDefault="00D74A20">
      <w:r>
        <w:t xml:space="preserve">[4] R3-210434, Open issues for RAN part delay reporting for Qos monitoring for URLLC (Huawei) </w:t>
      </w:r>
    </w:p>
    <w:p w14:paraId="53BD9EFA" w14:textId="77777777" w:rsidR="008B14D7" w:rsidRDefault="00D74A20">
      <w:r>
        <w:t>[5] R3-206838, LS on Clarification on URLLC QoS Monitoring, SA2</w:t>
      </w:r>
    </w:p>
    <w:p w14:paraId="2C88B7C9" w14:textId="77777777" w:rsidR="008B14D7" w:rsidRDefault="008B14D7">
      <w:pPr>
        <w:pStyle w:val="Reference"/>
        <w:numPr>
          <w:ilvl w:val="0"/>
          <w:numId w:val="0"/>
        </w:numPr>
        <w:ind w:left="567" w:hanging="567"/>
        <w:rPr>
          <w:rFonts w:eastAsia="宋体"/>
          <w:lang w:eastAsia="zh-CN"/>
        </w:rPr>
      </w:pPr>
    </w:p>
    <w:sectPr w:rsidR="008B14D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74A0C" w14:textId="77777777" w:rsidR="006E0412" w:rsidRDefault="006E0412" w:rsidP="003F6D0D">
      <w:pPr>
        <w:spacing w:after="0"/>
      </w:pPr>
      <w:r>
        <w:separator/>
      </w:r>
    </w:p>
  </w:endnote>
  <w:endnote w:type="continuationSeparator" w:id="0">
    <w:p w14:paraId="2F4F575D" w14:textId="77777777" w:rsidR="006E0412" w:rsidRDefault="006E0412" w:rsidP="003F6D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default"/>
    <w:sig w:usb0="00000000" w:usb1="00000000" w:usb2="00000012" w:usb3="00000000" w:csb0="4002009F" w:csb1="DFD7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8D51" w14:textId="77777777" w:rsidR="006E0412" w:rsidRDefault="006E0412" w:rsidP="003F6D0D">
      <w:pPr>
        <w:spacing w:after="0"/>
      </w:pPr>
      <w:r>
        <w:separator/>
      </w:r>
    </w:p>
  </w:footnote>
  <w:footnote w:type="continuationSeparator" w:id="0">
    <w:p w14:paraId="301C623E" w14:textId="77777777" w:rsidR="006E0412" w:rsidRDefault="006E0412" w:rsidP="003F6D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4BA8"/>
    <w:rsid w:val="000068A1"/>
    <w:rsid w:val="00023C7F"/>
    <w:rsid w:val="00026CDD"/>
    <w:rsid w:val="00044D03"/>
    <w:rsid w:val="000528A3"/>
    <w:rsid w:val="00056304"/>
    <w:rsid w:val="00060095"/>
    <w:rsid w:val="0006462E"/>
    <w:rsid w:val="000713E2"/>
    <w:rsid w:val="00073664"/>
    <w:rsid w:val="00077230"/>
    <w:rsid w:val="000811F3"/>
    <w:rsid w:val="00085B6D"/>
    <w:rsid w:val="00097130"/>
    <w:rsid w:val="000A6ED3"/>
    <w:rsid w:val="000A6F7B"/>
    <w:rsid w:val="000A706F"/>
    <w:rsid w:val="000B1700"/>
    <w:rsid w:val="000B6FAD"/>
    <w:rsid w:val="000C0578"/>
    <w:rsid w:val="000C1560"/>
    <w:rsid w:val="000C5230"/>
    <w:rsid w:val="000D4412"/>
    <w:rsid w:val="000E0BBB"/>
    <w:rsid w:val="000E1E27"/>
    <w:rsid w:val="000E2F05"/>
    <w:rsid w:val="000E51FE"/>
    <w:rsid w:val="000E699D"/>
    <w:rsid w:val="000F1B6D"/>
    <w:rsid w:val="000F6588"/>
    <w:rsid w:val="00100216"/>
    <w:rsid w:val="00103B76"/>
    <w:rsid w:val="00103FD0"/>
    <w:rsid w:val="00106902"/>
    <w:rsid w:val="00114C05"/>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210DE0"/>
    <w:rsid w:val="0021521F"/>
    <w:rsid w:val="002177FD"/>
    <w:rsid w:val="0022501B"/>
    <w:rsid w:val="00225BDF"/>
    <w:rsid w:val="00226EFA"/>
    <w:rsid w:val="00234907"/>
    <w:rsid w:val="00237510"/>
    <w:rsid w:val="002427DA"/>
    <w:rsid w:val="00250B34"/>
    <w:rsid w:val="00254753"/>
    <w:rsid w:val="00254977"/>
    <w:rsid w:val="00260842"/>
    <w:rsid w:val="00262278"/>
    <w:rsid w:val="00270691"/>
    <w:rsid w:val="002722D3"/>
    <w:rsid w:val="00272BBF"/>
    <w:rsid w:val="0027342B"/>
    <w:rsid w:val="0027516B"/>
    <w:rsid w:val="002868F7"/>
    <w:rsid w:val="00286D2E"/>
    <w:rsid w:val="00291951"/>
    <w:rsid w:val="002A1D00"/>
    <w:rsid w:val="002A2265"/>
    <w:rsid w:val="002A79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3BA0"/>
    <w:rsid w:val="003F4B5D"/>
    <w:rsid w:val="003F6D0D"/>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1FDF"/>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0412"/>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56A1"/>
    <w:rsid w:val="007871A4"/>
    <w:rsid w:val="007A0BC4"/>
    <w:rsid w:val="007A5CE9"/>
    <w:rsid w:val="007A6DCB"/>
    <w:rsid w:val="007A7243"/>
    <w:rsid w:val="007C0300"/>
    <w:rsid w:val="007C08D4"/>
    <w:rsid w:val="007C53B8"/>
    <w:rsid w:val="007C5560"/>
    <w:rsid w:val="007D6512"/>
    <w:rsid w:val="007D7F65"/>
    <w:rsid w:val="007E3145"/>
    <w:rsid w:val="007F1FDD"/>
    <w:rsid w:val="007F2261"/>
    <w:rsid w:val="007F2C3A"/>
    <w:rsid w:val="007F54EE"/>
    <w:rsid w:val="007F6408"/>
    <w:rsid w:val="00800710"/>
    <w:rsid w:val="00807936"/>
    <w:rsid w:val="008145EC"/>
    <w:rsid w:val="00823831"/>
    <w:rsid w:val="00825438"/>
    <w:rsid w:val="00826896"/>
    <w:rsid w:val="008641BF"/>
    <w:rsid w:val="00871B8C"/>
    <w:rsid w:val="00874438"/>
    <w:rsid w:val="008744E4"/>
    <w:rsid w:val="008832C1"/>
    <w:rsid w:val="00886DDB"/>
    <w:rsid w:val="00893FC7"/>
    <w:rsid w:val="008A1390"/>
    <w:rsid w:val="008B14D7"/>
    <w:rsid w:val="008B221B"/>
    <w:rsid w:val="008B4755"/>
    <w:rsid w:val="008C3470"/>
    <w:rsid w:val="008D116E"/>
    <w:rsid w:val="008D3FB0"/>
    <w:rsid w:val="008D4CF4"/>
    <w:rsid w:val="008D5EE7"/>
    <w:rsid w:val="008D60D0"/>
    <w:rsid w:val="008E7DD2"/>
    <w:rsid w:val="008F1045"/>
    <w:rsid w:val="008F2D63"/>
    <w:rsid w:val="00900637"/>
    <w:rsid w:val="009018CF"/>
    <w:rsid w:val="009027D8"/>
    <w:rsid w:val="0090438E"/>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4C4B"/>
    <w:rsid w:val="009D6DDE"/>
    <w:rsid w:val="009E1EBC"/>
    <w:rsid w:val="009E2866"/>
    <w:rsid w:val="009F523A"/>
    <w:rsid w:val="009F6E28"/>
    <w:rsid w:val="00A06614"/>
    <w:rsid w:val="00A1057E"/>
    <w:rsid w:val="00A14003"/>
    <w:rsid w:val="00A26B94"/>
    <w:rsid w:val="00A33A63"/>
    <w:rsid w:val="00A36CD6"/>
    <w:rsid w:val="00A40685"/>
    <w:rsid w:val="00A43346"/>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1E8F"/>
    <w:rsid w:val="00C95162"/>
    <w:rsid w:val="00C9792F"/>
    <w:rsid w:val="00CA2744"/>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58FC"/>
    <w:rsid w:val="00D169D3"/>
    <w:rsid w:val="00D44844"/>
    <w:rsid w:val="00D463A2"/>
    <w:rsid w:val="00D46A0C"/>
    <w:rsid w:val="00D46A5B"/>
    <w:rsid w:val="00D478C7"/>
    <w:rsid w:val="00D47B89"/>
    <w:rsid w:val="00D5663D"/>
    <w:rsid w:val="00D57802"/>
    <w:rsid w:val="00D6027D"/>
    <w:rsid w:val="00D71762"/>
    <w:rsid w:val="00D7293D"/>
    <w:rsid w:val="00D74A20"/>
    <w:rsid w:val="00D90510"/>
    <w:rsid w:val="00D90AFD"/>
    <w:rsid w:val="00D90E10"/>
    <w:rsid w:val="00D92360"/>
    <w:rsid w:val="00D973D1"/>
    <w:rsid w:val="00DA5E21"/>
    <w:rsid w:val="00DB346D"/>
    <w:rsid w:val="00DC4196"/>
    <w:rsid w:val="00DC6C29"/>
    <w:rsid w:val="00DD0EFA"/>
    <w:rsid w:val="00DD2E29"/>
    <w:rsid w:val="00DF0755"/>
    <w:rsid w:val="00E043B7"/>
    <w:rsid w:val="00E054C9"/>
    <w:rsid w:val="00E101B8"/>
    <w:rsid w:val="00E1328D"/>
    <w:rsid w:val="00E136A8"/>
    <w:rsid w:val="00E15CA7"/>
    <w:rsid w:val="00E17A87"/>
    <w:rsid w:val="00E22527"/>
    <w:rsid w:val="00E23497"/>
    <w:rsid w:val="00E23F19"/>
    <w:rsid w:val="00E240CB"/>
    <w:rsid w:val="00E250A8"/>
    <w:rsid w:val="00E26801"/>
    <w:rsid w:val="00E420BA"/>
    <w:rsid w:val="00E45140"/>
    <w:rsid w:val="00E46E40"/>
    <w:rsid w:val="00E57DE3"/>
    <w:rsid w:val="00E7341B"/>
    <w:rsid w:val="00E77656"/>
    <w:rsid w:val="00E83809"/>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2CCA"/>
    <w:rsid w:val="00EF652F"/>
    <w:rsid w:val="00F04063"/>
    <w:rsid w:val="00F04E21"/>
    <w:rsid w:val="00F11627"/>
    <w:rsid w:val="00F460EC"/>
    <w:rsid w:val="00F5371A"/>
    <w:rsid w:val="00F54CE0"/>
    <w:rsid w:val="00F62554"/>
    <w:rsid w:val="00F635D4"/>
    <w:rsid w:val="00F645FA"/>
    <w:rsid w:val="00F6580A"/>
    <w:rsid w:val="00F718AE"/>
    <w:rsid w:val="00F75FAF"/>
    <w:rsid w:val="00F77170"/>
    <w:rsid w:val="00F86CEA"/>
    <w:rsid w:val="00F87000"/>
    <w:rsid w:val="00F90D5C"/>
    <w:rsid w:val="00FA46FE"/>
    <w:rsid w:val="00FB1571"/>
    <w:rsid w:val="00FB4F65"/>
    <w:rsid w:val="00FC2B0C"/>
    <w:rsid w:val="00FC304E"/>
    <w:rsid w:val="00FD0FD7"/>
    <w:rsid w:val="00FD4706"/>
    <w:rsid w:val="00FE70C0"/>
    <w:rsid w:val="4AEB13F3"/>
    <w:rsid w:val="4B793015"/>
    <w:rsid w:val="64390E99"/>
    <w:rsid w:val="714C571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EEA7A"/>
  <w15:docId w15:val="{271DE22F-313B-4BCA-A54A-E3F89B43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rPr>
      <w:rFonts w:ascii="宋体" w:eastAsia="宋体"/>
      <w:sz w:val="18"/>
      <w:szCs w:val="18"/>
    </w:rPr>
  </w:style>
  <w:style w:type="paragraph" w:styleId="BodyText">
    <w:name w:val="Body Text"/>
    <w:basedOn w:val="Normal"/>
    <w:link w:val="BodyTextChar"/>
    <w:qFormat/>
    <w:pPr>
      <w:spacing w:after="160" w:line="259" w:lineRule="auto"/>
    </w:pPr>
    <w:rPr>
      <w:rFonts w:ascii="Arial" w:eastAsiaTheme="minorHAnsi" w:hAnsi="Arial" w:cstheme="minorBidi"/>
      <w:szCs w:val="22"/>
      <w:lang w:val="en-GB" w:eastAsia="zh-CN"/>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basedOn w:val="DefaultParagraphFont"/>
  </w:style>
  <w:style w:type="character" w:customStyle="1" w:styleId="DocumentMapChar">
    <w:name w:val="Document Map Char"/>
    <w:basedOn w:val="DefaultParagraphFont"/>
    <w:link w:val="DocumentMap"/>
    <w:rPr>
      <w:rFonts w:ascii="宋体" w:eastAsia="宋体"/>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rPr>
      <w:rFonts w:ascii="Arial" w:eastAsiaTheme="minorHAnsi" w:hAnsi="Arial" w:cstheme="minorBidi"/>
      <w:sz w:val="22"/>
      <w:szCs w:val="22"/>
      <w:lang w:val="en-GB"/>
    </w:rPr>
  </w:style>
  <w:style w:type="character" w:customStyle="1" w:styleId="WW8Num28z1">
    <w:name w:val="WW8Num28z1"/>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AppData\Local\Temp\Temp1_RAN3_111-e_agenda_with_Tdocs20210126_1005.zip\Inbox\R3-210954.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5.xml><?xml version="1.0" encoding="utf-8"?>
<ds:datastoreItem xmlns:ds="http://schemas.openxmlformats.org/officeDocument/2006/customXml" ds:itemID="{153C96B3-8AE5-41DF-B468-A682248C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9</cp:revision>
  <cp:lastPrinted>2411-12-31T15:59:00Z</cp:lastPrinted>
  <dcterms:created xsi:type="dcterms:W3CDTF">2021-01-29T06:38:00Z</dcterms:created>
  <dcterms:modified xsi:type="dcterms:W3CDTF">2021-01-29T07:19:00Z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2015_ms_pID_725343">
    <vt:lpwstr>(2)VCoZ6fx6E53BOW41WZMNjOHB2jspVUWKs7OpADxw4+xE7iG42ConGTbYM+Dyb06GHGZ8Eiev
++QpDq8cwYmUAASdszlYkBCNiPtGRclbLyi528r63OQrLs7IASgDx+x5coQUOBosuv8IHMum
8t348k+3uoJveG5nm1ygIWXP2OKnMFaOk+qi2AEHw2T7vTjAmtQuz7YFV7dpL9ANQ4hOXERi
sD8+olG0f/WemvgIb1</vt:lpwstr>
  </property>
  <property fmtid="{D5CDD505-2E9C-101B-9397-08002B2CF9AE}" pid="6" name="_2015_ms_pID_7253431">
    <vt:lpwstr>z1TWUtI/peG/zQRYCcMFX+EcnfZMbnM+aDtxDl8M2TI7mv0uQeWvlV
XlJFHDF//sbiKOpcuVOTdh7RnXN7bzsF6lRNvsuKwp/PtlZk/fOo+uFjSfgXvWlDAug1zNKF
3S8DX8Q1Tp14e/EahyQz1EmKB6z/XZ1iPtj7llz6cgKGJF0vfwLVs7SuJUn8MBg2m+0uzvzt
6ByYl7EQdO1WOc7H</vt:lpwstr>
  </property>
</Properties>
</file>