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03A9" w14:textId="713A1B58" w:rsidR="000F6588" w:rsidRPr="006337A6" w:rsidRDefault="000F6588" w:rsidP="000F6588">
      <w:pPr>
        <w:widowControl w:val="0"/>
        <w:tabs>
          <w:tab w:val="right" w:pos="9639"/>
        </w:tabs>
        <w:spacing w:after="0"/>
        <w:rPr>
          <w:rFonts w:eastAsia="SimSun"/>
          <w:b/>
          <w:bCs/>
          <w:i/>
          <w:sz w:val="24"/>
          <w:lang w:eastAsia="zh-CN"/>
        </w:rPr>
      </w:pPr>
      <w:r>
        <w:rPr>
          <w:b/>
          <w:bCs/>
          <w:sz w:val="24"/>
        </w:rPr>
        <w:t>3GPP T</w:t>
      </w:r>
      <w:bookmarkStart w:id="0" w:name="_Ref452454252"/>
      <w:bookmarkEnd w:id="0"/>
      <w:r>
        <w:rPr>
          <w:b/>
          <w:bCs/>
          <w:sz w:val="24"/>
        </w:rPr>
        <w:t xml:space="preserve">SG-RAN </w:t>
      </w:r>
      <w:r>
        <w:rPr>
          <w:b/>
          <w:sz w:val="24"/>
        </w:rPr>
        <w:t>WG3 Meeting #1</w:t>
      </w:r>
      <w:r w:rsidR="000E2F05">
        <w:rPr>
          <w:rFonts w:eastAsia="SimSun" w:hint="eastAsia"/>
          <w:b/>
          <w:sz w:val="24"/>
          <w:lang w:eastAsia="zh-CN"/>
        </w:rPr>
        <w:t>10</w:t>
      </w:r>
      <w:r>
        <w:rPr>
          <w:rFonts w:eastAsia="SimSun" w:hint="eastAsia"/>
          <w:b/>
          <w:sz w:val="24"/>
          <w:lang w:eastAsia="zh-CN"/>
        </w:rPr>
        <w:t>-e</w:t>
      </w:r>
      <w:r w:rsidR="00D90E10">
        <w:rPr>
          <w:rFonts w:eastAsia="SimSun" w:hint="eastAsia"/>
          <w:b/>
          <w:bCs/>
          <w:sz w:val="24"/>
          <w:lang w:eastAsia="zh-CN"/>
        </w:rPr>
        <w:t xml:space="preserve">                                                                    </w:t>
      </w:r>
      <w:r>
        <w:rPr>
          <w:b/>
          <w:bCs/>
          <w:sz w:val="24"/>
        </w:rPr>
        <w:t>R3-</w:t>
      </w:r>
      <w:r>
        <w:rPr>
          <w:rFonts w:eastAsia="SimSun" w:hint="eastAsia"/>
          <w:b/>
          <w:bCs/>
          <w:sz w:val="24"/>
          <w:lang w:eastAsia="zh-CN"/>
        </w:rPr>
        <w:t>2</w:t>
      </w:r>
      <w:r w:rsidR="00193AF3">
        <w:rPr>
          <w:rFonts w:eastAsia="SimSun" w:hint="eastAsia"/>
          <w:b/>
          <w:bCs/>
          <w:sz w:val="24"/>
          <w:lang w:eastAsia="zh-CN"/>
        </w:rPr>
        <w:t>1</w:t>
      </w:r>
      <w:r w:rsidR="00224449">
        <w:rPr>
          <w:rFonts w:eastAsia="SimSun"/>
          <w:b/>
          <w:bCs/>
          <w:sz w:val="24"/>
          <w:lang w:eastAsia="zh-CN"/>
        </w:rPr>
        <w:t>1</w:t>
      </w:r>
      <w:r w:rsidR="00983CDC">
        <w:rPr>
          <w:rFonts w:eastAsia="SimSun"/>
          <w:b/>
          <w:bCs/>
          <w:sz w:val="24"/>
          <w:lang w:eastAsia="zh-CN"/>
        </w:rPr>
        <w:t>12</w:t>
      </w:r>
      <w:r w:rsidR="00D84255">
        <w:rPr>
          <w:rFonts w:eastAsia="SimSun"/>
          <w:b/>
          <w:bCs/>
          <w:sz w:val="24"/>
          <w:lang w:eastAsia="zh-CN"/>
        </w:rPr>
        <w:t>5</w:t>
      </w:r>
    </w:p>
    <w:p w14:paraId="738B30F9" w14:textId="77777777" w:rsidR="000F6588" w:rsidRPr="00AB40A7" w:rsidRDefault="000F6588" w:rsidP="000F6588">
      <w:pPr>
        <w:widowControl w:val="0"/>
        <w:tabs>
          <w:tab w:val="right" w:pos="9639"/>
        </w:tabs>
        <w:spacing w:after="0"/>
        <w:rPr>
          <w:rFonts w:eastAsia="SimSun"/>
          <w:b/>
          <w:sz w:val="24"/>
          <w:lang w:eastAsia="zh-CN"/>
        </w:rPr>
      </w:pPr>
      <w:bookmarkStart w:id="1" w:name="_Hlk536523677"/>
      <w:r w:rsidRPr="00A93A1C">
        <w:rPr>
          <w:b/>
          <w:sz w:val="24"/>
        </w:rPr>
        <w:t xml:space="preserve">Online, </w:t>
      </w:r>
      <w:r w:rsidR="000E2F05">
        <w:rPr>
          <w:rFonts w:eastAsia="SimSun" w:hint="eastAsia"/>
          <w:b/>
          <w:sz w:val="24"/>
          <w:lang w:eastAsia="zh-CN"/>
        </w:rPr>
        <w:t>2</w:t>
      </w:r>
      <w:r w:rsidR="00AB40A7">
        <w:rPr>
          <w:rFonts w:eastAsiaTheme="minorEastAsia" w:hint="eastAsia"/>
          <w:b/>
          <w:sz w:val="24"/>
          <w:lang w:eastAsia="zh-CN"/>
        </w:rPr>
        <w:t>5</w:t>
      </w:r>
      <w:r w:rsidR="00AB40A7" w:rsidRPr="00AB40A7">
        <w:rPr>
          <w:rFonts w:eastAsiaTheme="minorEastAsia" w:hint="eastAsia"/>
          <w:b/>
          <w:sz w:val="24"/>
          <w:vertAlign w:val="superscript"/>
          <w:lang w:eastAsia="zh-CN"/>
        </w:rPr>
        <w:t>th</w:t>
      </w:r>
      <w:r w:rsidR="00AB40A7">
        <w:rPr>
          <w:rFonts w:eastAsiaTheme="minorEastAsia" w:hint="eastAsia"/>
          <w:b/>
          <w:sz w:val="24"/>
          <w:lang w:eastAsia="zh-CN"/>
        </w:rPr>
        <w:t xml:space="preserve"> January</w:t>
      </w:r>
      <w:r w:rsidRPr="00A93A1C">
        <w:rPr>
          <w:b/>
          <w:sz w:val="24"/>
        </w:rPr>
        <w:t xml:space="preserve"> </w:t>
      </w:r>
      <w:r w:rsidR="00AB40A7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AB40A7">
        <w:rPr>
          <w:rFonts w:eastAsia="SimSun" w:hint="eastAsia"/>
          <w:b/>
          <w:sz w:val="24"/>
          <w:lang w:eastAsia="zh-CN"/>
        </w:rPr>
        <w:t>5</w:t>
      </w:r>
      <w:r w:rsidR="00AB40A7" w:rsidRPr="00AB40A7">
        <w:rPr>
          <w:rFonts w:eastAsia="SimSun" w:hint="eastAsia"/>
          <w:b/>
          <w:sz w:val="24"/>
          <w:vertAlign w:val="superscript"/>
          <w:lang w:eastAsia="zh-CN"/>
        </w:rPr>
        <w:t>th</w:t>
      </w:r>
      <w:r w:rsidR="00AB40A7">
        <w:rPr>
          <w:rFonts w:eastAsia="SimSun" w:hint="eastAsia"/>
          <w:b/>
          <w:sz w:val="24"/>
          <w:lang w:eastAsia="zh-CN"/>
        </w:rPr>
        <w:t xml:space="preserve"> </w:t>
      </w:r>
      <w:r w:rsidR="00AB40A7">
        <w:rPr>
          <w:rFonts w:eastAsiaTheme="minorEastAsia" w:hint="eastAsia"/>
          <w:b/>
          <w:sz w:val="24"/>
          <w:lang w:eastAsia="zh-CN"/>
        </w:rPr>
        <w:t>February</w:t>
      </w:r>
      <w:r w:rsidRPr="00A93A1C">
        <w:rPr>
          <w:b/>
          <w:sz w:val="24"/>
        </w:rPr>
        <w:t xml:space="preserve"> 20</w:t>
      </w:r>
      <w:bookmarkEnd w:id="1"/>
      <w:r w:rsidRPr="00A93A1C">
        <w:rPr>
          <w:b/>
          <w:sz w:val="24"/>
        </w:rPr>
        <w:t>20</w:t>
      </w:r>
    </w:p>
    <w:p w14:paraId="3DE2C4B5" w14:textId="77777777" w:rsidR="00AB40A7" w:rsidRPr="00AB40A7" w:rsidRDefault="00AB40A7" w:rsidP="00DC4196">
      <w:pPr>
        <w:pStyle w:val="3GPPHeader"/>
        <w:rPr>
          <w:rFonts w:eastAsiaTheme="minorEastAsia"/>
          <w:lang w:eastAsia="zh-CN"/>
        </w:rPr>
      </w:pPr>
    </w:p>
    <w:p w14:paraId="30153E59" w14:textId="35246CCE" w:rsidR="00953485" w:rsidRPr="00450EB2" w:rsidRDefault="00953485" w:rsidP="00953485">
      <w:pPr>
        <w:pStyle w:val="3GPPHeader"/>
      </w:pPr>
      <w:r w:rsidRPr="00450EB2">
        <w:t>Agenda Item:</w:t>
      </w:r>
      <w:r w:rsidRPr="00450EB2">
        <w:tab/>
      </w:r>
      <w:r w:rsidR="00224449">
        <w:t>9.3.8</w:t>
      </w:r>
    </w:p>
    <w:p w14:paraId="3A05A28A" w14:textId="77777777" w:rsidR="00953485" w:rsidRPr="00450EB2" w:rsidRDefault="00953485" w:rsidP="00953485">
      <w:pPr>
        <w:pStyle w:val="3GPPHeader"/>
      </w:pPr>
      <w:r w:rsidRPr="00450EB2">
        <w:t>Source:</w:t>
      </w:r>
      <w:r w:rsidRPr="00450EB2">
        <w:tab/>
        <w:t>Ericsson</w:t>
      </w:r>
    </w:p>
    <w:p w14:paraId="0539698B" w14:textId="5E7F90D3" w:rsidR="00953485" w:rsidRPr="00450EB2" w:rsidRDefault="00953485" w:rsidP="00953485">
      <w:pPr>
        <w:pStyle w:val="3GPPHeader"/>
      </w:pPr>
      <w:r w:rsidRPr="00450EB2">
        <w:t>Title:</w:t>
      </w:r>
      <w:r w:rsidRPr="00450EB2">
        <w:tab/>
      </w:r>
      <w:r>
        <w:t xml:space="preserve">Summary of Discussion for </w:t>
      </w:r>
      <w:r w:rsidR="00E657F0" w:rsidRPr="007F5961">
        <w:t>NR-NR_DCconfigRelease</w:t>
      </w:r>
    </w:p>
    <w:p w14:paraId="0692B212" w14:textId="77777777" w:rsidR="00953485" w:rsidRPr="00450EB2" w:rsidRDefault="00953485" w:rsidP="00953485">
      <w:pPr>
        <w:pStyle w:val="3GPPHeader"/>
      </w:pPr>
      <w:r w:rsidRPr="00450EB2">
        <w:t>Document for:</w:t>
      </w:r>
      <w:r w:rsidRPr="00450EB2">
        <w:tab/>
        <w:t>Discussion, Decision</w:t>
      </w:r>
    </w:p>
    <w:p w14:paraId="55D561C7" w14:textId="77777777" w:rsidR="00E250A8" w:rsidRDefault="00E250A8" w:rsidP="00E250A8">
      <w:pPr>
        <w:pStyle w:val="Heading1"/>
      </w:pPr>
      <w:r>
        <w:t>Introduction</w:t>
      </w:r>
    </w:p>
    <w:p w14:paraId="21B97166" w14:textId="00A15AC9" w:rsidR="00953485" w:rsidRDefault="00953485" w:rsidP="00953485">
      <w:pPr>
        <w:pStyle w:val="BodyText"/>
        <w:rPr>
          <w:lang w:val="en-US"/>
        </w:rPr>
      </w:pPr>
      <w:r>
        <w:rPr>
          <w:lang w:val="en-US"/>
        </w:rPr>
        <w:t xml:space="preserve">A Summary of Offline Discussions has been assigned to the topic </w:t>
      </w:r>
      <w:r w:rsidRPr="003C365A">
        <w:rPr>
          <w:lang w:val="en-US"/>
        </w:rPr>
        <w:t>of</w:t>
      </w:r>
      <w:r w:rsidR="00AF0DA4" w:rsidRPr="003C365A">
        <w:rPr>
          <w:lang w:val="en-US"/>
        </w:rPr>
        <w:t xml:space="preserve"> </w:t>
      </w:r>
      <w:r w:rsidR="00E657F0" w:rsidRPr="007F5961">
        <w:rPr>
          <w:bCs/>
          <w:lang w:val="en-US"/>
        </w:rPr>
        <w:t>NR-NR</w:t>
      </w:r>
      <w:r w:rsidR="00E657F0">
        <w:rPr>
          <w:bCs/>
          <w:lang w:val="en-US"/>
        </w:rPr>
        <w:t xml:space="preserve"> </w:t>
      </w:r>
      <w:r w:rsidR="00E657F0" w:rsidRPr="007F5961">
        <w:rPr>
          <w:bCs/>
          <w:lang w:val="en-US"/>
        </w:rPr>
        <w:t>DC</w:t>
      </w:r>
      <w:r w:rsidR="00E657F0">
        <w:rPr>
          <w:bCs/>
          <w:lang w:val="en-US"/>
        </w:rPr>
        <w:t xml:space="preserve"> </w:t>
      </w:r>
      <w:r w:rsidR="00E657F0" w:rsidRPr="007F5961">
        <w:rPr>
          <w:bCs/>
          <w:lang w:val="en-US"/>
        </w:rPr>
        <w:t>config</w:t>
      </w:r>
      <w:r w:rsidR="00E657F0">
        <w:rPr>
          <w:bCs/>
          <w:lang w:val="en-US"/>
        </w:rPr>
        <w:t xml:space="preserve">uration </w:t>
      </w:r>
      <w:r w:rsidR="00E657F0" w:rsidRPr="007F5961">
        <w:rPr>
          <w:bCs/>
          <w:lang w:val="en-US"/>
        </w:rPr>
        <w:t>Release</w:t>
      </w:r>
      <w:r>
        <w:rPr>
          <w:lang w:val="en-US"/>
        </w:rPr>
        <w:t>.</w:t>
      </w:r>
    </w:p>
    <w:p w14:paraId="62400BC7" w14:textId="1A5FB5D1" w:rsidR="00953485" w:rsidRDefault="00953485" w:rsidP="00953485">
      <w:pPr>
        <w:pStyle w:val="BodyText"/>
        <w:rPr>
          <w:lang w:val="en-US"/>
        </w:rPr>
      </w:pPr>
      <w:r>
        <w:rPr>
          <w:lang w:val="en-US"/>
        </w:rPr>
        <w:t xml:space="preserve">The discussion has been </w:t>
      </w:r>
      <w:r w:rsidR="00641B08">
        <w:rPr>
          <w:lang w:val="en-US"/>
        </w:rPr>
        <w:t>summarised</w:t>
      </w:r>
      <w:r>
        <w:rPr>
          <w:lang w:val="en-US"/>
        </w:rPr>
        <w:t xml:space="preserve"> as follows in the meeting minutes:</w:t>
      </w:r>
    </w:p>
    <w:p w14:paraId="4E10B433" w14:textId="77777777" w:rsidR="00953485" w:rsidRDefault="00953485" w:rsidP="00953485">
      <w:pPr>
        <w:pStyle w:val="BodyText"/>
        <w:rPr>
          <w:lang w:val="en-US"/>
        </w:rPr>
      </w:pPr>
    </w:p>
    <w:p w14:paraId="0C3F3305" w14:textId="77777777" w:rsidR="00E657F0" w:rsidRPr="00E657F0" w:rsidRDefault="00E657F0" w:rsidP="00E657F0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>CB: # 108_</w:t>
      </w:r>
      <w:bookmarkStart w:id="2" w:name="_Hlk62765993"/>
      <w:r w:rsidRPr="00E657F0">
        <w:rPr>
          <w:rFonts w:ascii="Calibri" w:hAnsi="Calibri" w:cs="Calibri"/>
          <w:b/>
          <w:color w:val="FF00FF"/>
          <w:sz w:val="18"/>
        </w:rPr>
        <w:t>NR-NR_DCconfigRelease</w:t>
      </w:r>
      <w:bookmarkEnd w:id="2"/>
    </w:p>
    <w:p w14:paraId="6F94EED3" w14:textId="77777777" w:rsidR="00E657F0" w:rsidRPr="00E657F0" w:rsidRDefault="00E657F0" w:rsidP="00E657F0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>- check RAN2 progress (scenario seems valid)</w:t>
      </w:r>
    </w:p>
    <w:p w14:paraId="3F9B14B5" w14:textId="77777777" w:rsidR="00E657F0" w:rsidRPr="00E657F0" w:rsidRDefault="00E657F0" w:rsidP="00E657F0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>- clarify SCG suspend/resume case, if needed</w:t>
      </w:r>
    </w:p>
    <w:p w14:paraId="3B762791" w14:textId="77777777" w:rsidR="00E657F0" w:rsidRPr="00E657F0" w:rsidRDefault="00E657F0" w:rsidP="00E657F0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>- clarify details</w:t>
      </w:r>
    </w:p>
    <w:p w14:paraId="3ED8A7EA" w14:textId="77777777" w:rsidR="00E657F0" w:rsidRPr="00E657F0" w:rsidRDefault="00E657F0" w:rsidP="00E657F0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>(E/// - moderator)</w:t>
      </w:r>
    </w:p>
    <w:p w14:paraId="36BBA58F" w14:textId="18AE855E" w:rsidR="009B3A19" w:rsidRDefault="00E657F0" w:rsidP="00E657F0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 w:rsidRPr="00E657F0">
        <w:rPr>
          <w:rFonts w:ascii="Calibri" w:hAnsi="Calibri" w:cs="Calibri"/>
          <w:b/>
          <w:color w:val="FF00FF"/>
          <w:sz w:val="18"/>
        </w:rPr>
        <w:t xml:space="preserve">Summary of offline disc </w:t>
      </w:r>
      <w:hyperlink r:id="rId11" w:history="1">
        <w:r w:rsidRPr="00E657F0">
          <w:rPr>
            <w:rStyle w:val="Hyperlink"/>
            <w:rFonts w:ascii="Calibri" w:hAnsi="Calibri" w:cs="Calibri"/>
            <w:b/>
            <w:sz w:val="18"/>
          </w:rPr>
          <w:t>R3-211125</w:t>
        </w:r>
      </w:hyperlink>
    </w:p>
    <w:p w14:paraId="2640F71F" w14:textId="5790D038" w:rsidR="00E250A8" w:rsidRDefault="005D2DBA" w:rsidP="009B3A19">
      <w:pPr>
        <w:pStyle w:val="Heading1"/>
      </w:pPr>
      <w:r>
        <w:t>For the Chairman’s Notes</w:t>
      </w:r>
    </w:p>
    <w:p w14:paraId="25551A55" w14:textId="77777777" w:rsidR="003836AD" w:rsidRPr="00EC2AB7" w:rsidRDefault="00EC2AB7" w:rsidP="001B6D6D">
      <w:pPr>
        <w:spacing w:after="240"/>
        <w:rPr>
          <w:rFonts w:eastAsia="SimSun"/>
          <w:b/>
          <w:color w:val="FF0000"/>
          <w:lang w:eastAsia="zh-CN"/>
        </w:rPr>
      </w:pPr>
      <w:r w:rsidRPr="00EC2AB7">
        <w:rPr>
          <w:rFonts w:eastAsia="SimSun" w:hint="eastAsia"/>
          <w:b/>
          <w:color w:val="FF0000"/>
          <w:lang w:eastAsia="zh-CN"/>
        </w:rPr>
        <w:t>[To be added]</w:t>
      </w:r>
    </w:p>
    <w:p w14:paraId="549A0C4D" w14:textId="4BB471D1" w:rsidR="005B757A" w:rsidRPr="005B757A" w:rsidRDefault="00EC57F9" w:rsidP="005B757A">
      <w:pPr>
        <w:pStyle w:val="Heading1"/>
      </w:pPr>
      <w:r>
        <w:t>Discussion</w:t>
      </w:r>
    </w:p>
    <w:p w14:paraId="53B530EA" w14:textId="17629591" w:rsidR="00412549" w:rsidRDefault="007B3D4C" w:rsidP="00E657F0">
      <w:r>
        <w:t xml:space="preserve">In [1] the cosourcing companies have </w:t>
      </w:r>
      <w:r w:rsidR="00E657F0">
        <w:t xml:space="preserve">described a case in which a UE is configured with dual connectivity. </w:t>
      </w:r>
    </w:p>
    <w:p w14:paraId="3C10AB53" w14:textId="596D2B55" w:rsidR="00E657F0" w:rsidRDefault="00E657F0" w:rsidP="00E657F0">
      <w:r>
        <w:t>For such configuration to take place, an MN needs to share the UE capabilities with an SN, so that both MN and SN can serve the UE</w:t>
      </w:r>
      <w:r w:rsidR="009A2800">
        <w:t>, while</w:t>
      </w:r>
      <w:r>
        <w:t xml:space="preserve"> never exceeding the overall UE’s capabilities.</w:t>
      </w:r>
    </w:p>
    <w:p w14:paraId="4E77C8D9" w14:textId="6460FDAE" w:rsidR="00E657F0" w:rsidRDefault="00E657F0" w:rsidP="00E657F0"/>
    <w:p w14:paraId="218D1127" w14:textId="77777777" w:rsidR="009A2800" w:rsidRDefault="009A2800" w:rsidP="00E657F0">
      <w:r>
        <w:t xml:space="preserve">As an example, we could focus on how MN and SN share </w:t>
      </w:r>
      <w:r w:rsidR="00E657F0">
        <w:t xml:space="preserve">band combinations. </w:t>
      </w:r>
    </w:p>
    <w:p w14:paraId="77F0D5AC" w14:textId="775DF404" w:rsidR="00E657F0" w:rsidRDefault="00E657F0" w:rsidP="00E657F0">
      <w:r>
        <w:t>Let’s assume that a UE can support two types of band combinations at the same time, e.g. BC#1 and BC#2. When an SCG want to be added for the UE, the MN gNB-DU will need to select only one of the BCs supported by the UE, so to leave “space” for the SN to also adopt one BC. We assume that the MN</w:t>
      </w:r>
      <w:r w:rsidR="009A2800">
        <w:t>-</w:t>
      </w:r>
      <w:r>
        <w:t>gNB-DU selects BC#1</w:t>
      </w:r>
      <w:r w:rsidR="009A2800">
        <w:t xml:space="preserve"> and signals it to the MN-gNB-CU by means of the </w:t>
      </w:r>
      <w:r w:rsidR="009A2800" w:rsidRPr="009A2800">
        <w:rPr>
          <w:i/>
          <w:iCs/>
        </w:rPr>
        <w:t>Selected BandCombinationIndex</w:t>
      </w:r>
      <w:r w:rsidR="009A2800">
        <w:t xml:space="preserve"> IE over the F1 interface</w:t>
      </w:r>
      <w:r>
        <w:t>.</w:t>
      </w:r>
    </w:p>
    <w:p w14:paraId="1F0B4B8C" w14:textId="6608BB99" w:rsidR="00E657F0" w:rsidRDefault="00E657F0" w:rsidP="00E657F0">
      <w:r>
        <w:t xml:space="preserve">Such choice will be signalled to the SN by means of the </w:t>
      </w:r>
      <w:r w:rsidR="00267056" w:rsidRPr="00267056">
        <w:rPr>
          <w:lang w:val="en-GB"/>
        </w:rPr>
        <w:t>allowedBC-ListMRDC</w:t>
      </w:r>
      <w:r w:rsidR="00267056" w:rsidRPr="00267056">
        <w:t xml:space="preserve"> </w:t>
      </w:r>
      <w:r>
        <w:t>(included in CG-ConfigInfo). In turn, the SN will select the remaining BC#2</w:t>
      </w:r>
      <w:r w:rsidR="00267056">
        <w:t>, which</w:t>
      </w:r>
      <w:r>
        <w:t xml:space="preserve"> the UE can support (we assume that </w:t>
      </w:r>
      <w:r>
        <w:lastRenderedPageBreak/>
        <w:t>the SN also support this BC). At this point in time the SCG can be configured at the UE</w:t>
      </w:r>
      <w:r w:rsidR="00267056">
        <w:t xml:space="preserve"> and the full UE capabilities are used in a shared way between MN and SN</w:t>
      </w:r>
      <w:r>
        <w:t>.</w:t>
      </w:r>
    </w:p>
    <w:p w14:paraId="42C196BB" w14:textId="17C05DDA" w:rsidR="00E657F0" w:rsidRDefault="00E657F0" w:rsidP="00E657F0"/>
    <w:p w14:paraId="4318984A" w14:textId="1D23260B" w:rsidR="00E657F0" w:rsidRDefault="00E657F0" w:rsidP="00E657F0">
      <w:proofErr w:type="gramStart"/>
      <w:r>
        <w:t>If</w:t>
      </w:r>
      <w:proofErr w:type="gramEnd"/>
      <w:r>
        <w:t xml:space="preserve"> however the SCG is released, the SN would stop using BC#2 at the UE. In an optimal solution the </w:t>
      </w:r>
      <w:r w:rsidR="00267056">
        <w:t>MN-gNB-DU should be informed of the</w:t>
      </w:r>
      <w:r>
        <w:t xml:space="preserve"> SCG</w:t>
      </w:r>
      <w:r w:rsidR="00267056">
        <w:t xml:space="preserve"> release</w:t>
      </w:r>
      <w:r>
        <w:t xml:space="preserve">, so that the MN can select a configuration for the UE that exploits the UE’s full capabilities. </w:t>
      </w:r>
      <w:r w:rsidR="00267056">
        <w:br/>
      </w:r>
      <w:r>
        <w:t>However, there is today no means over the F1 interface to communicate to the MN-gNB-DU that an SCG has been released and that the full capabilities of the UE can be utilized.</w:t>
      </w:r>
    </w:p>
    <w:p w14:paraId="1FF9C5E7" w14:textId="77777777" w:rsidR="000919D5" w:rsidRDefault="00E657F0" w:rsidP="00E657F0">
      <w:r>
        <w:t xml:space="preserve">During the online session it was mentioned that this topic may be handled by RAN2. Indeed, one mechanism to </w:t>
      </w:r>
      <w:r w:rsidR="000919D5">
        <w:t>convey to the MN-gNB-DU the information that the SCG has been released is to include a flag in the RRC CG-Config IE. However, we note that the CG-Config is also used to convey inter node information from the SN to the MN.</w:t>
      </w:r>
    </w:p>
    <w:p w14:paraId="27C50888" w14:textId="05D04421" w:rsidR="00267056" w:rsidRDefault="000919D5" w:rsidP="00E657F0">
      <w:r>
        <w:t>In the SN to MN signalling (e.g. over the Xn) the IEs contained in the X</w:t>
      </w:r>
      <w:r w:rsidR="00267056">
        <w:t>n</w:t>
      </w:r>
      <w:r>
        <w:t xml:space="preserve"> messages are able to inform the MN that a DRB at SN has been removed and by that it is possible to determine that the SCG has been </w:t>
      </w:r>
      <w:r w:rsidR="00267056">
        <w:t>released</w:t>
      </w:r>
      <w:r>
        <w:t xml:space="preserve">. Hence, including a flag to indicate SCG release in the CG-Config IE would duplicate information over the Xn. </w:t>
      </w:r>
      <w:r w:rsidR="00267056">
        <w:br/>
        <w:t xml:space="preserve">Also, resolving this issue at RRC level would mean to impact two specifications, 36.331 for EN-DC and 38.331 for MR-DC. </w:t>
      </w:r>
    </w:p>
    <w:p w14:paraId="73D37AEF" w14:textId="70A5E813" w:rsidR="000919D5" w:rsidRDefault="000919D5" w:rsidP="00E657F0">
      <w:r>
        <w:t>The only signalling where such SCG release indication is missing is from the MN-gNB-CU to the MN-gNB-DU, which is why we believe that adding an indication over the F1 signalling is the best option.</w:t>
      </w:r>
    </w:p>
    <w:p w14:paraId="49DD2679" w14:textId="205F9DA4" w:rsidR="00E657F0" w:rsidRDefault="000919D5" w:rsidP="00E657F0">
      <w:r>
        <w:t xml:space="preserve">During the online discussions it was also asked whether a notification of SCG release should be also signalled when an SCG is suspended. We believe this may be investigated further and it is rather an </w:t>
      </w:r>
      <w:r w:rsidR="009A2800">
        <w:t>optimization, hence not strictly needed as a Rel15/16 correction.</w:t>
      </w:r>
    </w:p>
    <w:p w14:paraId="43E032F4" w14:textId="0B0F8965" w:rsidR="00412549" w:rsidRDefault="00412549" w:rsidP="00412549"/>
    <w:p w14:paraId="3DAD04B8" w14:textId="416C25F1" w:rsidR="009444F2" w:rsidRDefault="00412549" w:rsidP="003C365A">
      <w:r>
        <w:t xml:space="preserve">With the above in mind, </w:t>
      </w:r>
      <w:r w:rsidRPr="00412549">
        <w:rPr>
          <w:b/>
          <w:bCs/>
        </w:rPr>
        <w:t xml:space="preserve">companies are invited to provide their view on </w:t>
      </w:r>
      <w:r w:rsidR="009A2800">
        <w:rPr>
          <w:b/>
          <w:bCs/>
        </w:rPr>
        <w:t>whether a solution for indication of SCG release from MN-gNB-CU to MN-gNB-DU is needed</w:t>
      </w:r>
      <w:r w:rsidRPr="00412549">
        <w:rPr>
          <w:b/>
          <w:bCs/>
        </w:rPr>
        <w:t>.</w:t>
      </w:r>
    </w:p>
    <w:p w14:paraId="0E25003E" w14:textId="3FFE8B1F" w:rsidR="00AA2E9F" w:rsidRPr="0058408D" w:rsidRDefault="00AA2E9F" w:rsidP="003C36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5999"/>
      </w:tblGrid>
      <w:tr w:rsidR="00AA2E9F" w14:paraId="73E32829" w14:textId="77777777" w:rsidTr="002177DD">
        <w:tc>
          <w:tcPr>
            <w:tcW w:w="3068" w:type="dxa"/>
          </w:tcPr>
          <w:p w14:paraId="6A778466" w14:textId="77777777" w:rsidR="00AA2E9F" w:rsidRPr="00C020F6" w:rsidRDefault="00AA2E9F" w:rsidP="002177DD">
            <w:pPr>
              <w:rPr>
                <w:b/>
                <w:bCs/>
              </w:rPr>
            </w:pPr>
            <w:r w:rsidRPr="00C020F6">
              <w:rPr>
                <w:b/>
                <w:bCs/>
              </w:rPr>
              <w:t>Company</w:t>
            </w:r>
          </w:p>
        </w:tc>
        <w:tc>
          <w:tcPr>
            <w:tcW w:w="5999" w:type="dxa"/>
          </w:tcPr>
          <w:p w14:paraId="061F2535" w14:textId="77777777" w:rsidR="00AA2E9F" w:rsidRPr="00C020F6" w:rsidRDefault="00AA2E9F" w:rsidP="002177DD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AA2E9F" w14:paraId="15E91E03" w14:textId="77777777" w:rsidTr="002177DD">
        <w:tc>
          <w:tcPr>
            <w:tcW w:w="3068" w:type="dxa"/>
          </w:tcPr>
          <w:p w14:paraId="6C8898CA" w14:textId="77777777" w:rsidR="00AA2E9F" w:rsidRDefault="00AA2E9F" w:rsidP="002177DD">
            <w:r>
              <w:t>Ericsson</w:t>
            </w:r>
          </w:p>
        </w:tc>
        <w:tc>
          <w:tcPr>
            <w:tcW w:w="5999" w:type="dxa"/>
          </w:tcPr>
          <w:p w14:paraId="5B0CD235" w14:textId="1C14673A" w:rsidR="007A790B" w:rsidRDefault="009A2800" w:rsidP="002177DD">
            <w:r>
              <w:t>Yes, a solution is needed. Not having a solution would imply that a UE will in most of the cases be served only by means of parts of its capabilities. This would lower performance substantially.</w:t>
            </w:r>
          </w:p>
        </w:tc>
      </w:tr>
      <w:tr w:rsidR="00AA2E9F" w14:paraId="6776AD32" w14:textId="77777777" w:rsidTr="002177DD">
        <w:tc>
          <w:tcPr>
            <w:tcW w:w="3068" w:type="dxa"/>
          </w:tcPr>
          <w:p w14:paraId="2B311C01" w14:textId="77777777" w:rsidR="00AA2E9F" w:rsidRDefault="00AA2E9F" w:rsidP="002177DD"/>
        </w:tc>
        <w:tc>
          <w:tcPr>
            <w:tcW w:w="5999" w:type="dxa"/>
          </w:tcPr>
          <w:p w14:paraId="160C0DB6" w14:textId="77777777" w:rsidR="00AA2E9F" w:rsidRDefault="00AA2E9F" w:rsidP="002177DD"/>
        </w:tc>
      </w:tr>
      <w:tr w:rsidR="00AA2E9F" w14:paraId="7CD6E9F7" w14:textId="77777777" w:rsidTr="002177DD">
        <w:tc>
          <w:tcPr>
            <w:tcW w:w="3068" w:type="dxa"/>
          </w:tcPr>
          <w:p w14:paraId="4EDF4C34" w14:textId="77777777" w:rsidR="00AA2E9F" w:rsidRDefault="00AA2E9F" w:rsidP="002177DD"/>
        </w:tc>
        <w:tc>
          <w:tcPr>
            <w:tcW w:w="5999" w:type="dxa"/>
          </w:tcPr>
          <w:p w14:paraId="677B3616" w14:textId="77777777" w:rsidR="00AA2E9F" w:rsidRDefault="00AA2E9F" w:rsidP="002177DD"/>
        </w:tc>
      </w:tr>
    </w:tbl>
    <w:p w14:paraId="22AE2D75" w14:textId="76EBDE46" w:rsidR="00AA2E9F" w:rsidRDefault="00AA2E9F" w:rsidP="003C365A"/>
    <w:p w14:paraId="51BB21AF" w14:textId="77777777" w:rsidR="009A2800" w:rsidRDefault="009A2800" w:rsidP="003C365A"/>
    <w:p w14:paraId="33DCB01F" w14:textId="70F500E2" w:rsidR="0020624C" w:rsidRPr="009A2800" w:rsidRDefault="00412549" w:rsidP="003C365A">
      <w:pPr>
        <w:rPr>
          <w:b/>
          <w:bCs/>
          <w:color w:val="4F81BD" w:themeColor="accent1"/>
          <w:lang w:val="en-GB"/>
        </w:rPr>
      </w:pPr>
      <w:bookmarkStart w:id="3" w:name="_Hlk61433557"/>
      <w:proofErr w:type="gramStart"/>
      <w:r w:rsidRPr="000109DC">
        <w:rPr>
          <w:b/>
          <w:bCs/>
        </w:rPr>
        <w:t>In light of</w:t>
      </w:r>
      <w:proofErr w:type="gramEnd"/>
      <w:r w:rsidRPr="000109DC">
        <w:rPr>
          <w:b/>
          <w:bCs/>
        </w:rPr>
        <w:t xml:space="preserve"> the above, companies are invited to provide their view on the </w:t>
      </w:r>
      <w:r w:rsidR="009A2800">
        <w:rPr>
          <w:b/>
          <w:bCs/>
        </w:rPr>
        <w:t>changes</w:t>
      </w:r>
      <w:r w:rsidRPr="000109DC">
        <w:rPr>
          <w:b/>
          <w:bCs/>
        </w:rPr>
        <w:t xml:space="preserve"> introduced in </w:t>
      </w:r>
      <w:r w:rsidR="000109DC" w:rsidRPr="000109DC">
        <w:rPr>
          <w:b/>
          <w:bCs/>
        </w:rPr>
        <w:t>[2]</w:t>
      </w:r>
      <w:r w:rsidR="009A2800">
        <w:rPr>
          <w:b/>
          <w:bCs/>
        </w:rPr>
        <w:t xml:space="preserve"> and whether they can be agreed </w:t>
      </w:r>
      <w:bookmarkEnd w:id="3"/>
    </w:p>
    <w:p w14:paraId="39D75E35" w14:textId="55784914" w:rsidR="0020624C" w:rsidRPr="0020624C" w:rsidRDefault="0020624C" w:rsidP="003C365A">
      <w:pPr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5999"/>
      </w:tblGrid>
      <w:tr w:rsidR="0020624C" w14:paraId="2E3E472B" w14:textId="77777777" w:rsidTr="00573DE8">
        <w:tc>
          <w:tcPr>
            <w:tcW w:w="3068" w:type="dxa"/>
          </w:tcPr>
          <w:p w14:paraId="0DA9226B" w14:textId="77777777" w:rsidR="0020624C" w:rsidRPr="00C020F6" w:rsidRDefault="0020624C" w:rsidP="00573DE8">
            <w:pPr>
              <w:rPr>
                <w:b/>
                <w:bCs/>
              </w:rPr>
            </w:pPr>
            <w:r w:rsidRPr="00C020F6">
              <w:rPr>
                <w:b/>
                <w:bCs/>
              </w:rPr>
              <w:t>Company</w:t>
            </w:r>
          </w:p>
        </w:tc>
        <w:tc>
          <w:tcPr>
            <w:tcW w:w="5999" w:type="dxa"/>
          </w:tcPr>
          <w:p w14:paraId="2C9A15AD" w14:textId="77777777" w:rsidR="0020624C" w:rsidRPr="00C020F6" w:rsidRDefault="0020624C" w:rsidP="00573DE8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20624C" w14:paraId="1D16CA0A" w14:textId="77777777" w:rsidTr="00573DE8">
        <w:tc>
          <w:tcPr>
            <w:tcW w:w="3068" w:type="dxa"/>
          </w:tcPr>
          <w:p w14:paraId="263D14BD" w14:textId="77777777" w:rsidR="0020624C" w:rsidRDefault="0020624C" w:rsidP="00573DE8">
            <w:r>
              <w:t>Ericsson</w:t>
            </w:r>
          </w:p>
        </w:tc>
        <w:tc>
          <w:tcPr>
            <w:tcW w:w="5999" w:type="dxa"/>
          </w:tcPr>
          <w:p w14:paraId="10516184" w14:textId="70CD7F0A" w:rsidR="0020624C" w:rsidRDefault="009A2800" w:rsidP="00573DE8">
            <w:r>
              <w:t>We support to agree to the changes in [2]</w:t>
            </w:r>
            <w:r w:rsidR="0020624C">
              <w:t xml:space="preserve"> </w:t>
            </w:r>
          </w:p>
        </w:tc>
      </w:tr>
      <w:tr w:rsidR="0020624C" w14:paraId="596C6566" w14:textId="77777777" w:rsidTr="00573DE8">
        <w:tc>
          <w:tcPr>
            <w:tcW w:w="3068" w:type="dxa"/>
          </w:tcPr>
          <w:p w14:paraId="0E51A73F" w14:textId="77777777" w:rsidR="0020624C" w:rsidRDefault="0020624C" w:rsidP="00573DE8"/>
        </w:tc>
        <w:tc>
          <w:tcPr>
            <w:tcW w:w="5999" w:type="dxa"/>
          </w:tcPr>
          <w:p w14:paraId="6D89C58B" w14:textId="77777777" w:rsidR="0020624C" w:rsidRDefault="0020624C" w:rsidP="00573DE8"/>
        </w:tc>
      </w:tr>
      <w:tr w:rsidR="0020624C" w14:paraId="5C5D392D" w14:textId="77777777" w:rsidTr="00573DE8">
        <w:tc>
          <w:tcPr>
            <w:tcW w:w="3068" w:type="dxa"/>
          </w:tcPr>
          <w:p w14:paraId="2E7AD64B" w14:textId="77777777" w:rsidR="0020624C" w:rsidRDefault="0020624C" w:rsidP="00573DE8"/>
        </w:tc>
        <w:tc>
          <w:tcPr>
            <w:tcW w:w="5999" w:type="dxa"/>
          </w:tcPr>
          <w:p w14:paraId="397BC5BA" w14:textId="77777777" w:rsidR="0020624C" w:rsidRDefault="0020624C" w:rsidP="00573DE8"/>
        </w:tc>
      </w:tr>
    </w:tbl>
    <w:p w14:paraId="089C5DA0" w14:textId="0CEA19BE" w:rsidR="0020624C" w:rsidRDefault="0020624C" w:rsidP="003C365A"/>
    <w:p w14:paraId="30BA558A" w14:textId="77777777" w:rsidR="003F28AD" w:rsidRPr="0020624C" w:rsidRDefault="003F28AD" w:rsidP="003C365A"/>
    <w:p w14:paraId="0D83EE08" w14:textId="77777777" w:rsidR="00EC57F9" w:rsidRDefault="00EC57F9" w:rsidP="00FD4706">
      <w:pPr>
        <w:pStyle w:val="Heading1"/>
      </w:pPr>
      <w:r>
        <w:lastRenderedPageBreak/>
        <w:t>Conclusion, Recommendations</w:t>
      </w:r>
    </w:p>
    <w:p w14:paraId="194F5ABC" w14:textId="77777777" w:rsidR="00302688" w:rsidRDefault="00302688" w:rsidP="00765804">
      <w:pPr>
        <w:pStyle w:val="Reference"/>
        <w:numPr>
          <w:ilvl w:val="0"/>
          <w:numId w:val="0"/>
        </w:numPr>
        <w:ind w:left="567" w:hanging="567"/>
        <w:rPr>
          <w:lang w:val="it-IT"/>
        </w:rPr>
      </w:pPr>
    </w:p>
    <w:p w14:paraId="406318E8" w14:textId="736AE700" w:rsidR="00FB1571" w:rsidRDefault="00FB1571" w:rsidP="00FB1571">
      <w:pPr>
        <w:pStyle w:val="Heading1"/>
      </w:pPr>
      <w:r>
        <w:t>References</w:t>
      </w:r>
    </w:p>
    <w:p w14:paraId="0C7D4FCA" w14:textId="1C8A07D8" w:rsidR="00E657F0" w:rsidRDefault="00FB1571" w:rsidP="007B3D4C">
      <w:r>
        <w:t>[1] R3-21</w:t>
      </w:r>
      <w:r w:rsidR="00A0431B">
        <w:t>0</w:t>
      </w:r>
      <w:r w:rsidR="00E657F0">
        <w:t>406</w:t>
      </w:r>
      <w:r>
        <w:t xml:space="preserve">, </w:t>
      </w:r>
      <w:r w:rsidR="00E657F0" w:rsidRPr="00E657F0">
        <w:t>How to release NR-NR DC configurations between MN-CU and MN-DU (Ericsson, Verizon Wireless)</w:t>
      </w:r>
      <w:r w:rsidR="00E657F0" w:rsidRPr="00E657F0">
        <w:t xml:space="preserve"> </w:t>
      </w:r>
    </w:p>
    <w:p w14:paraId="60A9A1BA" w14:textId="449C6F26" w:rsidR="000109DC" w:rsidRPr="00B74188" w:rsidRDefault="000109DC" w:rsidP="007B3D4C">
      <w:pPr>
        <w:rPr>
          <w:rFonts w:eastAsia="SimSun"/>
          <w:lang w:eastAsia="zh-CN"/>
        </w:rPr>
      </w:pPr>
      <w:r>
        <w:t>[2] R3-21</w:t>
      </w:r>
      <w:r w:rsidR="00E657F0">
        <w:t>0407</w:t>
      </w:r>
      <w:r>
        <w:t xml:space="preserve">, </w:t>
      </w:r>
      <w:r w:rsidR="00E657F0" w:rsidRPr="00E657F0">
        <w:t>How to release NR-NR DC configurations between MN-CU and MN-DU (Ericsson, Verizon Wireless)</w:t>
      </w:r>
    </w:p>
    <w:sectPr w:rsidR="000109DC" w:rsidRPr="00B74188" w:rsidSect="007A0BC4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083E" w14:textId="77777777" w:rsidR="00D870A0" w:rsidRDefault="00D870A0" w:rsidP="002C1F86">
      <w:pPr>
        <w:spacing w:after="0"/>
      </w:pPr>
      <w:r>
        <w:separator/>
      </w:r>
    </w:p>
  </w:endnote>
  <w:endnote w:type="continuationSeparator" w:id="0">
    <w:p w14:paraId="353B42A6" w14:textId="77777777" w:rsidR="00D870A0" w:rsidRDefault="00D870A0" w:rsidP="002C1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2492B" w14:textId="77777777" w:rsidR="00D870A0" w:rsidRDefault="00D870A0" w:rsidP="002C1F86">
      <w:pPr>
        <w:spacing w:after="0"/>
      </w:pPr>
      <w:r>
        <w:separator/>
      </w:r>
    </w:p>
  </w:footnote>
  <w:footnote w:type="continuationSeparator" w:id="0">
    <w:p w14:paraId="640EFBEC" w14:textId="77777777" w:rsidR="00D870A0" w:rsidRDefault="00D870A0" w:rsidP="002C1F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057D2"/>
    <w:multiLevelType w:val="hybridMultilevel"/>
    <w:tmpl w:val="4F524E76"/>
    <w:lvl w:ilvl="0" w:tplc="640A50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1CF"/>
    <w:multiLevelType w:val="hybridMultilevel"/>
    <w:tmpl w:val="6D00F92A"/>
    <w:lvl w:ilvl="0" w:tplc="2764B0E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0C73"/>
    <w:multiLevelType w:val="multilevel"/>
    <w:tmpl w:val="566AAC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C3AA4"/>
    <w:multiLevelType w:val="multilevel"/>
    <w:tmpl w:val="BB1EF8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0F4044"/>
    <w:multiLevelType w:val="hybridMultilevel"/>
    <w:tmpl w:val="69A4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A65"/>
    <w:multiLevelType w:val="hybridMultilevel"/>
    <w:tmpl w:val="A1DC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6DFF"/>
    <w:multiLevelType w:val="hybridMultilevel"/>
    <w:tmpl w:val="19A63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A83D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AC16D23"/>
    <w:multiLevelType w:val="hybridMultilevel"/>
    <w:tmpl w:val="670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64F86"/>
    <w:multiLevelType w:val="hybridMultilevel"/>
    <w:tmpl w:val="38A80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C22662"/>
    <w:multiLevelType w:val="hybridMultilevel"/>
    <w:tmpl w:val="DADE23E8"/>
    <w:lvl w:ilvl="0" w:tplc="CEBA2C8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D50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4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909DA"/>
    <w:multiLevelType w:val="hybridMultilevel"/>
    <w:tmpl w:val="A0BE1BF8"/>
    <w:lvl w:ilvl="0" w:tplc="6316AAA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E6AC7"/>
    <w:multiLevelType w:val="hybridMultilevel"/>
    <w:tmpl w:val="314A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64F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5DD5DFA"/>
    <w:multiLevelType w:val="hybridMultilevel"/>
    <w:tmpl w:val="3524F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80201B"/>
    <w:multiLevelType w:val="hybridMultilevel"/>
    <w:tmpl w:val="A60486CC"/>
    <w:lvl w:ilvl="0" w:tplc="50740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14"/>
  </w:num>
  <w:num w:numId="8">
    <w:abstractNumId w:val="10"/>
  </w:num>
  <w:num w:numId="9">
    <w:abstractNumId w:val="19"/>
  </w:num>
  <w:num w:numId="10">
    <w:abstractNumId w:val="8"/>
  </w:num>
  <w:num w:numId="11">
    <w:abstractNumId w:val="20"/>
  </w:num>
  <w:num w:numId="12">
    <w:abstractNumId w:val="0"/>
  </w:num>
  <w:num w:numId="13">
    <w:abstractNumId w:val="4"/>
  </w:num>
  <w:num w:numId="14">
    <w:abstractNumId w:val="11"/>
  </w:num>
  <w:num w:numId="15">
    <w:abstractNumId w:val="16"/>
  </w:num>
  <w:num w:numId="16">
    <w:abstractNumId w:val="2"/>
  </w:num>
  <w:num w:numId="17">
    <w:abstractNumId w:val="15"/>
  </w:num>
  <w:num w:numId="18">
    <w:abstractNumId w:val="3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068A1"/>
    <w:rsid w:val="000109DC"/>
    <w:rsid w:val="00023C7F"/>
    <w:rsid w:val="00026CDD"/>
    <w:rsid w:val="000528A3"/>
    <w:rsid w:val="00060095"/>
    <w:rsid w:val="0006462E"/>
    <w:rsid w:val="000713E2"/>
    <w:rsid w:val="00073664"/>
    <w:rsid w:val="00077230"/>
    <w:rsid w:val="000811F3"/>
    <w:rsid w:val="00085B6D"/>
    <w:rsid w:val="000919D5"/>
    <w:rsid w:val="00091B08"/>
    <w:rsid w:val="00097130"/>
    <w:rsid w:val="000A6ED3"/>
    <w:rsid w:val="000A6F7B"/>
    <w:rsid w:val="000A706F"/>
    <w:rsid w:val="000B1700"/>
    <w:rsid w:val="000B6FAD"/>
    <w:rsid w:val="000C0578"/>
    <w:rsid w:val="000C1560"/>
    <w:rsid w:val="000C5230"/>
    <w:rsid w:val="000D4412"/>
    <w:rsid w:val="000E1E27"/>
    <w:rsid w:val="000E2F05"/>
    <w:rsid w:val="000E51FE"/>
    <w:rsid w:val="000E699D"/>
    <w:rsid w:val="000F1B6D"/>
    <w:rsid w:val="000F6588"/>
    <w:rsid w:val="00100216"/>
    <w:rsid w:val="00103B76"/>
    <w:rsid w:val="00103FD0"/>
    <w:rsid w:val="001203D8"/>
    <w:rsid w:val="001206D2"/>
    <w:rsid w:val="00120F8D"/>
    <w:rsid w:val="0012245F"/>
    <w:rsid w:val="0013001D"/>
    <w:rsid w:val="00130A79"/>
    <w:rsid w:val="0014525B"/>
    <w:rsid w:val="001453C1"/>
    <w:rsid w:val="00153462"/>
    <w:rsid w:val="00165E1D"/>
    <w:rsid w:val="00172B67"/>
    <w:rsid w:val="001824D7"/>
    <w:rsid w:val="00191FDA"/>
    <w:rsid w:val="001920C1"/>
    <w:rsid w:val="00193AF3"/>
    <w:rsid w:val="001940B3"/>
    <w:rsid w:val="0019615E"/>
    <w:rsid w:val="001A2D65"/>
    <w:rsid w:val="001A55FE"/>
    <w:rsid w:val="001B1A86"/>
    <w:rsid w:val="001B2810"/>
    <w:rsid w:val="001B6D6D"/>
    <w:rsid w:val="001B779B"/>
    <w:rsid w:val="001D7468"/>
    <w:rsid w:val="001E5A74"/>
    <w:rsid w:val="001F1EA8"/>
    <w:rsid w:val="001F39CD"/>
    <w:rsid w:val="001F6C06"/>
    <w:rsid w:val="0020624C"/>
    <w:rsid w:val="00210DE0"/>
    <w:rsid w:val="0021521F"/>
    <w:rsid w:val="002177DD"/>
    <w:rsid w:val="002177FD"/>
    <w:rsid w:val="00224449"/>
    <w:rsid w:val="00225BDF"/>
    <w:rsid w:val="00226EFA"/>
    <w:rsid w:val="00234907"/>
    <w:rsid w:val="00237510"/>
    <w:rsid w:val="002427DA"/>
    <w:rsid w:val="00250B34"/>
    <w:rsid w:val="00254753"/>
    <w:rsid w:val="00254977"/>
    <w:rsid w:val="00260842"/>
    <w:rsid w:val="00262278"/>
    <w:rsid w:val="00267056"/>
    <w:rsid w:val="002722D3"/>
    <w:rsid w:val="00272BBF"/>
    <w:rsid w:val="0027342B"/>
    <w:rsid w:val="002868F7"/>
    <w:rsid w:val="00286D2E"/>
    <w:rsid w:val="00291951"/>
    <w:rsid w:val="002A1D00"/>
    <w:rsid w:val="002A2265"/>
    <w:rsid w:val="002B3029"/>
    <w:rsid w:val="002B536A"/>
    <w:rsid w:val="002C1F86"/>
    <w:rsid w:val="002C777A"/>
    <w:rsid w:val="002E1F8A"/>
    <w:rsid w:val="002E30FE"/>
    <w:rsid w:val="002E76EF"/>
    <w:rsid w:val="002F017E"/>
    <w:rsid w:val="00302688"/>
    <w:rsid w:val="00307D6C"/>
    <w:rsid w:val="00307F58"/>
    <w:rsid w:val="00320EC5"/>
    <w:rsid w:val="0032173B"/>
    <w:rsid w:val="00327D85"/>
    <w:rsid w:val="003307FC"/>
    <w:rsid w:val="003344F3"/>
    <w:rsid w:val="0034573A"/>
    <w:rsid w:val="00345793"/>
    <w:rsid w:val="00347E53"/>
    <w:rsid w:val="00354B98"/>
    <w:rsid w:val="0035510A"/>
    <w:rsid w:val="00361F00"/>
    <w:rsid w:val="00377216"/>
    <w:rsid w:val="0037736F"/>
    <w:rsid w:val="003836AD"/>
    <w:rsid w:val="003A41EF"/>
    <w:rsid w:val="003A54D2"/>
    <w:rsid w:val="003A79AB"/>
    <w:rsid w:val="003B163E"/>
    <w:rsid w:val="003C0E64"/>
    <w:rsid w:val="003C365A"/>
    <w:rsid w:val="003C65D7"/>
    <w:rsid w:val="003D3A36"/>
    <w:rsid w:val="003E28EB"/>
    <w:rsid w:val="003F04A6"/>
    <w:rsid w:val="003F28AD"/>
    <w:rsid w:val="003F3BA0"/>
    <w:rsid w:val="003F4B5D"/>
    <w:rsid w:val="00401012"/>
    <w:rsid w:val="004045B3"/>
    <w:rsid w:val="00410E8D"/>
    <w:rsid w:val="00412549"/>
    <w:rsid w:val="00413603"/>
    <w:rsid w:val="0041497A"/>
    <w:rsid w:val="0042082E"/>
    <w:rsid w:val="00426A80"/>
    <w:rsid w:val="00433658"/>
    <w:rsid w:val="004349E6"/>
    <w:rsid w:val="00437CD7"/>
    <w:rsid w:val="00454B26"/>
    <w:rsid w:val="00457694"/>
    <w:rsid w:val="0046268E"/>
    <w:rsid w:val="004628DF"/>
    <w:rsid w:val="004661D2"/>
    <w:rsid w:val="00474EB9"/>
    <w:rsid w:val="004769BB"/>
    <w:rsid w:val="00481C6D"/>
    <w:rsid w:val="00487384"/>
    <w:rsid w:val="00487B5C"/>
    <w:rsid w:val="004901C7"/>
    <w:rsid w:val="00492325"/>
    <w:rsid w:val="004B17C1"/>
    <w:rsid w:val="004B7470"/>
    <w:rsid w:val="004D533C"/>
    <w:rsid w:val="004E06E5"/>
    <w:rsid w:val="004E5832"/>
    <w:rsid w:val="004E6E40"/>
    <w:rsid w:val="004E6E9A"/>
    <w:rsid w:val="004F068E"/>
    <w:rsid w:val="004F1A79"/>
    <w:rsid w:val="004F2BEC"/>
    <w:rsid w:val="004F42FB"/>
    <w:rsid w:val="00502083"/>
    <w:rsid w:val="00504404"/>
    <w:rsid w:val="005073DD"/>
    <w:rsid w:val="005124C5"/>
    <w:rsid w:val="00516E46"/>
    <w:rsid w:val="00522FF6"/>
    <w:rsid w:val="00525C05"/>
    <w:rsid w:val="00526C10"/>
    <w:rsid w:val="00526FA3"/>
    <w:rsid w:val="00532684"/>
    <w:rsid w:val="0053456D"/>
    <w:rsid w:val="00534709"/>
    <w:rsid w:val="00535DEA"/>
    <w:rsid w:val="005469DD"/>
    <w:rsid w:val="00551443"/>
    <w:rsid w:val="00552672"/>
    <w:rsid w:val="005549B8"/>
    <w:rsid w:val="00556425"/>
    <w:rsid w:val="005604E7"/>
    <w:rsid w:val="005617B1"/>
    <w:rsid w:val="0056225F"/>
    <w:rsid w:val="00562607"/>
    <w:rsid w:val="00565A42"/>
    <w:rsid w:val="005809F6"/>
    <w:rsid w:val="00582714"/>
    <w:rsid w:val="0058408D"/>
    <w:rsid w:val="00584718"/>
    <w:rsid w:val="00585A8F"/>
    <w:rsid w:val="005863E7"/>
    <w:rsid w:val="00587BFF"/>
    <w:rsid w:val="005A4365"/>
    <w:rsid w:val="005A5295"/>
    <w:rsid w:val="005B43FF"/>
    <w:rsid w:val="005B66A9"/>
    <w:rsid w:val="005B757A"/>
    <w:rsid w:val="005C43AF"/>
    <w:rsid w:val="005C5CA5"/>
    <w:rsid w:val="005D2DBA"/>
    <w:rsid w:val="005D7A30"/>
    <w:rsid w:val="005E1AB1"/>
    <w:rsid w:val="005F0AAE"/>
    <w:rsid w:val="005F50CF"/>
    <w:rsid w:val="00601EA7"/>
    <w:rsid w:val="006040BD"/>
    <w:rsid w:val="00622627"/>
    <w:rsid w:val="006232DF"/>
    <w:rsid w:val="00630B9B"/>
    <w:rsid w:val="0063176C"/>
    <w:rsid w:val="006319E3"/>
    <w:rsid w:val="00641A15"/>
    <w:rsid w:val="00641B08"/>
    <w:rsid w:val="006535DD"/>
    <w:rsid w:val="00653B0D"/>
    <w:rsid w:val="00665A35"/>
    <w:rsid w:val="00666C45"/>
    <w:rsid w:val="006737CA"/>
    <w:rsid w:val="00694D1D"/>
    <w:rsid w:val="006A3A54"/>
    <w:rsid w:val="006A4516"/>
    <w:rsid w:val="006B3F0B"/>
    <w:rsid w:val="006B5B52"/>
    <w:rsid w:val="006B64A5"/>
    <w:rsid w:val="006C393B"/>
    <w:rsid w:val="006C5A2F"/>
    <w:rsid w:val="006D1688"/>
    <w:rsid w:val="006D1CC4"/>
    <w:rsid w:val="006D211F"/>
    <w:rsid w:val="006D6C40"/>
    <w:rsid w:val="006D774A"/>
    <w:rsid w:val="006E48D6"/>
    <w:rsid w:val="006E6964"/>
    <w:rsid w:val="006E6E00"/>
    <w:rsid w:val="006F0809"/>
    <w:rsid w:val="006F3DF0"/>
    <w:rsid w:val="006F70BD"/>
    <w:rsid w:val="007052E6"/>
    <w:rsid w:val="007064D1"/>
    <w:rsid w:val="00725777"/>
    <w:rsid w:val="00733B64"/>
    <w:rsid w:val="0074094A"/>
    <w:rsid w:val="00752444"/>
    <w:rsid w:val="00761D18"/>
    <w:rsid w:val="00765804"/>
    <w:rsid w:val="00780054"/>
    <w:rsid w:val="007871A4"/>
    <w:rsid w:val="007A0BC4"/>
    <w:rsid w:val="007A5CE9"/>
    <w:rsid w:val="007A6DCB"/>
    <w:rsid w:val="007A7243"/>
    <w:rsid w:val="007A790B"/>
    <w:rsid w:val="007B3D4C"/>
    <w:rsid w:val="007C0300"/>
    <w:rsid w:val="007C08D4"/>
    <w:rsid w:val="007C53B8"/>
    <w:rsid w:val="007C5560"/>
    <w:rsid w:val="007D6512"/>
    <w:rsid w:val="007D7F65"/>
    <w:rsid w:val="007E3145"/>
    <w:rsid w:val="007F00F0"/>
    <w:rsid w:val="007F2261"/>
    <w:rsid w:val="007F2C3A"/>
    <w:rsid w:val="007F6408"/>
    <w:rsid w:val="00807936"/>
    <w:rsid w:val="008145EC"/>
    <w:rsid w:val="00823831"/>
    <w:rsid w:val="00825438"/>
    <w:rsid w:val="00825AA0"/>
    <w:rsid w:val="00826896"/>
    <w:rsid w:val="008641BF"/>
    <w:rsid w:val="00871B8C"/>
    <w:rsid w:val="00874438"/>
    <w:rsid w:val="008744E4"/>
    <w:rsid w:val="008832C1"/>
    <w:rsid w:val="00886DDB"/>
    <w:rsid w:val="00893FC7"/>
    <w:rsid w:val="008A1390"/>
    <w:rsid w:val="008B221B"/>
    <w:rsid w:val="008C3299"/>
    <w:rsid w:val="008C3470"/>
    <w:rsid w:val="008D116E"/>
    <w:rsid w:val="008D3FB0"/>
    <w:rsid w:val="008D4CF4"/>
    <w:rsid w:val="008D5EE7"/>
    <w:rsid w:val="008D60D0"/>
    <w:rsid w:val="008E7DD2"/>
    <w:rsid w:val="008F1045"/>
    <w:rsid w:val="008F2D63"/>
    <w:rsid w:val="00900637"/>
    <w:rsid w:val="009027D8"/>
    <w:rsid w:val="00916EEB"/>
    <w:rsid w:val="0092537E"/>
    <w:rsid w:val="00930EE4"/>
    <w:rsid w:val="00933FC9"/>
    <w:rsid w:val="0093495A"/>
    <w:rsid w:val="009410D7"/>
    <w:rsid w:val="00942214"/>
    <w:rsid w:val="009444F2"/>
    <w:rsid w:val="00946658"/>
    <w:rsid w:val="00946939"/>
    <w:rsid w:val="009502D6"/>
    <w:rsid w:val="00953485"/>
    <w:rsid w:val="00955CF1"/>
    <w:rsid w:val="00960620"/>
    <w:rsid w:val="00967296"/>
    <w:rsid w:val="0097382B"/>
    <w:rsid w:val="009738B3"/>
    <w:rsid w:val="00976A85"/>
    <w:rsid w:val="00981CB7"/>
    <w:rsid w:val="00983CDC"/>
    <w:rsid w:val="00993E95"/>
    <w:rsid w:val="00997CC7"/>
    <w:rsid w:val="009A1130"/>
    <w:rsid w:val="009A1A3D"/>
    <w:rsid w:val="009A2800"/>
    <w:rsid w:val="009B0B09"/>
    <w:rsid w:val="009B3A19"/>
    <w:rsid w:val="009C0295"/>
    <w:rsid w:val="009D6DDE"/>
    <w:rsid w:val="009E1EBC"/>
    <w:rsid w:val="009E2866"/>
    <w:rsid w:val="009F523A"/>
    <w:rsid w:val="009F6E28"/>
    <w:rsid w:val="00A0431B"/>
    <w:rsid w:val="00A06614"/>
    <w:rsid w:val="00A1057E"/>
    <w:rsid w:val="00A14003"/>
    <w:rsid w:val="00A26B94"/>
    <w:rsid w:val="00A33A63"/>
    <w:rsid w:val="00A36CD6"/>
    <w:rsid w:val="00A40685"/>
    <w:rsid w:val="00A443E2"/>
    <w:rsid w:val="00A534E4"/>
    <w:rsid w:val="00A5395E"/>
    <w:rsid w:val="00A679F4"/>
    <w:rsid w:val="00A72DBD"/>
    <w:rsid w:val="00A80BEC"/>
    <w:rsid w:val="00A81638"/>
    <w:rsid w:val="00A83A46"/>
    <w:rsid w:val="00A863AE"/>
    <w:rsid w:val="00A9399E"/>
    <w:rsid w:val="00A967CC"/>
    <w:rsid w:val="00AA181F"/>
    <w:rsid w:val="00AA2E9F"/>
    <w:rsid w:val="00AB05D5"/>
    <w:rsid w:val="00AB40A7"/>
    <w:rsid w:val="00AC3223"/>
    <w:rsid w:val="00AC4A29"/>
    <w:rsid w:val="00AD1B47"/>
    <w:rsid w:val="00AD2F6C"/>
    <w:rsid w:val="00AD37D5"/>
    <w:rsid w:val="00AD4A2E"/>
    <w:rsid w:val="00AE2B96"/>
    <w:rsid w:val="00AE3D0F"/>
    <w:rsid w:val="00AE6FAB"/>
    <w:rsid w:val="00AE7B7A"/>
    <w:rsid w:val="00AF0DA4"/>
    <w:rsid w:val="00B013E9"/>
    <w:rsid w:val="00B15E23"/>
    <w:rsid w:val="00B32343"/>
    <w:rsid w:val="00B42F15"/>
    <w:rsid w:val="00B47036"/>
    <w:rsid w:val="00B5370F"/>
    <w:rsid w:val="00B53FFD"/>
    <w:rsid w:val="00B74188"/>
    <w:rsid w:val="00B7528D"/>
    <w:rsid w:val="00B75C4A"/>
    <w:rsid w:val="00B82B53"/>
    <w:rsid w:val="00B9695B"/>
    <w:rsid w:val="00B97C5D"/>
    <w:rsid w:val="00BA5571"/>
    <w:rsid w:val="00BA6190"/>
    <w:rsid w:val="00BB156A"/>
    <w:rsid w:val="00BC0EF9"/>
    <w:rsid w:val="00BF51A9"/>
    <w:rsid w:val="00C020F6"/>
    <w:rsid w:val="00C048A3"/>
    <w:rsid w:val="00C05C9B"/>
    <w:rsid w:val="00C0794D"/>
    <w:rsid w:val="00C12774"/>
    <w:rsid w:val="00C266AC"/>
    <w:rsid w:val="00C30FF9"/>
    <w:rsid w:val="00C33678"/>
    <w:rsid w:val="00C40517"/>
    <w:rsid w:val="00C43944"/>
    <w:rsid w:val="00C44093"/>
    <w:rsid w:val="00C45777"/>
    <w:rsid w:val="00C670AB"/>
    <w:rsid w:val="00C76522"/>
    <w:rsid w:val="00C819E0"/>
    <w:rsid w:val="00C82EC5"/>
    <w:rsid w:val="00C86756"/>
    <w:rsid w:val="00C95162"/>
    <w:rsid w:val="00C9792F"/>
    <w:rsid w:val="00CA2744"/>
    <w:rsid w:val="00CA2E17"/>
    <w:rsid w:val="00CA445C"/>
    <w:rsid w:val="00CA44A9"/>
    <w:rsid w:val="00CB180D"/>
    <w:rsid w:val="00CB31B2"/>
    <w:rsid w:val="00CB3CAE"/>
    <w:rsid w:val="00CB597C"/>
    <w:rsid w:val="00CC034D"/>
    <w:rsid w:val="00CD3AFA"/>
    <w:rsid w:val="00CE72DB"/>
    <w:rsid w:val="00CF03F6"/>
    <w:rsid w:val="00CF79C3"/>
    <w:rsid w:val="00D00680"/>
    <w:rsid w:val="00D1108A"/>
    <w:rsid w:val="00D11450"/>
    <w:rsid w:val="00D169D3"/>
    <w:rsid w:val="00D44844"/>
    <w:rsid w:val="00D463A2"/>
    <w:rsid w:val="00D46A0C"/>
    <w:rsid w:val="00D46A5B"/>
    <w:rsid w:val="00D478C7"/>
    <w:rsid w:val="00D47B89"/>
    <w:rsid w:val="00D5663D"/>
    <w:rsid w:val="00D571FE"/>
    <w:rsid w:val="00D57802"/>
    <w:rsid w:val="00D6027D"/>
    <w:rsid w:val="00D71762"/>
    <w:rsid w:val="00D7293D"/>
    <w:rsid w:val="00D72E79"/>
    <w:rsid w:val="00D75C30"/>
    <w:rsid w:val="00D84255"/>
    <w:rsid w:val="00D870A0"/>
    <w:rsid w:val="00D90510"/>
    <w:rsid w:val="00D90AFD"/>
    <w:rsid w:val="00D90E10"/>
    <w:rsid w:val="00D92360"/>
    <w:rsid w:val="00D973D1"/>
    <w:rsid w:val="00DA5E21"/>
    <w:rsid w:val="00DB346D"/>
    <w:rsid w:val="00DC4196"/>
    <w:rsid w:val="00DC6C29"/>
    <w:rsid w:val="00DD0EFA"/>
    <w:rsid w:val="00DD2E29"/>
    <w:rsid w:val="00DF0755"/>
    <w:rsid w:val="00DF40A4"/>
    <w:rsid w:val="00E043B7"/>
    <w:rsid w:val="00E101B8"/>
    <w:rsid w:val="00E1328D"/>
    <w:rsid w:val="00E136A8"/>
    <w:rsid w:val="00E15CA7"/>
    <w:rsid w:val="00E17A87"/>
    <w:rsid w:val="00E22527"/>
    <w:rsid w:val="00E23497"/>
    <w:rsid w:val="00E23F19"/>
    <w:rsid w:val="00E240CB"/>
    <w:rsid w:val="00E250A8"/>
    <w:rsid w:val="00E26801"/>
    <w:rsid w:val="00E32CE9"/>
    <w:rsid w:val="00E420BA"/>
    <w:rsid w:val="00E45140"/>
    <w:rsid w:val="00E46E40"/>
    <w:rsid w:val="00E57DE3"/>
    <w:rsid w:val="00E657F0"/>
    <w:rsid w:val="00E7341B"/>
    <w:rsid w:val="00E77656"/>
    <w:rsid w:val="00E85E30"/>
    <w:rsid w:val="00E9217E"/>
    <w:rsid w:val="00E964A2"/>
    <w:rsid w:val="00EB1C5B"/>
    <w:rsid w:val="00EB6E29"/>
    <w:rsid w:val="00EC1807"/>
    <w:rsid w:val="00EC2AB7"/>
    <w:rsid w:val="00EC57F9"/>
    <w:rsid w:val="00ED31AB"/>
    <w:rsid w:val="00ED31F2"/>
    <w:rsid w:val="00ED72F7"/>
    <w:rsid w:val="00EE0004"/>
    <w:rsid w:val="00EE0A05"/>
    <w:rsid w:val="00EE4815"/>
    <w:rsid w:val="00EF03F1"/>
    <w:rsid w:val="00EF10E9"/>
    <w:rsid w:val="00EF13B4"/>
    <w:rsid w:val="00EF73F0"/>
    <w:rsid w:val="00F04063"/>
    <w:rsid w:val="00F04E21"/>
    <w:rsid w:val="00F11627"/>
    <w:rsid w:val="00F460EC"/>
    <w:rsid w:val="00F5371A"/>
    <w:rsid w:val="00F54CE0"/>
    <w:rsid w:val="00F62554"/>
    <w:rsid w:val="00F635D4"/>
    <w:rsid w:val="00F645FA"/>
    <w:rsid w:val="00F6580A"/>
    <w:rsid w:val="00F718AE"/>
    <w:rsid w:val="00F75FAF"/>
    <w:rsid w:val="00F86CEA"/>
    <w:rsid w:val="00F87000"/>
    <w:rsid w:val="00F90D5C"/>
    <w:rsid w:val="00FA46FE"/>
    <w:rsid w:val="00FB1571"/>
    <w:rsid w:val="00FB4F65"/>
    <w:rsid w:val="00FC2B0C"/>
    <w:rsid w:val="00FC304E"/>
    <w:rsid w:val="00FC7F87"/>
    <w:rsid w:val="00FD0FD7"/>
    <w:rsid w:val="00FD4706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01C77"/>
  <w15:docId w15:val="{C7ECF672-93A8-4C0E-8EC7-2E77C89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762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01C7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GPPHeader">
    <w:name w:val="3GPP_Header"/>
    <w:basedOn w:val="Normal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Normal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qFormat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Caption">
    <w:name w:val="caption"/>
    <w:basedOn w:val="Normal"/>
    <w:next w:val="Normal"/>
    <w:unhideWhenUsed/>
    <w:qFormat/>
    <w:rsid w:val="00100216"/>
    <w:rPr>
      <w:b/>
      <w:bCs/>
      <w:sz w:val="20"/>
      <w:szCs w:val="20"/>
    </w:rPr>
  </w:style>
  <w:style w:type="character" w:styleId="Hyperlink">
    <w:name w:val="Hyperlink"/>
    <w:rsid w:val="005D2DBA"/>
    <w:rPr>
      <w:color w:val="0000FF"/>
      <w:u w:val="single"/>
    </w:rPr>
  </w:style>
  <w:style w:type="character" w:styleId="FollowedHyperlink">
    <w:name w:val="FollowedHyperlink"/>
    <w:rsid w:val="005D2DBA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C57F9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EC57F9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rsid w:val="00E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rsid w:val="002C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sid w:val="002C1F86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2C1F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2C1F86"/>
    <w:rPr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AC3223"/>
  </w:style>
  <w:style w:type="paragraph" w:styleId="DocumentMap">
    <w:name w:val="Document Map"/>
    <w:basedOn w:val="Normal"/>
    <w:link w:val="DocumentMapChar"/>
    <w:rsid w:val="003836AD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836AD"/>
    <w:rPr>
      <w:rFonts w:ascii="SimSun" w:eastAsia="SimSun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3495A"/>
    <w:pPr>
      <w:ind w:firstLineChars="200" w:firstLine="420"/>
    </w:pPr>
  </w:style>
  <w:style w:type="paragraph" w:styleId="BodyText">
    <w:name w:val="Body Text"/>
    <w:basedOn w:val="Normal"/>
    <w:link w:val="BodyTextChar"/>
    <w:rsid w:val="00953485"/>
    <w:pPr>
      <w:spacing w:after="160" w:line="259" w:lineRule="auto"/>
    </w:pPr>
    <w:rPr>
      <w:rFonts w:ascii="Arial" w:eastAsiaTheme="minorHAnsi" w:hAnsi="Arial" w:cstheme="minorBidi"/>
      <w:szCs w:val="2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53485"/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WW8Num28z1">
    <w:name w:val="WW8Num28z1"/>
    <w:rsid w:val="00C30FF9"/>
    <w:rPr>
      <w:rFonts w:ascii="Courier New" w:hAnsi="Courier New" w:cs="Courier New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3C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Inbox\R3-211125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9245A-32BE-4181-B707-AD7D3A42ED5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7F3851-6761-4DC3-AFEC-13CE9ADA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Ericsson User </cp:lastModifiedBy>
  <cp:revision>3</cp:revision>
  <cp:lastPrinted>1899-12-31T23:00:00Z</cp:lastPrinted>
  <dcterms:created xsi:type="dcterms:W3CDTF">2021-01-28T21:39:00Z</dcterms:created>
  <dcterms:modified xsi:type="dcterms:W3CDTF">2021-01-28T22:28:00Z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NSCPROP_SA">
    <vt:lpwstr>E:\3GPP Standardization\RAN3\RAN3#109-e\Drafts\CB # 1000_SONMDT_BLCRs\Draft R3-20xxxx_Summary of offline discussion on SON and MDT BLCRs.doc</vt:lpwstr>
  </property>
</Properties>
</file>