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9CCA" w14:textId="184764BF"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10</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20</w:t>
      </w:r>
      <w:r w:rsidR="0048025A">
        <w:rPr>
          <w:bCs/>
          <w:noProof w:val="0"/>
          <w:sz w:val="24"/>
          <w:szCs w:val="24"/>
        </w:rPr>
        <w:t>6</w:t>
      </w:r>
      <w:r w:rsidR="00042373">
        <w:rPr>
          <w:bCs/>
          <w:noProof w:val="0"/>
          <w:sz w:val="24"/>
          <w:szCs w:val="24"/>
        </w:rPr>
        <w:t>903</w:t>
      </w:r>
    </w:p>
    <w:p w14:paraId="1822B173" w14:textId="7EAB6FDA"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r w:rsidR="005B79D2">
        <w:rPr>
          <w:rFonts w:cs="Arial"/>
          <w:sz w:val="24"/>
          <w:szCs w:val="24"/>
          <w:lang w:val="en-US"/>
        </w:rPr>
        <w:t>2</w:t>
      </w:r>
      <w:r w:rsidR="006E6555" w:rsidRPr="006604E4">
        <w:rPr>
          <w:rFonts w:cs="Arial"/>
          <w:sz w:val="24"/>
          <w:szCs w:val="24"/>
          <w:lang w:val="en-US"/>
        </w:rPr>
        <w:t xml:space="preserve"> – </w:t>
      </w:r>
      <w:r w:rsidR="005B79D2">
        <w:rPr>
          <w:rFonts w:cs="Arial"/>
          <w:sz w:val="24"/>
          <w:szCs w:val="24"/>
          <w:lang w:val="en-US"/>
        </w:rPr>
        <w:t>12</w:t>
      </w:r>
      <w:r w:rsidR="006E6555" w:rsidRPr="006604E4">
        <w:rPr>
          <w:rFonts w:cs="Arial"/>
          <w:sz w:val="24"/>
          <w:szCs w:val="24"/>
          <w:lang w:val="en-US"/>
        </w:rPr>
        <w:t xml:space="preserve"> </w:t>
      </w:r>
      <w:r w:rsidR="005B79D2">
        <w:rPr>
          <w:rFonts w:cs="Arial"/>
          <w:sz w:val="24"/>
          <w:szCs w:val="24"/>
          <w:lang w:val="en-US"/>
        </w:rPr>
        <w:t>November</w:t>
      </w:r>
      <w:r w:rsidR="009C4D5C" w:rsidRPr="00B1063A">
        <w:rPr>
          <w:rFonts w:eastAsia="SimSun"/>
          <w:noProof w:val="0"/>
          <w:sz w:val="24"/>
          <w:szCs w:val="24"/>
          <w:lang w:val="en-US" w:eastAsia="zh-CN"/>
        </w:rPr>
        <w:t>,</w:t>
      </w:r>
      <w:r w:rsidR="005D4274" w:rsidRPr="00B1063A">
        <w:rPr>
          <w:rFonts w:eastAsia="SimSun"/>
          <w:noProof w:val="0"/>
          <w:sz w:val="24"/>
          <w:szCs w:val="24"/>
          <w:lang w:val="en-US" w:eastAsia="zh-CN"/>
        </w:rPr>
        <w:t xml:space="preserve"> </w:t>
      </w:r>
      <w:bookmarkEnd w:id="1"/>
      <w:r w:rsidR="00CD4C7B" w:rsidRPr="00B1063A">
        <w:rPr>
          <w:rFonts w:eastAsia="SimSun"/>
          <w:noProof w:val="0"/>
          <w:sz w:val="24"/>
          <w:szCs w:val="24"/>
          <w:lang w:val="en-US" w:eastAsia="zh-CN"/>
        </w:rPr>
        <w:t>20</w:t>
      </w:r>
      <w:r>
        <w:rPr>
          <w:rFonts w:eastAsia="SimSun"/>
          <w:noProof w:val="0"/>
          <w:sz w:val="24"/>
          <w:szCs w:val="24"/>
          <w:lang w:val="en-US" w:eastAsia="zh-CN"/>
        </w:rPr>
        <w:t>20</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3B6C1D25"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AE3231">
        <w:rPr>
          <w:rFonts w:cs="Arial"/>
          <w:b/>
          <w:bCs/>
          <w:sz w:val="24"/>
          <w:lang w:val="en-US" w:eastAsia="ja-JP"/>
        </w:rPr>
        <w:t>17.3</w:t>
      </w:r>
    </w:p>
    <w:p w14:paraId="47FEC04C" w14:textId="79107F84"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025A">
        <w:rPr>
          <w:rFonts w:ascii="Arial" w:hAnsi="Arial" w:cs="Arial"/>
          <w:b/>
          <w:bCs/>
          <w:sz w:val="24"/>
        </w:rPr>
        <w:t>Ericsson</w:t>
      </w:r>
      <w:r w:rsidR="0058672E" w:rsidRPr="006109D0">
        <w:rPr>
          <w:rFonts w:ascii="Arial" w:hAnsi="Arial" w:cs="Arial"/>
          <w:b/>
          <w:bCs/>
          <w:sz w:val="24"/>
        </w:rPr>
        <w:t xml:space="preserve">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1A7DB5A0" w:rsidR="00CD4C7B" w:rsidRPr="00B46017" w:rsidRDefault="00CD4C7B" w:rsidP="00B4601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4553" w:rsidRPr="00654553">
        <w:rPr>
          <w:rFonts w:ascii="Arial" w:hAnsi="Arial" w:cs="Arial"/>
          <w:b/>
          <w:bCs/>
          <w:sz w:val="24"/>
        </w:rPr>
        <w:tab/>
      </w:r>
      <w:r w:rsidR="00AE3231" w:rsidRPr="00AE3231">
        <w:rPr>
          <w:rFonts w:ascii="Arial" w:hAnsi="Arial" w:cs="Arial" w:hint="eastAsia"/>
          <w:b/>
          <w:bCs/>
          <w:sz w:val="24"/>
        </w:rPr>
        <w:t>CB: # RANSlicing</w:t>
      </w:r>
      <w:r w:rsidR="00AE3231" w:rsidRPr="00AE3231">
        <w:rPr>
          <w:rFonts w:ascii="Arial" w:hAnsi="Arial" w:cs="Arial"/>
          <w:b/>
          <w:bCs/>
          <w:sz w:val="24"/>
        </w:rPr>
        <w:t>3</w:t>
      </w:r>
      <w:r w:rsidR="00AE3231" w:rsidRPr="00AE3231">
        <w:rPr>
          <w:rFonts w:ascii="Arial" w:hAnsi="Arial" w:cs="Arial" w:hint="eastAsia"/>
          <w:b/>
          <w:bCs/>
          <w:sz w:val="24"/>
        </w:rPr>
        <w:t>-SA2impact</w:t>
      </w:r>
      <w:r w:rsidR="00AE3231" w:rsidRPr="00AE3231">
        <w:rPr>
          <w:rFonts w:ascii="Arial" w:hAnsi="Arial" w:cs="Arial"/>
          <w:b/>
          <w:bCs/>
          <w:sz w:val="24"/>
        </w:rPr>
        <w:t xml:space="preserve"> </w:t>
      </w:r>
      <w:r w:rsidR="00654553" w:rsidRPr="00654553">
        <w:rPr>
          <w:rFonts w:ascii="Arial" w:hAnsi="Arial" w:cs="Arial"/>
          <w:b/>
          <w:bCs/>
          <w:sz w:val="24"/>
        </w:rPr>
        <w:t>-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F32A95F" w:rsidR="00702E82" w:rsidRPr="001B797E" w:rsidRDefault="00702E82" w:rsidP="00702E82">
      <w:bookmarkStart w:id="2" w:name="_Hlk55112831"/>
      <w:r>
        <w:t xml:space="preserve">This </w:t>
      </w:r>
      <w:bookmarkEnd w:id="2"/>
      <w:r>
        <w:t>paper provides summary of discussions at RAN#1</w:t>
      </w:r>
      <w:r w:rsidR="00D84F1B">
        <w:t>10</w:t>
      </w:r>
      <w:r>
        <w:t>-e on:</w:t>
      </w:r>
    </w:p>
    <w:p w14:paraId="51F46DF0" w14:textId="77777777" w:rsidR="00042373" w:rsidRPr="000C6402" w:rsidRDefault="00042373" w:rsidP="00042373">
      <w:pPr>
        <w:widowControl w:val="0"/>
        <w:spacing w:after="0"/>
        <w:ind w:left="144" w:hanging="144"/>
        <w:rPr>
          <w:rFonts w:ascii="Calibri" w:hAnsi="Calibri" w:cs="Calibri" w:hint="eastAsia"/>
          <w:b/>
          <w:color w:val="7030A0"/>
          <w:sz w:val="18"/>
          <w:szCs w:val="24"/>
          <w:lang w:eastAsia="zh-CN"/>
        </w:rPr>
      </w:pPr>
      <w:bookmarkStart w:id="3" w:name="_Hlk55231110"/>
      <w:r w:rsidRPr="000C6402">
        <w:rPr>
          <w:rFonts w:ascii="Calibri" w:hAnsi="Calibri" w:cs="Calibri" w:hint="eastAsia"/>
          <w:b/>
          <w:color w:val="7030A0"/>
          <w:sz w:val="18"/>
          <w:szCs w:val="24"/>
          <w:lang w:eastAsia="zh-CN"/>
        </w:rPr>
        <w:t>CB: # RANSlicing</w:t>
      </w:r>
      <w:r w:rsidRPr="000C6402">
        <w:rPr>
          <w:rFonts w:ascii="Calibri" w:hAnsi="Calibri" w:cs="Calibri"/>
          <w:b/>
          <w:color w:val="7030A0"/>
          <w:sz w:val="18"/>
          <w:szCs w:val="24"/>
          <w:lang w:eastAsia="zh-CN"/>
        </w:rPr>
        <w:t>3</w:t>
      </w:r>
      <w:r w:rsidRPr="000C6402">
        <w:rPr>
          <w:rFonts w:ascii="Calibri" w:hAnsi="Calibri" w:cs="Calibri" w:hint="eastAsia"/>
          <w:b/>
          <w:color w:val="7030A0"/>
          <w:sz w:val="18"/>
          <w:szCs w:val="24"/>
          <w:lang w:eastAsia="zh-CN"/>
        </w:rPr>
        <w:t>-SA2impact</w:t>
      </w:r>
      <w:bookmarkEnd w:id="3"/>
    </w:p>
    <w:p w14:paraId="292A7963" w14:textId="77777777" w:rsidR="00042373" w:rsidRPr="000C6402" w:rsidRDefault="00042373" w:rsidP="00042373">
      <w:pPr>
        <w:widowControl w:val="0"/>
        <w:spacing w:after="0"/>
        <w:ind w:left="144" w:hanging="144"/>
        <w:rPr>
          <w:rFonts w:ascii="Calibri" w:hAnsi="Calibri" w:cs="Calibri"/>
          <w:b/>
          <w:color w:val="7030A0"/>
          <w:sz w:val="18"/>
          <w:szCs w:val="24"/>
          <w:lang w:eastAsia="zh-CN"/>
        </w:rPr>
      </w:pPr>
      <w:r w:rsidRPr="000C6402">
        <w:rPr>
          <w:rFonts w:ascii="Calibri" w:hAnsi="Calibri" w:cs="Calibri" w:hint="eastAsia"/>
          <w:b/>
          <w:color w:val="7030A0"/>
          <w:sz w:val="18"/>
          <w:szCs w:val="24"/>
          <w:lang w:eastAsia="zh-CN"/>
        </w:rPr>
        <w:t xml:space="preserve">- </w:t>
      </w:r>
      <w:r w:rsidRPr="000C6402">
        <w:rPr>
          <w:rFonts w:ascii="Calibri" w:hAnsi="Calibri" w:cs="Calibri"/>
          <w:b/>
          <w:color w:val="7030A0"/>
          <w:sz w:val="18"/>
          <w:szCs w:val="24"/>
          <w:lang w:eastAsia="zh-CN"/>
        </w:rPr>
        <w:t xml:space="preserve">The slice uniform availability principle (i.e. the slices included in an Allowed NSSAI are available in any cell of a UE’s Registration Area) shall be maintained in Rel17? </w:t>
      </w:r>
    </w:p>
    <w:p w14:paraId="5D7FA5B4" w14:textId="77777777" w:rsidR="00042373" w:rsidRPr="000C6402" w:rsidRDefault="00042373" w:rsidP="00042373">
      <w:pPr>
        <w:widowControl w:val="0"/>
        <w:spacing w:after="0"/>
        <w:ind w:left="144" w:hanging="144"/>
        <w:rPr>
          <w:rFonts w:ascii="Calibri" w:hAnsi="Calibri" w:cs="Calibri"/>
          <w:b/>
          <w:color w:val="7030A0"/>
          <w:sz w:val="18"/>
          <w:szCs w:val="24"/>
          <w:lang w:eastAsia="zh-CN"/>
        </w:rPr>
      </w:pPr>
      <w:r w:rsidRPr="000C6402">
        <w:rPr>
          <w:rFonts w:ascii="Calibri" w:hAnsi="Calibri" w:cs="Calibri"/>
          <w:b/>
          <w:color w:val="7030A0"/>
          <w:sz w:val="18"/>
          <w:szCs w:val="24"/>
          <w:lang w:eastAsia="zh-CN"/>
        </w:rPr>
        <w:t xml:space="preserve">- The slice support on multiple frequency scenario described by SA2 in S2-2001467 can be supported from RAN3 point of view? </w:t>
      </w:r>
    </w:p>
    <w:p w14:paraId="0504C2F6" w14:textId="77777777" w:rsidR="00042373" w:rsidRPr="00042373" w:rsidRDefault="00042373" w:rsidP="00042373">
      <w:pPr>
        <w:widowControl w:val="0"/>
        <w:spacing w:after="0"/>
        <w:ind w:left="144" w:hanging="144"/>
        <w:rPr>
          <w:rFonts w:ascii="Calibri" w:hAnsi="Calibri" w:cs="Calibri" w:hint="eastAsia"/>
          <w:b/>
          <w:color w:val="7030A0"/>
          <w:sz w:val="18"/>
          <w:szCs w:val="24"/>
          <w:lang w:val="it-IT" w:eastAsia="zh-CN"/>
        </w:rPr>
      </w:pPr>
      <w:r w:rsidRPr="00042373">
        <w:rPr>
          <w:rFonts w:ascii="Calibri" w:hAnsi="Calibri" w:cs="Calibri" w:hint="eastAsia"/>
          <w:b/>
          <w:color w:val="7030A0"/>
          <w:sz w:val="18"/>
          <w:szCs w:val="24"/>
          <w:lang w:val="it-IT" w:eastAsia="zh-CN"/>
        </w:rPr>
        <w:t>- Pending to SA2 conclusion?</w:t>
      </w:r>
    </w:p>
    <w:p w14:paraId="5BA02319" w14:textId="605DF297" w:rsidR="00254D60" w:rsidRPr="00042373" w:rsidRDefault="00254D60" w:rsidP="00475A68">
      <w:pPr>
        <w:widowControl w:val="0"/>
        <w:spacing w:after="0"/>
        <w:ind w:left="144" w:hanging="144"/>
        <w:rPr>
          <w:rFonts w:ascii="Calibri" w:hAnsi="Calibri" w:cs="Calibri"/>
          <w:color w:val="000000"/>
          <w:sz w:val="18"/>
          <w:szCs w:val="24"/>
          <w:lang w:val="it-IT"/>
        </w:rPr>
      </w:pPr>
      <w:r w:rsidRPr="00042373">
        <w:rPr>
          <w:rFonts w:ascii="Calibri" w:hAnsi="Calibri" w:cs="Calibri"/>
          <w:color w:val="000000"/>
          <w:sz w:val="18"/>
          <w:szCs w:val="24"/>
          <w:lang w:val="it-IT"/>
        </w:rPr>
        <w:t>(E/// - moderator)</w:t>
      </w:r>
    </w:p>
    <w:p w14:paraId="56A5FF29" w14:textId="393AAEB2" w:rsidR="002F3B01" w:rsidRPr="00042373" w:rsidRDefault="002F3B01" w:rsidP="007B0A52">
      <w:pPr>
        <w:widowControl w:val="0"/>
        <w:spacing w:after="0"/>
        <w:ind w:left="144" w:hanging="144"/>
        <w:rPr>
          <w:rFonts w:ascii="Calibri" w:hAnsi="Calibri" w:cs="Calibri"/>
          <w:color w:val="000000"/>
          <w:sz w:val="18"/>
          <w:lang w:val="it-IT"/>
        </w:rPr>
      </w:pPr>
    </w:p>
    <w:p w14:paraId="5A8CA1CD" w14:textId="77777777" w:rsidR="002F3B01" w:rsidRPr="00042373" w:rsidRDefault="002F3B01" w:rsidP="007B0A52">
      <w:pPr>
        <w:widowControl w:val="0"/>
        <w:spacing w:after="0"/>
        <w:ind w:left="144" w:hanging="144"/>
        <w:rPr>
          <w:lang w:val="it-IT"/>
        </w:rPr>
      </w:pP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299BDF62" w14:textId="1BBC5427" w:rsidR="00CE7DFD" w:rsidRDefault="007B0A52" w:rsidP="00254D60">
      <w:pPr>
        <w:pStyle w:val="Heading1"/>
      </w:pPr>
      <w:r>
        <w:t>3</w:t>
      </w:r>
      <w:r w:rsidRPr="006E13D1">
        <w:tab/>
      </w:r>
      <w:r>
        <w:t>Discussion</w:t>
      </w:r>
    </w:p>
    <w:p w14:paraId="7BC9CF13" w14:textId="2B0E68CE" w:rsidR="00F96EF0" w:rsidRDefault="00F96EF0" w:rsidP="00F96EF0">
      <w:pPr>
        <w:pStyle w:val="Heading2"/>
      </w:pPr>
      <w:r>
        <w:t>3.1</w:t>
      </w:r>
      <w:r w:rsidRPr="006E13D1">
        <w:tab/>
      </w:r>
      <w:r>
        <w:t>Slice Availability in Rel17</w:t>
      </w:r>
    </w:p>
    <w:p w14:paraId="22F52680" w14:textId="77777777" w:rsidR="00F96EF0" w:rsidRPr="00F96EF0" w:rsidRDefault="00F96EF0" w:rsidP="00F96EF0"/>
    <w:p w14:paraId="12CA553E" w14:textId="61F1B87C" w:rsidR="008F4D57" w:rsidRDefault="008F4D57" w:rsidP="008F4D57">
      <w:r>
        <w:t>In [1]</w:t>
      </w:r>
      <w:r w:rsidR="00AE3231">
        <w:t xml:space="preserve"> an analysis of KI#7 documented in SA2’s TR 23.700-40 is carried out. This discussion was agreed to be taken by RAN3 at the last meeting, as per minuted agreement:</w:t>
      </w:r>
    </w:p>
    <w:p w14:paraId="48EC5AA2" w14:textId="77777777" w:rsidR="00AE3231" w:rsidRDefault="00AE3231" w:rsidP="00AE3231">
      <w:pPr>
        <w:widowControl w:val="0"/>
        <w:spacing w:after="0"/>
        <w:ind w:left="144" w:hanging="144"/>
        <w:rPr>
          <w:rFonts w:ascii="Calibri" w:eastAsia="Calibri" w:hAnsi="Calibri" w:cs="Calibri"/>
          <w:i/>
          <w:color w:val="00B050"/>
          <w:lang w:val="en-US" w:eastAsia="en-GB"/>
        </w:rPr>
      </w:pPr>
      <w:r>
        <w:rPr>
          <w:rFonts w:ascii="Calibri" w:hAnsi="Calibri" w:cs="Calibri"/>
          <w:i/>
          <w:color w:val="00B050"/>
        </w:rPr>
        <w:t>RAN3’s feedback to SA2 concerns KI#7 in Section 5.7 of TR23.700-40 and that no other feedback from RAN3 is requested concerning solutions in 23.700-40, unless explicitly requested by SA2</w:t>
      </w:r>
    </w:p>
    <w:p w14:paraId="113F4A69" w14:textId="392B931B" w:rsidR="00AE3231" w:rsidRDefault="00AE3231" w:rsidP="008F4D57">
      <w:pPr>
        <w:rPr>
          <w:lang w:val="en-US"/>
        </w:rPr>
      </w:pPr>
    </w:p>
    <w:p w14:paraId="57B74F32" w14:textId="49B11ED4" w:rsidR="00AE3231" w:rsidRDefault="00AE3231" w:rsidP="008F4D57">
      <w:pPr>
        <w:rPr>
          <w:lang w:val="en-US"/>
        </w:rPr>
      </w:pPr>
      <w:r>
        <w:rPr>
          <w:lang w:val="en-US"/>
        </w:rPr>
        <w:t>In order to tackle the issues of KI#7, the following agreement from RAN3-109 needs to be recalled:</w:t>
      </w:r>
    </w:p>
    <w:p w14:paraId="1C2F94B4" w14:textId="77777777" w:rsidR="00AE3231" w:rsidRDefault="00AE3231" w:rsidP="00AE3231">
      <w:pPr>
        <w:widowControl w:val="0"/>
        <w:spacing w:after="0"/>
        <w:ind w:left="144" w:hanging="144"/>
        <w:rPr>
          <w:rFonts w:ascii="Calibri" w:hAnsi="Calibri" w:cs="Calibri"/>
          <w:i/>
          <w:color w:val="00B050"/>
        </w:rPr>
      </w:pPr>
      <w:r>
        <w:rPr>
          <w:rFonts w:ascii="Calibri" w:hAnsi="Calibri" w:cs="Calibri"/>
          <w:i/>
          <w:color w:val="00B050"/>
        </w:rPr>
        <w:t>Status Quo in Rel-16 is that the slices included in an Allowed NSSAI are available anywhere (i.e. in any cell) within the UE’s Registration Area</w:t>
      </w:r>
    </w:p>
    <w:p w14:paraId="2AF88C20" w14:textId="4FB6DEFD" w:rsidR="00AE3231" w:rsidRDefault="00AE3231" w:rsidP="008F4D57"/>
    <w:p w14:paraId="2109848F" w14:textId="3A799C5C" w:rsidR="00AE3231" w:rsidRPr="000937AB" w:rsidRDefault="00AE3231" w:rsidP="008F4D57">
      <w:pPr>
        <w:rPr>
          <w:lang w:val="en-GB"/>
        </w:rPr>
      </w:pPr>
      <w:r>
        <w:t xml:space="preserve">This agreement was derived during discussions at RAN3-109 with the intention of confirming </w:t>
      </w:r>
      <w:r w:rsidR="00613A77">
        <w:t xml:space="preserve">that an S-NSSAI included in the Allowed NSSAI of a UE is available, i.e. is supported by the RAN, in every cell of the UE’s RA. </w:t>
      </w:r>
      <w:r w:rsidR="00613A77" w:rsidRPr="000937AB">
        <w:rPr>
          <w:lang w:val="en-GB"/>
        </w:rPr>
        <w:t>Whether, at any point in time, a cell in the RA has sufficient resources to admit a QoS flow of a</w:t>
      </w:r>
      <w:r w:rsidR="000937AB" w:rsidRPr="000937AB">
        <w:rPr>
          <w:lang w:val="en-GB"/>
        </w:rPr>
        <w:t xml:space="preserve"> </w:t>
      </w:r>
      <w:r w:rsidR="000937AB">
        <w:rPr>
          <w:lang w:val="en-GB"/>
        </w:rPr>
        <w:lastRenderedPageBreak/>
        <w:t>supported</w:t>
      </w:r>
      <w:r w:rsidR="00613A77" w:rsidRPr="000937AB">
        <w:rPr>
          <w:lang w:val="en-GB"/>
        </w:rPr>
        <w:t xml:space="preserve"> S-NSSAI</w:t>
      </w:r>
      <w:r w:rsidR="000937AB">
        <w:rPr>
          <w:lang w:val="en-GB"/>
        </w:rPr>
        <w:t>,</w:t>
      </w:r>
      <w:r w:rsidR="00613A77" w:rsidRPr="000937AB">
        <w:rPr>
          <w:lang w:val="en-GB"/>
        </w:rPr>
        <w:t xml:space="preserve"> is subject to admission control and it is independent of whether the S-NSSAI is supported by that cell</w:t>
      </w:r>
      <w:r w:rsidR="000937AB">
        <w:rPr>
          <w:lang w:val="en-GB"/>
        </w:rPr>
        <w:t xml:space="preserve"> or not</w:t>
      </w:r>
      <w:r w:rsidR="00613A77" w:rsidRPr="000937AB">
        <w:rPr>
          <w:lang w:val="en-GB"/>
        </w:rPr>
        <w:t>.</w:t>
      </w:r>
    </w:p>
    <w:p w14:paraId="3E92ACDB" w14:textId="66704418" w:rsidR="00613A77" w:rsidRPr="00613A77" w:rsidRDefault="00F96EF0" w:rsidP="008F4D57">
      <w:bookmarkStart w:id="4" w:name="_GoBack"/>
      <w:bookmarkEnd w:id="4"/>
      <w:r w:rsidRPr="000937AB">
        <w:rPr>
          <w:lang w:val="en-GB"/>
        </w:rPr>
        <w:t>Respecting the slice availability principle in Rel17 would</w:t>
      </w:r>
      <w:r w:rsidR="004C31D3" w:rsidRPr="000937AB">
        <w:rPr>
          <w:lang w:val="en-GB"/>
        </w:rPr>
        <w:t xml:space="preserve"> </w:t>
      </w:r>
      <w:r w:rsidRPr="000937AB">
        <w:rPr>
          <w:lang w:val="en-GB"/>
        </w:rPr>
        <w:t xml:space="preserve">be needed to maintain backwards compatibility with respect to Rel16 networks and UE behaviours. </w:t>
      </w:r>
      <w:r>
        <w:t>In fact, if the slice availability principle is not respected in Rel17, legacy Rel16 UEs and older would still expect uniform availability to be supported. This implies that uniform slice availability would need anyhow to be supported in order to allow correct operation of legacy UEs.</w:t>
      </w:r>
      <w:r w:rsidR="004C31D3">
        <w:t xml:space="preserve"> </w:t>
      </w:r>
      <w:r w:rsidR="000937AB">
        <w:br/>
      </w:r>
      <w:r w:rsidR="004C31D3">
        <w:t xml:space="preserve">As an example, if a slice is not supported in a cell of an RA where the slice is allowed (included in the Allowed NSSAI), </w:t>
      </w:r>
      <w:r w:rsidR="000937AB">
        <w:t>a legacy</w:t>
      </w:r>
      <w:r w:rsidR="004C31D3">
        <w:t xml:space="preserve"> UE will still </w:t>
      </w:r>
      <w:r w:rsidR="000937AB">
        <w:t xml:space="preserve">be able to </w:t>
      </w:r>
      <w:r w:rsidR="004C31D3">
        <w:t xml:space="preserve">request access to that slice and the RAN will still need to act as if the slice is supported (i.e. </w:t>
      </w:r>
      <w:r w:rsidR="000937AB">
        <w:t>it is not possible for the RAN to reject access to the slice due to “</w:t>
      </w:r>
      <w:r w:rsidR="000937AB" w:rsidRPr="001D2E49">
        <w:rPr>
          <w:rFonts w:cs="Arial"/>
        </w:rPr>
        <w:t>Slice(s) not supported</w:t>
      </w:r>
      <w:r w:rsidR="000937AB">
        <w:t xml:space="preserve">” cause as this may trigger a NAS rejection for the slice). </w:t>
      </w:r>
    </w:p>
    <w:p w14:paraId="5399A5E9" w14:textId="7B14C247" w:rsidR="008F4D57" w:rsidRDefault="00F96EF0" w:rsidP="008F4D57">
      <w:r>
        <w:t xml:space="preserve">Companies are invited to provide their view on how to ensure correct operation of legacy UEs (Rel16 and </w:t>
      </w:r>
      <w:r w:rsidR="004C31D3">
        <w:t>older</w:t>
      </w:r>
      <w:r>
        <w:t>) expecting that uniform slice availability is respected.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6EF0" w14:paraId="2D6292B1" w14:textId="77777777" w:rsidTr="00F96EF0">
        <w:tc>
          <w:tcPr>
            <w:tcW w:w="1668" w:type="dxa"/>
            <w:shd w:val="clear" w:color="auto" w:fill="auto"/>
          </w:tcPr>
          <w:p w14:paraId="12B81DB6" w14:textId="77777777" w:rsidR="00F96EF0" w:rsidRDefault="00F96EF0" w:rsidP="00F96EF0">
            <w:r>
              <w:t>Company</w:t>
            </w:r>
          </w:p>
        </w:tc>
        <w:tc>
          <w:tcPr>
            <w:tcW w:w="7620" w:type="dxa"/>
            <w:shd w:val="clear" w:color="auto" w:fill="auto"/>
          </w:tcPr>
          <w:p w14:paraId="3C589540" w14:textId="77777777" w:rsidR="00F96EF0" w:rsidRDefault="00F96EF0" w:rsidP="00F96EF0">
            <w:r>
              <w:t>Comment</w:t>
            </w:r>
          </w:p>
        </w:tc>
      </w:tr>
      <w:tr w:rsidR="00F96EF0" w14:paraId="52938FAC" w14:textId="77777777" w:rsidTr="00F96EF0">
        <w:tc>
          <w:tcPr>
            <w:tcW w:w="1668" w:type="dxa"/>
            <w:shd w:val="clear" w:color="auto" w:fill="auto"/>
          </w:tcPr>
          <w:p w14:paraId="39A24CFE" w14:textId="77777777" w:rsidR="00F96EF0" w:rsidRDefault="00F96EF0" w:rsidP="00F96EF0">
            <w:r>
              <w:t>Ericsson</w:t>
            </w:r>
          </w:p>
        </w:tc>
        <w:tc>
          <w:tcPr>
            <w:tcW w:w="7620" w:type="dxa"/>
            <w:shd w:val="clear" w:color="auto" w:fill="auto"/>
          </w:tcPr>
          <w:p w14:paraId="22708B0F" w14:textId="1AC9573D" w:rsidR="00F96EF0" w:rsidRDefault="00F96EF0" w:rsidP="00F96EF0">
            <w:r>
              <w:t xml:space="preserve">Uniform Slice Availability shall be supported in Rel17 to </w:t>
            </w:r>
            <w:r w:rsidR="004C31D3">
              <w:t>ensure correct operation of Rel16 and older UEs, which expect slice support in every cell of a RA.</w:t>
            </w:r>
          </w:p>
        </w:tc>
      </w:tr>
      <w:tr w:rsidR="00F96EF0" w14:paraId="43BEFDBB" w14:textId="77777777" w:rsidTr="00F96EF0">
        <w:tc>
          <w:tcPr>
            <w:tcW w:w="1668" w:type="dxa"/>
            <w:shd w:val="clear" w:color="auto" w:fill="auto"/>
          </w:tcPr>
          <w:p w14:paraId="01FB8F6E" w14:textId="77777777" w:rsidR="00F96EF0" w:rsidRDefault="00F96EF0" w:rsidP="00F96EF0"/>
        </w:tc>
        <w:tc>
          <w:tcPr>
            <w:tcW w:w="7620" w:type="dxa"/>
            <w:shd w:val="clear" w:color="auto" w:fill="auto"/>
          </w:tcPr>
          <w:p w14:paraId="2ABA2F8D" w14:textId="77777777" w:rsidR="00F96EF0" w:rsidRDefault="00F96EF0" w:rsidP="00F96EF0"/>
        </w:tc>
      </w:tr>
      <w:tr w:rsidR="00F96EF0" w14:paraId="3289B225" w14:textId="77777777" w:rsidTr="00F96EF0">
        <w:tc>
          <w:tcPr>
            <w:tcW w:w="1668" w:type="dxa"/>
            <w:shd w:val="clear" w:color="auto" w:fill="auto"/>
          </w:tcPr>
          <w:p w14:paraId="1118C0AF" w14:textId="77777777" w:rsidR="00F96EF0" w:rsidRDefault="00F96EF0" w:rsidP="00F96EF0"/>
        </w:tc>
        <w:tc>
          <w:tcPr>
            <w:tcW w:w="7620" w:type="dxa"/>
            <w:shd w:val="clear" w:color="auto" w:fill="auto"/>
          </w:tcPr>
          <w:p w14:paraId="7DA4B391" w14:textId="77777777" w:rsidR="00F96EF0" w:rsidRDefault="00F96EF0" w:rsidP="00F96EF0"/>
        </w:tc>
      </w:tr>
    </w:tbl>
    <w:p w14:paraId="2D723DC3" w14:textId="77777777" w:rsidR="00F96EF0" w:rsidRDefault="00F96EF0" w:rsidP="008F4D57"/>
    <w:p w14:paraId="653D5E8E" w14:textId="462D15E2" w:rsidR="000937AB" w:rsidRDefault="000937AB" w:rsidP="000937AB">
      <w:pPr>
        <w:pStyle w:val="Heading2"/>
      </w:pPr>
      <w:r>
        <w:t>3.2</w:t>
      </w:r>
      <w:r w:rsidRPr="006E13D1">
        <w:tab/>
      </w:r>
      <w:r>
        <w:t>Support of Slice deployment in different Frequency Bands</w:t>
      </w:r>
    </w:p>
    <w:p w14:paraId="7F420FA2" w14:textId="56F2062A" w:rsidR="00F96EF0" w:rsidRDefault="000937AB" w:rsidP="008F4D57">
      <w:r>
        <w:t>The LS from SA2 in [2] provides a scenario described below for convenience:</w:t>
      </w:r>
    </w:p>
    <w:p w14:paraId="64761753" w14:textId="77777777" w:rsidR="000937AB" w:rsidRDefault="000937AB" w:rsidP="000937AB">
      <w:pPr>
        <w:spacing w:after="0"/>
        <w:jc w:val="both"/>
        <w:rPr>
          <w:i/>
          <w:iCs/>
          <w:lang w:val="en-GB"/>
        </w:rPr>
      </w:pPr>
      <w:r>
        <w:rPr>
          <w:i/>
          <w:iCs/>
          <w:lang w:val="en-GB"/>
        </w:rPr>
        <w:t xml:space="preserve">The frequency ranges in which NR can operate are identified as described in Table 5.1-1 in TS 38.101-1 and TS 38.101-2. </w:t>
      </w:r>
    </w:p>
    <w:p w14:paraId="2169AE6F" w14:textId="77777777" w:rsidR="000937AB" w:rsidRDefault="000937AB" w:rsidP="000937AB">
      <w:pPr>
        <w:spacing w:after="0"/>
        <w:jc w:val="center"/>
        <w:rPr>
          <w:b/>
          <w:i/>
          <w:iCs/>
          <w:lang w:val="en-US"/>
        </w:rPr>
      </w:pPr>
      <w:r>
        <w:rPr>
          <w:b/>
          <w:i/>
          <w:iCs/>
          <w:lang w:val="en-US"/>
        </w:rP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0937AB" w14:paraId="0B0D5E30" w14:textId="77777777" w:rsidTr="000937AB">
        <w:trPr>
          <w:jc w:val="center"/>
        </w:trPr>
        <w:tc>
          <w:tcPr>
            <w:tcW w:w="1951" w:type="dxa"/>
            <w:tcBorders>
              <w:top w:val="single" w:sz="4" w:space="0" w:color="auto"/>
              <w:left w:val="single" w:sz="4" w:space="0" w:color="auto"/>
              <w:bottom w:val="single" w:sz="4" w:space="0" w:color="auto"/>
              <w:right w:val="single" w:sz="4" w:space="0" w:color="auto"/>
            </w:tcBorders>
            <w:hideMark/>
          </w:tcPr>
          <w:p w14:paraId="6E55A5A6" w14:textId="77777777" w:rsidR="000937AB" w:rsidRDefault="000937AB">
            <w:pPr>
              <w:spacing w:after="0"/>
              <w:jc w:val="both"/>
              <w:rPr>
                <w:b/>
                <w:i/>
                <w:iCs/>
                <w:lang w:val="en-US"/>
              </w:rPr>
            </w:pPr>
            <w:r>
              <w:rPr>
                <w:b/>
                <w:i/>
                <w:iCs/>
                <w:lang w:val="en-US"/>
              </w:rPr>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6C0BC86" w14:textId="77777777" w:rsidR="000937AB" w:rsidRDefault="000937AB">
            <w:pPr>
              <w:spacing w:after="0"/>
              <w:jc w:val="both"/>
              <w:rPr>
                <w:b/>
                <w:i/>
                <w:iCs/>
                <w:lang w:val="en-US"/>
              </w:rPr>
            </w:pPr>
            <w:r>
              <w:rPr>
                <w:b/>
                <w:i/>
                <w:iCs/>
                <w:lang w:val="en-US"/>
              </w:rPr>
              <w:t xml:space="preserve">Corresponding frequency range </w:t>
            </w:r>
          </w:p>
        </w:tc>
      </w:tr>
      <w:tr w:rsidR="000937AB" w14:paraId="7CAB68B6" w14:textId="77777777" w:rsidTr="000937AB">
        <w:trPr>
          <w:jc w:val="center"/>
        </w:trPr>
        <w:tc>
          <w:tcPr>
            <w:tcW w:w="1951" w:type="dxa"/>
            <w:tcBorders>
              <w:top w:val="single" w:sz="4" w:space="0" w:color="auto"/>
              <w:left w:val="single" w:sz="4" w:space="0" w:color="auto"/>
              <w:bottom w:val="single" w:sz="4" w:space="0" w:color="auto"/>
              <w:right w:val="single" w:sz="4" w:space="0" w:color="auto"/>
            </w:tcBorders>
            <w:hideMark/>
          </w:tcPr>
          <w:p w14:paraId="1AE3146F" w14:textId="77777777" w:rsidR="000937AB" w:rsidRDefault="000937AB">
            <w:pPr>
              <w:spacing w:after="0"/>
              <w:jc w:val="both"/>
              <w:rPr>
                <w:i/>
                <w:iCs/>
                <w:lang w:val="en-US"/>
              </w:rPr>
            </w:pPr>
            <w:r>
              <w:rPr>
                <w:i/>
                <w:iCs/>
                <w:lang w:val="en-US"/>
              </w:rPr>
              <w:t>FR1</w:t>
            </w:r>
          </w:p>
        </w:tc>
        <w:tc>
          <w:tcPr>
            <w:tcW w:w="2977" w:type="dxa"/>
            <w:tcBorders>
              <w:top w:val="single" w:sz="4" w:space="0" w:color="auto"/>
              <w:left w:val="single" w:sz="4" w:space="0" w:color="auto"/>
              <w:bottom w:val="single" w:sz="4" w:space="0" w:color="auto"/>
              <w:right w:val="single" w:sz="4" w:space="0" w:color="auto"/>
            </w:tcBorders>
            <w:hideMark/>
          </w:tcPr>
          <w:p w14:paraId="14939442" w14:textId="77777777" w:rsidR="000937AB" w:rsidRDefault="000937AB">
            <w:pPr>
              <w:spacing w:after="0"/>
              <w:jc w:val="both"/>
              <w:rPr>
                <w:i/>
                <w:iCs/>
                <w:lang w:val="en-US"/>
              </w:rPr>
            </w:pPr>
            <w:r>
              <w:rPr>
                <w:i/>
                <w:iCs/>
                <w:lang w:val="en-US"/>
              </w:rPr>
              <w:t>410 MHz – 7125 MHz</w:t>
            </w:r>
          </w:p>
        </w:tc>
      </w:tr>
      <w:tr w:rsidR="000937AB" w14:paraId="3D5AF8A0" w14:textId="77777777" w:rsidTr="000937AB">
        <w:trPr>
          <w:jc w:val="center"/>
        </w:trPr>
        <w:tc>
          <w:tcPr>
            <w:tcW w:w="1951" w:type="dxa"/>
            <w:tcBorders>
              <w:top w:val="single" w:sz="4" w:space="0" w:color="auto"/>
              <w:left w:val="single" w:sz="4" w:space="0" w:color="auto"/>
              <w:bottom w:val="single" w:sz="4" w:space="0" w:color="auto"/>
              <w:right w:val="single" w:sz="4" w:space="0" w:color="auto"/>
            </w:tcBorders>
            <w:hideMark/>
          </w:tcPr>
          <w:p w14:paraId="56DD0BEC" w14:textId="77777777" w:rsidR="000937AB" w:rsidRDefault="000937AB">
            <w:pPr>
              <w:spacing w:after="0"/>
              <w:jc w:val="both"/>
              <w:rPr>
                <w:i/>
                <w:iCs/>
                <w:lang w:val="en-US"/>
              </w:rPr>
            </w:pPr>
            <w:r>
              <w:rPr>
                <w:i/>
                <w:iCs/>
                <w:lang w:val="en-US"/>
              </w:rPr>
              <w:t>FR2</w:t>
            </w:r>
          </w:p>
        </w:tc>
        <w:tc>
          <w:tcPr>
            <w:tcW w:w="2977" w:type="dxa"/>
            <w:tcBorders>
              <w:top w:val="single" w:sz="4" w:space="0" w:color="auto"/>
              <w:left w:val="single" w:sz="4" w:space="0" w:color="auto"/>
              <w:bottom w:val="single" w:sz="4" w:space="0" w:color="auto"/>
              <w:right w:val="single" w:sz="4" w:space="0" w:color="auto"/>
            </w:tcBorders>
            <w:hideMark/>
          </w:tcPr>
          <w:p w14:paraId="791F35AC" w14:textId="77777777" w:rsidR="000937AB" w:rsidRDefault="000937AB">
            <w:pPr>
              <w:spacing w:after="0"/>
              <w:jc w:val="both"/>
              <w:rPr>
                <w:i/>
                <w:iCs/>
                <w:lang w:val="en-US"/>
              </w:rPr>
            </w:pPr>
            <w:r>
              <w:rPr>
                <w:i/>
                <w:iCs/>
                <w:lang w:val="en-US"/>
              </w:rPr>
              <w:t>24250 MHz – 52600 MHz</w:t>
            </w:r>
          </w:p>
        </w:tc>
      </w:tr>
    </w:tbl>
    <w:p w14:paraId="6600F6C0" w14:textId="77777777" w:rsidR="000937AB" w:rsidRDefault="000937AB" w:rsidP="000937AB">
      <w:pPr>
        <w:spacing w:after="0"/>
        <w:jc w:val="both"/>
        <w:rPr>
          <w:i/>
          <w:iCs/>
          <w:lang w:val="en-GB"/>
        </w:rPr>
      </w:pPr>
    </w:p>
    <w:p w14:paraId="4E0721C7" w14:textId="77777777" w:rsidR="000937AB" w:rsidRDefault="000937AB" w:rsidP="000937AB">
      <w:pPr>
        <w:spacing w:after="0"/>
        <w:jc w:val="both"/>
        <w:rPr>
          <w:i/>
          <w:iCs/>
          <w:lang w:val="en-GB"/>
        </w:rPr>
      </w:pPr>
      <w:r>
        <w:rPr>
          <w:i/>
          <w:iCs/>
          <w:lang w:val="en-GB"/>
        </w:rPr>
        <w:t xml:space="preserve">Roughly speaking, the radio spectrum for 5G can be more than ten times wider than the radio spectrum for 4G, considering that the practical operational spectrum bands of 4G are less than 3 GHz in the most of regions. It is therefore important to manage such a wide range of 5G frequencies efficiently. </w:t>
      </w:r>
    </w:p>
    <w:p w14:paraId="02A7BD11" w14:textId="77777777" w:rsidR="000937AB" w:rsidRDefault="000937AB" w:rsidP="000937AB">
      <w:pPr>
        <w:spacing w:after="0"/>
        <w:jc w:val="both"/>
        <w:rPr>
          <w:i/>
          <w:iCs/>
          <w:lang w:val="en-GB"/>
        </w:rPr>
      </w:pPr>
      <w:r>
        <w:rPr>
          <w:i/>
          <w:iCs/>
          <w:lang w:val="en-GB"/>
        </w:rPr>
        <w:t>One of the requirements documented in GSMA 5GJA NG.116 is to define the radio spectrum supported by the network slice. A specific frequency band can be used to access a specific network slice(s). For instance, eMBB slice can be supported in 2.6 GHz and 4.9 GHz while URLLC slice can be supported only in 4.9 GHz. In some other deployment scenarios, the lower frequency band can be used for IoT while using the higher frequency bands for eMBB services. That is, the combination of the spectrum bands and the network slices can be a good tool for operators requiring the service isolation/management as well as the maximum use of the 5G spectrum bands.</w:t>
      </w:r>
    </w:p>
    <w:p w14:paraId="780CEC9F" w14:textId="77777777" w:rsidR="000937AB" w:rsidRDefault="000937AB" w:rsidP="000937AB">
      <w:pPr>
        <w:spacing w:after="0"/>
        <w:jc w:val="both"/>
        <w:rPr>
          <w:bCs/>
          <w:i/>
          <w:iCs/>
          <w:lang w:val="en-GB"/>
        </w:rPr>
      </w:pPr>
      <w:r>
        <w:rPr>
          <w:i/>
          <w:iCs/>
          <w:lang w:val="en-GB"/>
        </w:rPr>
        <w:t xml:space="preserve">The example below are the possible deployment scenario and information flows showing the current network slicing mechanism when we introduce the GST attribute, </w:t>
      </w:r>
      <w:r>
        <w:rPr>
          <w:b/>
          <w:bCs/>
          <w:i/>
          <w:iCs/>
          <w:lang w:val="en-GB"/>
        </w:rPr>
        <w:t>Radio spectrum</w:t>
      </w:r>
      <w:r>
        <w:rPr>
          <w:bCs/>
          <w:i/>
          <w:iCs/>
          <w:lang w:val="en-GB"/>
        </w:rPr>
        <w:t>, e.g. frequency band X is used to access S-NSSAI #1 whilst frequency band Y is used to access S-NSSAI #2.</w:t>
      </w:r>
    </w:p>
    <w:p w14:paraId="22DE797D" w14:textId="77777777" w:rsidR="000937AB" w:rsidRDefault="000937AB" w:rsidP="000937AB">
      <w:pPr>
        <w:spacing w:after="0"/>
        <w:jc w:val="both"/>
        <w:rPr>
          <w:i/>
          <w:iCs/>
          <w:lang w:val="en-GB"/>
        </w:rPr>
      </w:pPr>
      <w:r>
        <w:rPr>
          <w:i/>
          <w:iCs/>
          <w:lang w:val="en-GB"/>
        </w:rPr>
        <w:object w:dxaOrig="7332" w:dyaOrig="3408" w14:anchorId="21480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70.5pt" o:ole="">
            <v:imagedata r:id="rId7" o:title=""/>
          </v:shape>
          <o:OLEObject Type="Embed" ProgID="Visio.Drawing.15" ShapeID="_x0000_i1025" DrawAspect="Content" ObjectID="_1665847845" r:id="rId8"/>
        </w:object>
      </w:r>
    </w:p>
    <w:p w14:paraId="4BE78634" w14:textId="77777777" w:rsidR="000937AB" w:rsidRDefault="000937AB" w:rsidP="000937AB">
      <w:pPr>
        <w:spacing w:after="0"/>
        <w:jc w:val="center"/>
        <w:rPr>
          <w:i/>
          <w:iCs/>
          <w:lang w:val="en-GB"/>
        </w:rPr>
      </w:pPr>
      <w:r>
        <w:rPr>
          <w:i/>
          <w:iCs/>
          <w:lang w:val="en-GB"/>
        </w:rPr>
        <w:t>[NG-RAN cell coverage]</w:t>
      </w:r>
    </w:p>
    <w:p w14:paraId="45058775" w14:textId="6E5B5028" w:rsidR="000937AB" w:rsidRDefault="000937AB" w:rsidP="000937AB">
      <w:pPr>
        <w:spacing w:after="0"/>
        <w:jc w:val="both"/>
        <w:rPr>
          <w:lang w:val="en-GB"/>
        </w:rPr>
      </w:pPr>
      <w:r>
        <w:rPr>
          <w:lang w:val="en-GB"/>
        </w:rPr>
        <w:t>It can be concluded that the scenario presented by SA2 can be supported in the following ways:</w:t>
      </w:r>
    </w:p>
    <w:p w14:paraId="002A7AFC" w14:textId="77777777" w:rsidR="000937AB" w:rsidRDefault="000937AB" w:rsidP="000937AB">
      <w:pPr>
        <w:spacing w:after="0"/>
        <w:jc w:val="both"/>
        <w:rPr>
          <w:lang w:val="en-GB"/>
        </w:rPr>
      </w:pPr>
    </w:p>
    <w:p w14:paraId="78BCC31A" w14:textId="401EF8C8" w:rsidR="000937AB" w:rsidRDefault="000937AB" w:rsidP="000937AB">
      <w:pPr>
        <w:pStyle w:val="ListParagraph"/>
        <w:numPr>
          <w:ilvl w:val="0"/>
          <w:numId w:val="16"/>
        </w:numPr>
        <w:overflowPunct w:val="0"/>
        <w:autoSpaceDE w:val="0"/>
        <w:autoSpaceDN w:val="0"/>
        <w:adjustRightInd w:val="0"/>
        <w:spacing w:after="0" w:line="240" w:lineRule="auto"/>
        <w:jc w:val="both"/>
        <w:rPr>
          <w:lang w:val="en-GB"/>
        </w:rPr>
      </w:pPr>
      <w:r w:rsidRPr="000937AB">
        <w:rPr>
          <w:lang w:val="en-GB"/>
        </w:rPr>
        <w:t xml:space="preserve">The slice deployment on multiple frequencies scenario, where Frequency Band X is used solely to support S-NSSAI 1 and Frequency Band Y is used to support S-NSSAI 2, can be supported by defining one RA1, including RAN1 coverage and another RA2, including RAN2 coverage. Namely, frequency band X and Frequency band Y belong to two different RA’s. </w:t>
      </w:r>
      <w:r>
        <w:rPr>
          <w:lang w:val="en-GB"/>
        </w:rPr>
        <w:tab/>
      </w:r>
      <w:r w:rsidRPr="000937AB">
        <w:rPr>
          <w:lang w:val="en-GB"/>
        </w:rPr>
        <w:br/>
        <w:t>In this way the UE can be provisioned with an Allowed NSSAI in RA1, including S-NSSAI1, and another Allowed NSSAI in RA2, including S-NSSAI2.</w:t>
      </w:r>
      <w:r w:rsidRPr="000937AB">
        <w:rPr>
          <w:lang w:val="en-GB"/>
        </w:rPr>
        <w:tab/>
      </w:r>
      <w:r w:rsidRPr="000937AB">
        <w:rPr>
          <w:lang w:val="en-GB"/>
        </w:rPr>
        <w:br/>
      </w:r>
    </w:p>
    <w:p w14:paraId="7C95A711" w14:textId="77777777" w:rsidR="000937AB" w:rsidRPr="000937AB" w:rsidRDefault="000937AB" w:rsidP="000937AB">
      <w:pPr>
        <w:pStyle w:val="ListParagraph"/>
        <w:numPr>
          <w:ilvl w:val="0"/>
          <w:numId w:val="16"/>
        </w:numPr>
        <w:overflowPunct w:val="0"/>
        <w:autoSpaceDE w:val="0"/>
        <w:autoSpaceDN w:val="0"/>
        <w:adjustRightInd w:val="0"/>
        <w:spacing w:after="0" w:line="240" w:lineRule="auto"/>
        <w:jc w:val="both"/>
        <w:rPr>
          <w:lang w:val="en-GB"/>
        </w:rPr>
      </w:pPr>
      <w:r w:rsidRPr="000937AB">
        <w:rPr>
          <w:lang w:val="en-GB"/>
        </w:rPr>
        <w:t>The slice deployment on multiple frequencies scenario can be supported by creating a single RA, including RAN1 and RAN2 coverage. However, in this case S-NSSAI1 and S-NSSAI2 shall be supported on all cells of such RA, i.e. on cells of both Frequency Band X and Frequency Band Y. In this case, it is still possible to have preferred frequencies per S-NSSAI, so that UEs requesting a given slice will be steered to the frequency preferred for such slice.</w:t>
      </w:r>
    </w:p>
    <w:p w14:paraId="143731B0" w14:textId="77777777" w:rsidR="000937AB" w:rsidRDefault="000937AB" w:rsidP="000937AB">
      <w:pPr>
        <w:spacing w:after="0"/>
        <w:rPr>
          <w:lang w:val="en-GB"/>
        </w:rPr>
      </w:pPr>
    </w:p>
    <w:p w14:paraId="2479DFD1" w14:textId="4EE18CA5" w:rsidR="000937AB" w:rsidRDefault="000937AB" w:rsidP="000937AB">
      <w:pPr>
        <w:spacing w:after="0"/>
        <w:jc w:val="both"/>
        <w:rPr>
          <w:b/>
          <w:bCs/>
          <w:lang w:val="en-GB"/>
        </w:rPr>
      </w:pPr>
      <w:r>
        <w:rPr>
          <w:b/>
          <w:bCs/>
          <w:lang w:val="en-GB"/>
        </w:rPr>
        <w:t>Companies are invited to provide their views on feasibility of the scenario support described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937AB" w14:paraId="43B38879" w14:textId="77777777" w:rsidTr="000937AB">
        <w:tc>
          <w:tcPr>
            <w:tcW w:w="1668" w:type="dxa"/>
            <w:shd w:val="clear" w:color="auto" w:fill="auto"/>
          </w:tcPr>
          <w:p w14:paraId="70C2BE52" w14:textId="77777777" w:rsidR="000937AB" w:rsidRDefault="000937AB" w:rsidP="000937AB">
            <w:r>
              <w:t>Company</w:t>
            </w:r>
          </w:p>
        </w:tc>
        <w:tc>
          <w:tcPr>
            <w:tcW w:w="7620" w:type="dxa"/>
            <w:shd w:val="clear" w:color="auto" w:fill="auto"/>
          </w:tcPr>
          <w:p w14:paraId="7A0C44AD" w14:textId="77777777" w:rsidR="000937AB" w:rsidRDefault="000937AB" w:rsidP="000937AB">
            <w:r>
              <w:t>Comment</w:t>
            </w:r>
          </w:p>
        </w:tc>
      </w:tr>
      <w:tr w:rsidR="000937AB" w:rsidRPr="000937AB" w14:paraId="0CB8303E" w14:textId="77777777" w:rsidTr="000937AB">
        <w:tc>
          <w:tcPr>
            <w:tcW w:w="1668" w:type="dxa"/>
            <w:shd w:val="clear" w:color="auto" w:fill="auto"/>
          </w:tcPr>
          <w:p w14:paraId="59876BE3" w14:textId="77777777" w:rsidR="000937AB" w:rsidRDefault="000937AB" w:rsidP="000937AB">
            <w:r>
              <w:t>Ericsson</w:t>
            </w:r>
          </w:p>
        </w:tc>
        <w:tc>
          <w:tcPr>
            <w:tcW w:w="7620" w:type="dxa"/>
            <w:shd w:val="clear" w:color="auto" w:fill="auto"/>
          </w:tcPr>
          <w:p w14:paraId="3B42CCD1" w14:textId="1E05492D" w:rsidR="000937AB" w:rsidRPr="000937AB" w:rsidRDefault="000937AB" w:rsidP="000937AB">
            <w:pPr>
              <w:rPr>
                <w:lang w:val="en-GB"/>
              </w:rPr>
            </w:pPr>
            <w:r w:rsidRPr="000937AB">
              <w:rPr>
                <w:lang w:val="en-GB"/>
              </w:rPr>
              <w:t>The scenario support options d</w:t>
            </w:r>
            <w:r>
              <w:rPr>
                <w:lang w:val="en-GB"/>
              </w:rPr>
              <w:t>escribed are feasible. The scenario described by SA2 in their LS in [1] can be supported while maintaining uniform slice availability</w:t>
            </w:r>
          </w:p>
        </w:tc>
      </w:tr>
      <w:tr w:rsidR="000937AB" w:rsidRPr="000937AB" w14:paraId="58C962C2" w14:textId="77777777" w:rsidTr="000937AB">
        <w:tc>
          <w:tcPr>
            <w:tcW w:w="1668" w:type="dxa"/>
            <w:shd w:val="clear" w:color="auto" w:fill="auto"/>
          </w:tcPr>
          <w:p w14:paraId="111F647D" w14:textId="77777777" w:rsidR="000937AB" w:rsidRPr="000937AB" w:rsidRDefault="000937AB" w:rsidP="000937AB">
            <w:pPr>
              <w:rPr>
                <w:lang w:val="en-GB"/>
              </w:rPr>
            </w:pPr>
          </w:p>
        </w:tc>
        <w:tc>
          <w:tcPr>
            <w:tcW w:w="7620" w:type="dxa"/>
            <w:shd w:val="clear" w:color="auto" w:fill="auto"/>
          </w:tcPr>
          <w:p w14:paraId="7C5EB818" w14:textId="77777777" w:rsidR="000937AB" w:rsidRPr="000937AB" w:rsidRDefault="000937AB" w:rsidP="000937AB">
            <w:pPr>
              <w:rPr>
                <w:lang w:val="en-GB"/>
              </w:rPr>
            </w:pPr>
          </w:p>
        </w:tc>
      </w:tr>
      <w:tr w:rsidR="000937AB" w:rsidRPr="000937AB" w14:paraId="020E6DAC" w14:textId="77777777" w:rsidTr="000937AB">
        <w:tc>
          <w:tcPr>
            <w:tcW w:w="1668" w:type="dxa"/>
            <w:shd w:val="clear" w:color="auto" w:fill="auto"/>
          </w:tcPr>
          <w:p w14:paraId="40DE9800" w14:textId="77777777" w:rsidR="000937AB" w:rsidRPr="000937AB" w:rsidRDefault="000937AB" w:rsidP="000937AB">
            <w:pPr>
              <w:rPr>
                <w:lang w:val="en-GB"/>
              </w:rPr>
            </w:pPr>
          </w:p>
        </w:tc>
        <w:tc>
          <w:tcPr>
            <w:tcW w:w="7620" w:type="dxa"/>
            <w:shd w:val="clear" w:color="auto" w:fill="auto"/>
          </w:tcPr>
          <w:p w14:paraId="367A0494" w14:textId="77777777" w:rsidR="000937AB" w:rsidRPr="000937AB" w:rsidRDefault="000937AB" w:rsidP="000937AB">
            <w:pPr>
              <w:rPr>
                <w:lang w:val="en-GB"/>
              </w:rPr>
            </w:pPr>
          </w:p>
        </w:tc>
      </w:tr>
    </w:tbl>
    <w:p w14:paraId="1DE36BAD" w14:textId="77777777" w:rsidR="000937AB" w:rsidRPr="000937AB" w:rsidRDefault="000937AB" w:rsidP="008F4D57">
      <w:pPr>
        <w:rPr>
          <w:lang w:val="en-GB"/>
        </w:rPr>
      </w:pPr>
    </w:p>
    <w:p w14:paraId="756B1C0B" w14:textId="0117491E" w:rsidR="000937AB" w:rsidRDefault="000937AB" w:rsidP="000937AB">
      <w:pPr>
        <w:pStyle w:val="Heading2"/>
      </w:pPr>
      <w:r>
        <w:t>3.3</w:t>
      </w:r>
      <w:r w:rsidRPr="006E13D1">
        <w:tab/>
      </w:r>
      <w:r>
        <w:t>Feedback on KI#7 solutions in TR23.700-40</w:t>
      </w:r>
    </w:p>
    <w:p w14:paraId="21552701" w14:textId="2497DEEE" w:rsidR="00E42257" w:rsidRDefault="000937AB" w:rsidP="008F4D57">
      <w:pPr>
        <w:rPr>
          <w:lang w:val="en-GB"/>
        </w:rPr>
      </w:pPr>
      <w:r w:rsidRPr="000937AB">
        <w:rPr>
          <w:lang w:val="en-GB"/>
        </w:rPr>
        <w:t xml:space="preserve">The following feedback is proposed to be provided on the solutions </w:t>
      </w:r>
      <w:r>
        <w:rPr>
          <w:lang w:val="en-GB"/>
        </w:rPr>
        <w:t>available in TR23.700-40 and concerning KI#7.</w:t>
      </w:r>
    </w:p>
    <w:p w14:paraId="4A5D9E19" w14:textId="77777777" w:rsidR="000937AB" w:rsidRDefault="000937AB" w:rsidP="000937AB">
      <w:pPr>
        <w:spacing w:after="0"/>
        <w:jc w:val="both"/>
        <w:rPr>
          <w:b/>
          <w:bCs/>
          <w:lang w:val="en-GB"/>
        </w:rPr>
      </w:pPr>
    </w:p>
    <w:p w14:paraId="5B99EB31" w14:textId="0486F4BC" w:rsidR="000937AB" w:rsidRPr="000937AB" w:rsidRDefault="000937AB" w:rsidP="000937AB">
      <w:pPr>
        <w:pStyle w:val="Observation"/>
        <w:numPr>
          <w:ilvl w:val="0"/>
          <w:numId w:val="0"/>
        </w:numPr>
        <w:tabs>
          <w:tab w:val="clear" w:pos="1701"/>
        </w:tabs>
        <w:rPr>
          <w:b w:val="0"/>
          <w:bCs w:val="0"/>
          <w:lang w:val="en-US"/>
        </w:rPr>
      </w:pPr>
      <w:r w:rsidRPr="000937AB">
        <w:rPr>
          <w:b w:val="0"/>
          <w:bCs w:val="0"/>
          <w:lang w:val="en-US"/>
        </w:rPr>
        <w:t xml:space="preserve">Solution 17 is feasible for cases where slices are only supported on some frequencies. The solution allows for fast access to network slices. The solution is </w:t>
      </w:r>
      <w:r w:rsidRPr="000937AB">
        <w:rPr>
          <w:b w:val="0"/>
          <w:bCs w:val="0"/>
        </w:rPr>
        <w:t>backwards compatible with previous UE releases</w:t>
      </w:r>
      <w:r w:rsidRPr="000937AB">
        <w:rPr>
          <w:b w:val="0"/>
          <w:bCs w:val="0"/>
          <w:lang w:val="en-US"/>
        </w:rPr>
        <w:t xml:space="preserve">.   </w:t>
      </w:r>
    </w:p>
    <w:p w14:paraId="486786FF" w14:textId="77777777" w:rsidR="000937AB" w:rsidRPr="000937AB" w:rsidRDefault="000937AB" w:rsidP="000937AB">
      <w:pPr>
        <w:pStyle w:val="Observation"/>
        <w:numPr>
          <w:ilvl w:val="0"/>
          <w:numId w:val="0"/>
        </w:numPr>
        <w:tabs>
          <w:tab w:val="clear" w:pos="1701"/>
        </w:tabs>
        <w:rPr>
          <w:b w:val="0"/>
          <w:bCs w:val="0"/>
          <w:lang w:val="en-US"/>
        </w:rPr>
      </w:pPr>
    </w:p>
    <w:p w14:paraId="3AE09BE1" w14:textId="46B2AF0A" w:rsidR="000937AB" w:rsidRPr="000937AB" w:rsidRDefault="000937AB" w:rsidP="000937AB">
      <w:pPr>
        <w:pStyle w:val="Observation"/>
        <w:numPr>
          <w:ilvl w:val="0"/>
          <w:numId w:val="0"/>
        </w:numPr>
        <w:tabs>
          <w:tab w:val="clear" w:pos="1701"/>
        </w:tabs>
        <w:rPr>
          <w:b w:val="0"/>
          <w:bCs w:val="0"/>
        </w:rPr>
      </w:pPr>
      <w:r w:rsidRPr="000937AB">
        <w:rPr>
          <w:b w:val="0"/>
          <w:bCs w:val="0"/>
          <w:lang w:val="en-US"/>
        </w:rPr>
        <w:t>Solution 29 is feasible for cases where slices are supported on all frequencies.</w:t>
      </w:r>
      <w:r w:rsidRPr="000937AB">
        <w:rPr>
          <w:b w:val="0"/>
          <w:bCs w:val="0"/>
        </w:rPr>
        <w:t xml:space="preserve"> This solution does not ensure fast access to network slices. The solution may negatively impact the RAN if the UE uses the configured frequency band per slice to steer cell re-selection. The solution cannot be supported by with previous UE releases.</w:t>
      </w:r>
    </w:p>
    <w:p w14:paraId="4FF1FAA2" w14:textId="77777777" w:rsidR="000937AB" w:rsidRPr="000937AB" w:rsidRDefault="000937AB" w:rsidP="000937AB">
      <w:pPr>
        <w:pStyle w:val="Observation"/>
        <w:numPr>
          <w:ilvl w:val="0"/>
          <w:numId w:val="0"/>
        </w:numPr>
        <w:tabs>
          <w:tab w:val="clear" w:pos="1701"/>
        </w:tabs>
        <w:rPr>
          <w:b w:val="0"/>
          <w:bCs w:val="0"/>
        </w:rPr>
      </w:pPr>
    </w:p>
    <w:p w14:paraId="55C8E1DA" w14:textId="1128F731" w:rsidR="000937AB" w:rsidRPr="000937AB" w:rsidRDefault="000937AB" w:rsidP="000937AB">
      <w:pPr>
        <w:pStyle w:val="Observation"/>
        <w:numPr>
          <w:ilvl w:val="0"/>
          <w:numId w:val="0"/>
        </w:numPr>
        <w:tabs>
          <w:tab w:val="clear" w:pos="1701"/>
        </w:tabs>
        <w:rPr>
          <w:b w:val="0"/>
          <w:bCs w:val="0"/>
        </w:rPr>
      </w:pPr>
      <w:r w:rsidRPr="000937AB">
        <w:rPr>
          <w:b w:val="0"/>
          <w:bCs w:val="0"/>
          <w:lang w:val="en-US"/>
        </w:rPr>
        <w:t>Solution 30 is feasible for cases where slices are supported on all frequencies.</w:t>
      </w:r>
      <w:r w:rsidRPr="000937AB">
        <w:rPr>
          <w:b w:val="0"/>
          <w:bCs w:val="0"/>
        </w:rPr>
        <w:t xml:space="preserve"> This solution does not ensure fast access to network slices. Solution 30 may be useful to aid the UE at cell selection and re-selection The solution may negatively impact the RAN if the UE uses the configured frequency band per slice to steer cell re-selection.  The solution cannot be supported by with previous UE releases.</w:t>
      </w:r>
    </w:p>
    <w:p w14:paraId="6B9FBA36" w14:textId="77777777" w:rsidR="000937AB" w:rsidRPr="000937AB" w:rsidRDefault="000937AB" w:rsidP="000937AB">
      <w:pPr>
        <w:pStyle w:val="Observation"/>
        <w:numPr>
          <w:ilvl w:val="0"/>
          <w:numId w:val="0"/>
        </w:numPr>
        <w:tabs>
          <w:tab w:val="clear" w:pos="1701"/>
        </w:tabs>
        <w:rPr>
          <w:b w:val="0"/>
          <w:bCs w:val="0"/>
        </w:rPr>
      </w:pPr>
    </w:p>
    <w:p w14:paraId="168D3D3E" w14:textId="69B79849" w:rsidR="000937AB" w:rsidRPr="000937AB" w:rsidRDefault="000937AB" w:rsidP="000937AB">
      <w:pPr>
        <w:pStyle w:val="Observation"/>
        <w:numPr>
          <w:ilvl w:val="0"/>
          <w:numId w:val="0"/>
        </w:numPr>
        <w:tabs>
          <w:tab w:val="clear" w:pos="1701"/>
        </w:tabs>
        <w:rPr>
          <w:b w:val="0"/>
          <w:bCs w:val="0"/>
        </w:rPr>
      </w:pPr>
      <w:r w:rsidRPr="000937AB">
        <w:rPr>
          <w:b w:val="0"/>
          <w:bCs w:val="0"/>
          <w:lang w:val="en-US"/>
        </w:rPr>
        <w:t>Solution 31 is feasible for cases where slices are supported on all frequencies.</w:t>
      </w:r>
      <w:r w:rsidRPr="000937AB">
        <w:rPr>
          <w:b w:val="0"/>
          <w:bCs w:val="0"/>
        </w:rPr>
        <w:t xml:space="preserve"> Assuming that Solution 31 is conform to the uniform availability principle (slices supported in all cells of an RA), Solution 31 </w:t>
      </w:r>
      <w:r w:rsidRPr="000937AB">
        <w:rPr>
          <w:b w:val="0"/>
          <w:bCs w:val="0"/>
          <w:lang w:eastAsia="zh-CN"/>
        </w:rPr>
        <w:t xml:space="preserve">have potential to provide a method for steering UE’s to the preferred frequency band, that works for all UE’s. </w:t>
      </w:r>
      <w:r w:rsidRPr="000937AB">
        <w:rPr>
          <w:b w:val="0"/>
          <w:bCs w:val="0"/>
        </w:rPr>
        <w:t xml:space="preserve">The solution allows for fast access to network slices, although </w:t>
      </w:r>
      <w:r w:rsidRPr="000937AB">
        <w:rPr>
          <w:b w:val="0"/>
          <w:bCs w:val="0"/>
          <w:lang w:eastAsia="zh-CN"/>
        </w:rPr>
        <w:t xml:space="preserve">it needs to be clarified how PDU session procedure is triggered if DC is used to access preferred frequency. Latency in triggering PDU session resource allocation procedures at the RAN delays access to the slice. </w:t>
      </w:r>
      <w:r w:rsidRPr="000937AB">
        <w:rPr>
          <w:b w:val="0"/>
          <w:bCs w:val="0"/>
        </w:rPr>
        <w:t>The solution cannot be supported by with previous UE releases.</w:t>
      </w:r>
    </w:p>
    <w:p w14:paraId="435A0D4C" w14:textId="77777777" w:rsidR="000937AB" w:rsidRPr="000937AB" w:rsidRDefault="000937AB" w:rsidP="000937AB">
      <w:pPr>
        <w:pStyle w:val="Observation"/>
        <w:numPr>
          <w:ilvl w:val="0"/>
          <w:numId w:val="0"/>
        </w:numPr>
        <w:tabs>
          <w:tab w:val="clear" w:pos="1701"/>
        </w:tabs>
        <w:rPr>
          <w:b w:val="0"/>
          <w:bCs w:val="0"/>
        </w:rPr>
      </w:pPr>
    </w:p>
    <w:p w14:paraId="43732D38" w14:textId="77777777" w:rsidR="000937AB" w:rsidRPr="000937AB" w:rsidRDefault="000937AB" w:rsidP="000937AB">
      <w:pPr>
        <w:pStyle w:val="Observation"/>
        <w:numPr>
          <w:ilvl w:val="0"/>
          <w:numId w:val="0"/>
        </w:numPr>
        <w:tabs>
          <w:tab w:val="clear" w:pos="1701"/>
        </w:tabs>
        <w:rPr>
          <w:b w:val="0"/>
          <w:bCs w:val="0"/>
          <w:lang w:val="en-US"/>
        </w:rPr>
      </w:pPr>
      <w:r w:rsidRPr="000937AB">
        <w:rPr>
          <w:b w:val="0"/>
          <w:bCs w:val="0"/>
          <w:lang w:val="en-US"/>
        </w:rPr>
        <w:t>Solution 44 is feasible for cases where slices are supported on all frequencies.</w:t>
      </w:r>
      <w:r w:rsidRPr="000937AB">
        <w:rPr>
          <w:b w:val="0"/>
          <w:bCs w:val="0"/>
        </w:rPr>
        <w:t xml:space="preserve"> The solution ensures fast access to network slices. The solution is backwards compatible with previous UE releases. Solution 44 provides a straightforward solution that keep RAN in charge of the radio resources and UE mobility. </w:t>
      </w:r>
    </w:p>
    <w:p w14:paraId="71500A01" w14:textId="70BD0236" w:rsidR="000937AB" w:rsidRDefault="000937AB" w:rsidP="008F4D57">
      <w:pPr>
        <w:rPr>
          <w:lang w:val="en-GB"/>
        </w:rPr>
      </w:pPr>
    </w:p>
    <w:p w14:paraId="1E0AB726" w14:textId="7EDC380B" w:rsidR="000937AB" w:rsidRPr="000937AB" w:rsidRDefault="000937AB" w:rsidP="008F4D57">
      <w:pPr>
        <w:rPr>
          <w:lang w:val="en-GB"/>
        </w:rPr>
      </w:pPr>
      <w:r>
        <w:rPr>
          <w:lang w:val="en-GB"/>
        </w:rPr>
        <w:t>Companies are invited to provide their views on the feedback on the solutions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42257" w14:paraId="337BC4FC" w14:textId="77777777" w:rsidTr="00AE3231">
        <w:tc>
          <w:tcPr>
            <w:tcW w:w="1668" w:type="dxa"/>
            <w:shd w:val="clear" w:color="auto" w:fill="auto"/>
          </w:tcPr>
          <w:p w14:paraId="3D1BAE32" w14:textId="77777777" w:rsidR="00E42257" w:rsidRDefault="00E42257" w:rsidP="00AE3231">
            <w:r>
              <w:t>Company</w:t>
            </w:r>
          </w:p>
        </w:tc>
        <w:tc>
          <w:tcPr>
            <w:tcW w:w="7620" w:type="dxa"/>
            <w:shd w:val="clear" w:color="auto" w:fill="auto"/>
          </w:tcPr>
          <w:p w14:paraId="69F6933F" w14:textId="77777777" w:rsidR="00E42257" w:rsidRDefault="00E42257" w:rsidP="00AE3231">
            <w:r>
              <w:t>Comment</w:t>
            </w:r>
          </w:p>
        </w:tc>
      </w:tr>
      <w:tr w:rsidR="00E42257" w:rsidRPr="000937AB" w14:paraId="7E5B8857" w14:textId="77777777" w:rsidTr="00AE3231">
        <w:tc>
          <w:tcPr>
            <w:tcW w:w="1668" w:type="dxa"/>
            <w:shd w:val="clear" w:color="auto" w:fill="auto"/>
          </w:tcPr>
          <w:p w14:paraId="2E40BD02" w14:textId="77777777" w:rsidR="00E42257" w:rsidRDefault="00E42257" w:rsidP="00AE3231">
            <w:r>
              <w:t>Ericsson</w:t>
            </w:r>
          </w:p>
        </w:tc>
        <w:tc>
          <w:tcPr>
            <w:tcW w:w="7620" w:type="dxa"/>
            <w:shd w:val="clear" w:color="auto" w:fill="auto"/>
          </w:tcPr>
          <w:p w14:paraId="049FB7D1" w14:textId="07569E7E" w:rsidR="00E42257" w:rsidRPr="000937AB" w:rsidRDefault="00E42257" w:rsidP="00AE3231">
            <w:pPr>
              <w:rPr>
                <w:lang w:val="en-GB"/>
              </w:rPr>
            </w:pPr>
            <w:r w:rsidRPr="000937AB">
              <w:rPr>
                <w:lang w:val="en-GB"/>
              </w:rPr>
              <w:t xml:space="preserve">Agree to the </w:t>
            </w:r>
            <w:r w:rsidR="000937AB" w:rsidRPr="000937AB">
              <w:rPr>
                <w:lang w:val="en-GB"/>
              </w:rPr>
              <w:t>feedback a</w:t>
            </w:r>
            <w:r w:rsidR="000937AB">
              <w:rPr>
                <w:lang w:val="en-GB"/>
              </w:rPr>
              <w:t>bove and agree to include this feedback in a reply LS to SA2.</w:t>
            </w:r>
          </w:p>
        </w:tc>
      </w:tr>
      <w:tr w:rsidR="00E42257" w:rsidRPr="000937AB" w14:paraId="50C56B1B" w14:textId="77777777" w:rsidTr="00AE3231">
        <w:tc>
          <w:tcPr>
            <w:tcW w:w="1668" w:type="dxa"/>
            <w:shd w:val="clear" w:color="auto" w:fill="auto"/>
          </w:tcPr>
          <w:p w14:paraId="188A7362" w14:textId="77777777" w:rsidR="00E42257" w:rsidRPr="000937AB" w:rsidRDefault="00E42257" w:rsidP="00AE3231">
            <w:pPr>
              <w:rPr>
                <w:lang w:val="en-GB"/>
              </w:rPr>
            </w:pPr>
          </w:p>
        </w:tc>
        <w:tc>
          <w:tcPr>
            <w:tcW w:w="7620" w:type="dxa"/>
            <w:shd w:val="clear" w:color="auto" w:fill="auto"/>
          </w:tcPr>
          <w:p w14:paraId="12794129" w14:textId="77777777" w:rsidR="00E42257" w:rsidRPr="000937AB" w:rsidRDefault="00E42257" w:rsidP="00AE3231">
            <w:pPr>
              <w:rPr>
                <w:lang w:val="en-GB"/>
              </w:rPr>
            </w:pPr>
          </w:p>
        </w:tc>
      </w:tr>
      <w:tr w:rsidR="00E42257" w:rsidRPr="000937AB" w14:paraId="1B30D2AE" w14:textId="77777777" w:rsidTr="00AE3231">
        <w:tc>
          <w:tcPr>
            <w:tcW w:w="1668" w:type="dxa"/>
            <w:shd w:val="clear" w:color="auto" w:fill="auto"/>
          </w:tcPr>
          <w:p w14:paraId="40AAC0E7" w14:textId="77777777" w:rsidR="00E42257" w:rsidRPr="000937AB" w:rsidRDefault="00E42257" w:rsidP="00AE3231">
            <w:pPr>
              <w:rPr>
                <w:lang w:val="en-GB"/>
              </w:rPr>
            </w:pPr>
          </w:p>
        </w:tc>
        <w:tc>
          <w:tcPr>
            <w:tcW w:w="7620" w:type="dxa"/>
            <w:shd w:val="clear" w:color="auto" w:fill="auto"/>
          </w:tcPr>
          <w:p w14:paraId="71B72C71" w14:textId="77777777" w:rsidR="00E42257" w:rsidRPr="000937AB" w:rsidRDefault="00E42257" w:rsidP="00AE3231">
            <w:pPr>
              <w:rPr>
                <w:lang w:val="en-GB"/>
              </w:rPr>
            </w:pPr>
          </w:p>
        </w:tc>
      </w:tr>
    </w:tbl>
    <w:p w14:paraId="7DA85040" w14:textId="77777777" w:rsidR="00E42257" w:rsidRPr="000937AB" w:rsidRDefault="00E42257" w:rsidP="008F4D57">
      <w:pPr>
        <w:rPr>
          <w:b/>
          <w:bCs/>
          <w:lang w:val="en-GB"/>
        </w:rPr>
      </w:pPr>
    </w:p>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6290FF5D" w14:textId="00F1FA12" w:rsidR="00B43FF9" w:rsidRDefault="00B43FF9" w:rsidP="00B43FF9">
      <w:pPr>
        <w:pStyle w:val="Heading1"/>
      </w:pPr>
      <w:r>
        <w:t>5</w:t>
      </w:r>
      <w:r w:rsidRPr="006E13D1">
        <w:tab/>
      </w:r>
      <w:r>
        <w:t>References</w:t>
      </w:r>
    </w:p>
    <w:p w14:paraId="1DD4FB92" w14:textId="33235A11" w:rsidR="00CD4C7B" w:rsidRDefault="008F4D57" w:rsidP="00CD4C7B">
      <w:pPr>
        <w:rPr>
          <w:rFonts w:ascii="Calibri" w:hAnsi="Calibri" w:cs="Calibri"/>
          <w:sz w:val="18"/>
          <w:szCs w:val="24"/>
        </w:rPr>
      </w:pPr>
      <w:r>
        <w:t>[1] R3-206</w:t>
      </w:r>
      <w:r w:rsidR="00AE3231">
        <w:t>435</w:t>
      </w:r>
      <w:r>
        <w:t xml:space="preserve">, </w:t>
      </w:r>
      <w:r w:rsidR="00AE3231" w:rsidRPr="00AF2E01">
        <w:rPr>
          <w:rFonts w:ascii="Calibri" w:hAnsi="Calibri" w:cs="Calibri"/>
          <w:sz w:val="18"/>
          <w:szCs w:val="24"/>
        </w:rPr>
        <w:t>Analysis of KI#7 on Fast Access To Network Slices (Ericsson)</w:t>
      </w:r>
    </w:p>
    <w:p w14:paraId="6061DFD4" w14:textId="76B45569" w:rsidR="004C31D3" w:rsidRDefault="004C31D3" w:rsidP="004C31D3">
      <w:pPr>
        <w:rPr>
          <w:rFonts w:cstheme="minorHAnsi"/>
        </w:rPr>
      </w:pPr>
      <w:r>
        <w:rPr>
          <w:rFonts w:cstheme="minorHAnsi"/>
        </w:rPr>
        <w:t>[2] R3-201524, LS on 5GC assisted cell selection for accessing network slice</w:t>
      </w:r>
    </w:p>
    <w:p w14:paraId="6E42FEB0" w14:textId="77777777" w:rsidR="004C31D3" w:rsidRPr="006E13D1" w:rsidRDefault="004C31D3"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A6BA4" w14:textId="77777777" w:rsidR="000937AB" w:rsidRDefault="000937AB">
      <w:r>
        <w:separator/>
      </w:r>
    </w:p>
  </w:endnote>
  <w:endnote w:type="continuationSeparator" w:id="0">
    <w:p w14:paraId="28AD09BE" w14:textId="77777777" w:rsidR="000937AB" w:rsidRDefault="0009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A22A" w14:textId="77777777" w:rsidR="000937AB" w:rsidRDefault="000937AB">
      <w:r>
        <w:separator/>
      </w:r>
    </w:p>
  </w:footnote>
  <w:footnote w:type="continuationSeparator" w:id="0">
    <w:p w14:paraId="070155F5" w14:textId="77777777" w:rsidR="000937AB" w:rsidRDefault="0009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F38"/>
    <w:multiLevelType w:val="hybridMultilevel"/>
    <w:tmpl w:val="577821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873C2"/>
    <w:multiLevelType w:val="hybridMultilevel"/>
    <w:tmpl w:val="9C8E9782"/>
    <w:lvl w:ilvl="0" w:tplc="A27C0D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6FDE"/>
    <w:multiLevelType w:val="hybridMultilevel"/>
    <w:tmpl w:val="A87AE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667A7"/>
    <w:multiLevelType w:val="hybridMultilevel"/>
    <w:tmpl w:val="BFB4F5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CEB6A5B"/>
    <w:multiLevelType w:val="hybridMultilevel"/>
    <w:tmpl w:val="10EA4AF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0366"/>
    <w:multiLevelType w:val="hybridMultilevel"/>
    <w:tmpl w:val="BFB4F5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5FD398D"/>
    <w:multiLevelType w:val="hybridMultilevel"/>
    <w:tmpl w:val="466E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839A9"/>
    <w:multiLevelType w:val="hybridMultilevel"/>
    <w:tmpl w:val="6EEE1D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01505E"/>
    <w:multiLevelType w:val="hybridMultilevel"/>
    <w:tmpl w:val="74626E32"/>
    <w:lvl w:ilvl="0" w:tplc="901E4CC4">
      <w:start w:val="1"/>
      <w:numFmt w:val="decimal"/>
      <w:pStyle w:val="Observation"/>
      <w:lvlText w:val="Observation %1"/>
      <w:lvlJc w:val="left"/>
      <w:pPr>
        <w:ind w:left="360" w:hanging="360"/>
      </w:pPr>
    </w:lvl>
    <w:lvl w:ilvl="1" w:tplc="118CA5D0">
      <w:start w:val="1"/>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DF5EA5"/>
    <w:multiLevelType w:val="hybridMultilevel"/>
    <w:tmpl w:val="608679F6"/>
    <w:lvl w:ilvl="0" w:tplc="78A864BC">
      <w:start w:val="1"/>
      <w:numFmt w:val="decim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3" w15:restartNumberingAfterBreak="0">
    <w:nsid w:val="57046A77"/>
    <w:multiLevelType w:val="hybridMultilevel"/>
    <w:tmpl w:val="D2AC9716"/>
    <w:lvl w:ilvl="0" w:tplc="13B0C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A79F4"/>
    <w:multiLevelType w:val="hybridMultilevel"/>
    <w:tmpl w:val="416056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2"/>
  </w:num>
  <w:num w:numId="7">
    <w:abstractNumId w:val="3"/>
  </w:num>
  <w:num w:numId="8">
    <w:abstractNumId w:val="14"/>
  </w:num>
  <w:num w:numId="9">
    <w:abstractNumId w:val="14"/>
  </w:num>
  <w:num w:numId="10">
    <w:abstractNumId w:val="5"/>
  </w:num>
  <w:num w:numId="11">
    <w:abstractNumId w:val="8"/>
  </w:num>
  <w:num w:numId="12">
    <w:abstractNumId w:val="13"/>
  </w:num>
  <w:num w:numId="13">
    <w:abstractNumId w:val="9"/>
  </w:num>
  <w:num w:numId="14">
    <w:abstractNumId w:val="10"/>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21F81"/>
    <w:rsid w:val="00026B4E"/>
    <w:rsid w:val="00033397"/>
    <w:rsid w:val="000342C7"/>
    <w:rsid w:val="0003632C"/>
    <w:rsid w:val="00040095"/>
    <w:rsid w:val="00042373"/>
    <w:rsid w:val="0005563E"/>
    <w:rsid w:val="00062197"/>
    <w:rsid w:val="00080512"/>
    <w:rsid w:val="00083F0D"/>
    <w:rsid w:val="000937AB"/>
    <w:rsid w:val="000B7BCF"/>
    <w:rsid w:val="000C556D"/>
    <w:rsid w:val="000D376D"/>
    <w:rsid w:val="000D58AB"/>
    <w:rsid w:val="001075B7"/>
    <w:rsid w:val="001370F2"/>
    <w:rsid w:val="001549DD"/>
    <w:rsid w:val="001802E6"/>
    <w:rsid w:val="00194CD0"/>
    <w:rsid w:val="001B08B3"/>
    <w:rsid w:val="001C4281"/>
    <w:rsid w:val="001D0D3F"/>
    <w:rsid w:val="001F168B"/>
    <w:rsid w:val="001F70B7"/>
    <w:rsid w:val="0022606D"/>
    <w:rsid w:val="002305DD"/>
    <w:rsid w:val="00243BC7"/>
    <w:rsid w:val="00254D60"/>
    <w:rsid w:val="002623FC"/>
    <w:rsid w:val="002747EC"/>
    <w:rsid w:val="002855BF"/>
    <w:rsid w:val="002E1692"/>
    <w:rsid w:val="002F0D22"/>
    <w:rsid w:val="002F3B01"/>
    <w:rsid w:val="003172DC"/>
    <w:rsid w:val="00326069"/>
    <w:rsid w:val="003454FC"/>
    <w:rsid w:val="0035462D"/>
    <w:rsid w:val="00363177"/>
    <w:rsid w:val="0037525B"/>
    <w:rsid w:val="003B3FB3"/>
    <w:rsid w:val="003C08E1"/>
    <w:rsid w:val="003C4E37"/>
    <w:rsid w:val="003E16BE"/>
    <w:rsid w:val="003E3DA4"/>
    <w:rsid w:val="003E7223"/>
    <w:rsid w:val="00401855"/>
    <w:rsid w:val="004240BC"/>
    <w:rsid w:val="00436258"/>
    <w:rsid w:val="00442AE6"/>
    <w:rsid w:val="004577CD"/>
    <w:rsid w:val="00464695"/>
    <w:rsid w:val="00475A68"/>
    <w:rsid w:val="0048025A"/>
    <w:rsid w:val="004A6C84"/>
    <w:rsid w:val="004C31D3"/>
    <w:rsid w:val="004D3578"/>
    <w:rsid w:val="004D380D"/>
    <w:rsid w:val="004D3F58"/>
    <w:rsid w:val="004D5E47"/>
    <w:rsid w:val="004E213A"/>
    <w:rsid w:val="004E21FC"/>
    <w:rsid w:val="00503171"/>
    <w:rsid w:val="00505AA3"/>
    <w:rsid w:val="005153FE"/>
    <w:rsid w:val="005240A4"/>
    <w:rsid w:val="00534DA0"/>
    <w:rsid w:val="00540B31"/>
    <w:rsid w:val="00543E6C"/>
    <w:rsid w:val="00544635"/>
    <w:rsid w:val="00565087"/>
    <w:rsid w:val="0056573F"/>
    <w:rsid w:val="00565BE9"/>
    <w:rsid w:val="00571CE2"/>
    <w:rsid w:val="0058672E"/>
    <w:rsid w:val="00594661"/>
    <w:rsid w:val="005A00E1"/>
    <w:rsid w:val="005A4971"/>
    <w:rsid w:val="005B1232"/>
    <w:rsid w:val="005B2EEF"/>
    <w:rsid w:val="005B4392"/>
    <w:rsid w:val="005B79D2"/>
    <w:rsid w:val="005D4274"/>
    <w:rsid w:val="006024F4"/>
    <w:rsid w:val="00605E3E"/>
    <w:rsid w:val="00606DA9"/>
    <w:rsid w:val="00611566"/>
    <w:rsid w:val="00613A77"/>
    <w:rsid w:val="00654553"/>
    <w:rsid w:val="00656E1E"/>
    <w:rsid w:val="006604E4"/>
    <w:rsid w:val="00662450"/>
    <w:rsid w:val="006771AE"/>
    <w:rsid w:val="00693E9F"/>
    <w:rsid w:val="006C2F14"/>
    <w:rsid w:val="006C3C72"/>
    <w:rsid w:val="006C54B5"/>
    <w:rsid w:val="006D1E24"/>
    <w:rsid w:val="006E6555"/>
    <w:rsid w:val="006E661E"/>
    <w:rsid w:val="00702E82"/>
    <w:rsid w:val="00731C31"/>
    <w:rsid w:val="00734A5B"/>
    <w:rsid w:val="00743525"/>
    <w:rsid w:val="00744E76"/>
    <w:rsid w:val="007476DB"/>
    <w:rsid w:val="00757CBC"/>
    <w:rsid w:val="00757D40"/>
    <w:rsid w:val="00774846"/>
    <w:rsid w:val="00781F0F"/>
    <w:rsid w:val="0078727C"/>
    <w:rsid w:val="00797D4B"/>
    <w:rsid w:val="007A0758"/>
    <w:rsid w:val="007B0A52"/>
    <w:rsid w:val="007C095F"/>
    <w:rsid w:val="007D5902"/>
    <w:rsid w:val="007E3011"/>
    <w:rsid w:val="00802106"/>
    <w:rsid w:val="008028A4"/>
    <w:rsid w:val="00806520"/>
    <w:rsid w:val="00840916"/>
    <w:rsid w:val="0084359D"/>
    <w:rsid w:val="00852041"/>
    <w:rsid w:val="008520C6"/>
    <w:rsid w:val="00853EDD"/>
    <w:rsid w:val="008604EE"/>
    <w:rsid w:val="00874701"/>
    <w:rsid w:val="008768CA"/>
    <w:rsid w:val="00880559"/>
    <w:rsid w:val="00890E01"/>
    <w:rsid w:val="008F4D57"/>
    <w:rsid w:val="0090271F"/>
    <w:rsid w:val="00903D8C"/>
    <w:rsid w:val="00926D09"/>
    <w:rsid w:val="00942EC2"/>
    <w:rsid w:val="00954BCB"/>
    <w:rsid w:val="00961B32"/>
    <w:rsid w:val="009700AE"/>
    <w:rsid w:val="00971683"/>
    <w:rsid w:val="00972FD7"/>
    <w:rsid w:val="00974BB0"/>
    <w:rsid w:val="009A6E4F"/>
    <w:rsid w:val="009B54A1"/>
    <w:rsid w:val="009C4D5C"/>
    <w:rsid w:val="009D0A28"/>
    <w:rsid w:val="009E527A"/>
    <w:rsid w:val="009F3B54"/>
    <w:rsid w:val="009F7E6E"/>
    <w:rsid w:val="00A044D3"/>
    <w:rsid w:val="00A10F02"/>
    <w:rsid w:val="00A2096F"/>
    <w:rsid w:val="00A21A06"/>
    <w:rsid w:val="00A32D62"/>
    <w:rsid w:val="00A5074A"/>
    <w:rsid w:val="00A53724"/>
    <w:rsid w:val="00A56A11"/>
    <w:rsid w:val="00A64267"/>
    <w:rsid w:val="00A82346"/>
    <w:rsid w:val="00A8361A"/>
    <w:rsid w:val="00A90605"/>
    <w:rsid w:val="00A9671C"/>
    <w:rsid w:val="00A96769"/>
    <w:rsid w:val="00AD4BCF"/>
    <w:rsid w:val="00AE3231"/>
    <w:rsid w:val="00AF78D5"/>
    <w:rsid w:val="00B1063A"/>
    <w:rsid w:val="00B15449"/>
    <w:rsid w:val="00B43FF9"/>
    <w:rsid w:val="00B46017"/>
    <w:rsid w:val="00B90B3A"/>
    <w:rsid w:val="00B9781E"/>
    <w:rsid w:val="00BF79F1"/>
    <w:rsid w:val="00C03035"/>
    <w:rsid w:val="00C21396"/>
    <w:rsid w:val="00C33079"/>
    <w:rsid w:val="00C43B31"/>
    <w:rsid w:val="00CA3D0C"/>
    <w:rsid w:val="00CB6651"/>
    <w:rsid w:val="00CB6887"/>
    <w:rsid w:val="00CD4C7B"/>
    <w:rsid w:val="00CE510B"/>
    <w:rsid w:val="00CE7DFD"/>
    <w:rsid w:val="00D22038"/>
    <w:rsid w:val="00D40002"/>
    <w:rsid w:val="00D628F5"/>
    <w:rsid w:val="00D738D6"/>
    <w:rsid w:val="00D80795"/>
    <w:rsid w:val="00D84F1B"/>
    <w:rsid w:val="00D87E00"/>
    <w:rsid w:val="00D9134D"/>
    <w:rsid w:val="00D97CD9"/>
    <w:rsid w:val="00DA7A03"/>
    <w:rsid w:val="00DB1818"/>
    <w:rsid w:val="00DC309B"/>
    <w:rsid w:val="00DC4DA2"/>
    <w:rsid w:val="00DE1406"/>
    <w:rsid w:val="00DF488A"/>
    <w:rsid w:val="00E07838"/>
    <w:rsid w:val="00E07B06"/>
    <w:rsid w:val="00E13320"/>
    <w:rsid w:val="00E340BC"/>
    <w:rsid w:val="00E42257"/>
    <w:rsid w:val="00E4418E"/>
    <w:rsid w:val="00E62835"/>
    <w:rsid w:val="00E77645"/>
    <w:rsid w:val="00E81A99"/>
    <w:rsid w:val="00E852FF"/>
    <w:rsid w:val="00E90ABE"/>
    <w:rsid w:val="00EA22F8"/>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96EF0"/>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7AB"/>
    <w:pPr>
      <w:spacing w:after="160" w:line="256" w:lineRule="auto"/>
    </w:pPr>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84359D"/>
    <w:rPr>
      <w:rFonts w:ascii="Arial" w:hAnsi="Arial"/>
      <w:sz w:val="32"/>
      <w:lang w:val="en-GB" w:eastAsia="en-US"/>
    </w:rPr>
  </w:style>
  <w:style w:type="paragraph" w:styleId="ListParagraph">
    <w:name w:val="List Paragraph"/>
    <w:basedOn w:val="Normal"/>
    <w:uiPriority w:val="34"/>
    <w:qFormat/>
    <w:rsid w:val="00926D09"/>
    <w:pPr>
      <w:ind w:left="720"/>
      <w:contextualSpacing/>
    </w:pPr>
  </w:style>
  <w:style w:type="paragraph" w:styleId="BalloonText">
    <w:name w:val="Balloon Text"/>
    <w:basedOn w:val="Normal"/>
    <w:link w:val="BalloonTextChar"/>
    <w:semiHidden/>
    <w:unhideWhenUsed/>
    <w:rsid w:val="00475A6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75A68"/>
    <w:rPr>
      <w:rFonts w:ascii="Segoe UI" w:hAnsi="Segoe UI" w:cs="Segoe UI"/>
      <w:sz w:val="18"/>
      <w:szCs w:val="18"/>
      <w:lang w:val="en-GB" w:eastAsia="en-US"/>
    </w:rPr>
  </w:style>
  <w:style w:type="paragraph" w:customStyle="1" w:styleId="Proposal">
    <w:name w:val="Proposal"/>
    <w:basedOn w:val="BodyText"/>
    <w:rsid w:val="008F4D57"/>
    <w:pPr>
      <w:tabs>
        <w:tab w:val="left" w:pos="1701"/>
        <w:tab w:val="num" w:pos="2155"/>
      </w:tabs>
      <w:spacing w:line="259" w:lineRule="auto"/>
      <w:ind w:left="2155" w:hanging="1304"/>
      <w:jc w:val="both"/>
    </w:pPr>
    <w:rPr>
      <w:rFonts w:ascii="Arial" w:eastAsia="Calibri" w:hAnsi="Arial"/>
      <w:b/>
      <w:bCs/>
      <w:lang w:eastAsia="zh-CN"/>
    </w:rPr>
  </w:style>
  <w:style w:type="paragraph" w:styleId="BodyText">
    <w:name w:val="Body Text"/>
    <w:basedOn w:val="Normal"/>
    <w:link w:val="BodyTextChar"/>
    <w:rsid w:val="008F4D57"/>
    <w:pPr>
      <w:spacing w:after="120"/>
    </w:pPr>
  </w:style>
  <w:style w:type="character" w:customStyle="1" w:styleId="BodyTextChar">
    <w:name w:val="Body Text Char"/>
    <w:basedOn w:val="DefaultParagraphFont"/>
    <w:link w:val="BodyText"/>
    <w:rsid w:val="008F4D57"/>
    <w:rPr>
      <w:lang w:val="en-GB" w:eastAsia="en-US"/>
    </w:rPr>
  </w:style>
  <w:style w:type="paragraph" w:customStyle="1" w:styleId="Observation">
    <w:name w:val="Observation"/>
    <w:basedOn w:val="Normal"/>
    <w:qFormat/>
    <w:rsid w:val="000937AB"/>
    <w:pPr>
      <w:numPr>
        <w:numId w:val="17"/>
      </w:numPr>
      <w:tabs>
        <w:tab w:val="left" w:pos="1701"/>
      </w:tabs>
      <w:overflowPunct w:val="0"/>
      <w:autoSpaceDE w:val="0"/>
      <w:autoSpaceDN w:val="0"/>
      <w:adjustRightInd w:val="0"/>
      <w:spacing w:after="120" w:line="240" w:lineRule="auto"/>
      <w:ind w:left="1701" w:hanging="1701"/>
      <w:jc w:val="both"/>
    </w:pPr>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938">
      <w:bodyDiv w:val="1"/>
      <w:marLeft w:val="0"/>
      <w:marRight w:val="0"/>
      <w:marTop w:val="0"/>
      <w:marBottom w:val="0"/>
      <w:divBdr>
        <w:top w:val="none" w:sz="0" w:space="0" w:color="auto"/>
        <w:left w:val="none" w:sz="0" w:space="0" w:color="auto"/>
        <w:bottom w:val="none" w:sz="0" w:space="0" w:color="auto"/>
        <w:right w:val="none" w:sz="0" w:space="0" w:color="auto"/>
      </w:divBdr>
    </w:div>
    <w:div w:id="96605367">
      <w:bodyDiv w:val="1"/>
      <w:marLeft w:val="0"/>
      <w:marRight w:val="0"/>
      <w:marTop w:val="0"/>
      <w:marBottom w:val="0"/>
      <w:divBdr>
        <w:top w:val="none" w:sz="0" w:space="0" w:color="auto"/>
        <w:left w:val="none" w:sz="0" w:space="0" w:color="auto"/>
        <w:bottom w:val="none" w:sz="0" w:space="0" w:color="auto"/>
        <w:right w:val="none" w:sz="0" w:space="0" w:color="auto"/>
      </w:divBdr>
    </w:div>
    <w:div w:id="191695119">
      <w:bodyDiv w:val="1"/>
      <w:marLeft w:val="0"/>
      <w:marRight w:val="0"/>
      <w:marTop w:val="0"/>
      <w:marBottom w:val="0"/>
      <w:divBdr>
        <w:top w:val="none" w:sz="0" w:space="0" w:color="auto"/>
        <w:left w:val="none" w:sz="0" w:space="0" w:color="auto"/>
        <w:bottom w:val="none" w:sz="0" w:space="0" w:color="auto"/>
        <w:right w:val="none" w:sz="0" w:space="0" w:color="auto"/>
      </w:divBdr>
    </w:div>
    <w:div w:id="255486182">
      <w:bodyDiv w:val="1"/>
      <w:marLeft w:val="0"/>
      <w:marRight w:val="0"/>
      <w:marTop w:val="0"/>
      <w:marBottom w:val="0"/>
      <w:divBdr>
        <w:top w:val="none" w:sz="0" w:space="0" w:color="auto"/>
        <w:left w:val="none" w:sz="0" w:space="0" w:color="auto"/>
        <w:bottom w:val="none" w:sz="0" w:space="0" w:color="auto"/>
        <w:right w:val="none" w:sz="0" w:space="0" w:color="auto"/>
      </w:divBdr>
    </w:div>
    <w:div w:id="311982517">
      <w:bodyDiv w:val="1"/>
      <w:marLeft w:val="0"/>
      <w:marRight w:val="0"/>
      <w:marTop w:val="0"/>
      <w:marBottom w:val="0"/>
      <w:divBdr>
        <w:top w:val="none" w:sz="0" w:space="0" w:color="auto"/>
        <w:left w:val="none" w:sz="0" w:space="0" w:color="auto"/>
        <w:bottom w:val="none" w:sz="0" w:space="0" w:color="auto"/>
        <w:right w:val="none" w:sz="0" w:space="0" w:color="auto"/>
      </w:divBdr>
    </w:div>
    <w:div w:id="479274280">
      <w:bodyDiv w:val="1"/>
      <w:marLeft w:val="0"/>
      <w:marRight w:val="0"/>
      <w:marTop w:val="0"/>
      <w:marBottom w:val="0"/>
      <w:divBdr>
        <w:top w:val="none" w:sz="0" w:space="0" w:color="auto"/>
        <w:left w:val="none" w:sz="0" w:space="0" w:color="auto"/>
        <w:bottom w:val="none" w:sz="0" w:space="0" w:color="auto"/>
        <w:right w:val="none" w:sz="0" w:space="0" w:color="auto"/>
      </w:divBdr>
    </w:div>
    <w:div w:id="811944256">
      <w:bodyDiv w:val="1"/>
      <w:marLeft w:val="0"/>
      <w:marRight w:val="0"/>
      <w:marTop w:val="0"/>
      <w:marBottom w:val="0"/>
      <w:divBdr>
        <w:top w:val="none" w:sz="0" w:space="0" w:color="auto"/>
        <w:left w:val="none" w:sz="0" w:space="0" w:color="auto"/>
        <w:bottom w:val="none" w:sz="0" w:space="0" w:color="auto"/>
        <w:right w:val="none" w:sz="0" w:space="0" w:color="auto"/>
      </w:divBdr>
    </w:div>
    <w:div w:id="1002003413">
      <w:bodyDiv w:val="1"/>
      <w:marLeft w:val="0"/>
      <w:marRight w:val="0"/>
      <w:marTop w:val="0"/>
      <w:marBottom w:val="0"/>
      <w:divBdr>
        <w:top w:val="none" w:sz="0" w:space="0" w:color="auto"/>
        <w:left w:val="none" w:sz="0" w:space="0" w:color="auto"/>
        <w:bottom w:val="none" w:sz="0" w:space="0" w:color="auto"/>
        <w:right w:val="none" w:sz="0" w:space="0" w:color="auto"/>
      </w:divBdr>
    </w:div>
    <w:div w:id="1347902795">
      <w:bodyDiv w:val="1"/>
      <w:marLeft w:val="0"/>
      <w:marRight w:val="0"/>
      <w:marTop w:val="0"/>
      <w:marBottom w:val="0"/>
      <w:divBdr>
        <w:top w:val="none" w:sz="0" w:space="0" w:color="auto"/>
        <w:left w:val="none" w:sz="0" w:space="0" w:color="auto"/>
        <w:bottom w:val="none" w:sz="0" w:space="0" w:color="auto"/>
        <w:right w:val="none" w:sz="0" w:space="0" w:color="auto"/>
      </w:divBdr>
    </w:div>
    <w:div w:id="1497187966">
      <w:bodyDiv w:val="1"/>
      <w:marLeft w:val="0"/>
      <w:marRight w:val="0"/>
      <w:marTop w:val="0"/>
      <w:marBottom w:val="0"/>
      <w:divBdr>
        <w:top w:val="none" w:sz="0" w:space="0" w:color="auto"/>
        <w:left w:val="none" w:sz="0" w:space="0" w:color="auto"/>
        <w:bottom w:val="none" w:sz="0" w:space="0" w:color="auto"/>
        <w:right w:val="none" w:sz="0" w:space="0" w:color="auto"/>
      </w:divBdr>
    </w:div>
    <w:div w:id="1790081334">
      <w:bodyDiv w:val="1"/>
      <w:marLeft w:val="0"/>
      <w:marRight w:val="0"/>
      <w:marTop w:val="0"/>
      <w:marBottom w:val="0"/>
      <w:divBdr>
        <w:top w:val="none" w:sz="0" w:space="0" w:color="auto"/>
        <w:left w:val="none" w:sz="0" w:space="0" w:color="auto"/>
        <w:bottom w:val="none" w:sz="0" w:space="0" w:color="auto"/>
        <w:right w:val="none" w:sz="0" w:space="0" w:color="auto"/>
      </w:divBdr>
    </w:div>
    <w:div w:id="1797530581">
      <w:bodyDiv w:val="1"/>
      <w:marLeft w:val="0"/>
      <w:marRight w:val="0"/>
      <w:marTop w:val="0"/>
      <w:marBottom w:val="0"/>
      <w:divBdr>
        <w:top w:val="none" w:sz="0" w:space="0" w:color="auto"/>
        <w:left w:val="none" w:sz="0" w:space="0" w:color="auto"/>
        <w:bottom w:val="none" w:sz="0" w:space="0" w:color="auto"/>
        <w:right w:val="none" w:sz="0" w:space="0" w:color="auto"/>
      </w:divBdr>
    </w:div>
    <w:div w:id="20724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Template>
  <TotalTime>42</TotalTime>
  <Pages>4</Pages>
  <Words>1407</Words>
  <Characters>7158</Characters>
  <Application>Microsoft Office Word</Application>
  <DocSecurity>0</DocSecurity>
  <Lines>59</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Angelo</cp:lastModifiedBy>
  <cp:revision>3</cp:revision>
  <dcterms:created xsi:type="dcterms:W3CDTF">2020-11-02T16:37:00Z</dcterms:created>
  <dcterms:modified xsi:type="dcterms:W3CDTF">2020-11-02T17:38:00Z</dcterms:modified>
</cp:coreProperties>
</file>