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DD035" w14:textId="33438201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  <w:lang w:val="en-US"/>
        </w:rPr>
        <w:t xml:space="preserve">TSG-RAN WG3 </w:t>
      </w:r>
      <w:r>
        <w:rPr>
          <w:rFonts w:cs="Arial"/>
          <w:bCs/>
          <w:sz w:val="24"/>
          <w:szCs w:val="24"/>
        </w:rPr>
        <w:t>Meeting #110-e</w:t>
      </w:r>
      <w:r w:rsidRPr="000F4E43">
        <w:rPr>
          <w:rFonts w:cs="Arial"/>
          <w:bCs/>
          <w:sz w:val="24"/>
          <w:szCs w:val="24"/>
        </w:rPr>
        <w:tab/>
      </w:r>
      <w:r w:rsidR="005D47C1" w:rsidRPr="005D47C1">
        <w:rPr>
          <w:rFonts w:cs="Arial"/>
          <w:bCs/>
          <w:sz w:val="24"/>
          <w:szCs w:val="24"/>
        </w:rPr>
        <w:t>R3-</w:t>
      </w:r>
      <w:r w:rsidR="00CF722B" w:rsidRPr="005D47C1">
        <w:rPr>
          <w:rFonts w:cs="Arial"/>
          <w:bCs/>
          <w:sz w:val="24"/>
          <w:szCs w:val="24"/>
        </w:rPr>
        <w:t>20</w:t>
      </w:r>
      <w:r w:rsidR="00CF722B">
        <w:rPr>
          <w:rFonts w:cs="Arial"/>
          <w:bCs/>
          <w:sz w:val="24"/>
          <w:szCs w:val="24"/>
        </w:rPr>
        <w:t>xxxx</w:t>
      </w:r>
    </w:p>
    <w:p w14:paraId="38D94E0E" w14:textId="77777777" w:rsidR="004E3939" w:rsidRPr="00412CCB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95402B">
        <w:rPr>
          <w:rFonts w:cs="Arial"/>
          <w:bCs/>
          <w:sz w:val="24"/>
          <w:szCs w:val="24"/>
        </w:rPr>
        <w:t>E-meeting, 2 – 12 Nov 2020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2322C1D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3EF8">
        <w:rPr>
          <w:rFonts w:ascii="Arial" w:hAnsi="Arial" w:cs="Arial"/>
          <w:b/>
          <w:sz w:val="22"/>
          <w:szCs w:val="22"/>
        </w:rPr>
        <w:t xml:space="preserve">Reply on </w:t>
      </w:r>
      <w:r w:rsidR="00EA5B65" w:rsidRPr="00EA5B65">
        <w:rPr>
          <w:rFonts w:ascii="Arial" w:hAnsi="Arial" w:cs="Arial"/>
          <w:b/>
          <w:sz w:val="22"/>
          <w:szCs w:val="22"/>
        </w:rPr>
        <w:t>LS on Clarification on URLLC QoS Monitoring</w:t>
      </w:r>
    </w:p>
    <w:p w14:paraId="38803FCA" w14:textId="26405A8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93EF8" w:rsidRPr="00E93EF8">
        <w:rPr>
          <w:rFonts w:ascii="Arial" w:hAnsi="Arial" w:cs="Arial"/>
          <w:b/>
          <w:sz w:val="22"/>
          <w:szCs w:val="22"/>
        </w:rPr>
        <w:t xml:space="preserve">R3-206838/ </w:t>
      </w:r>
      <w:bookmarkStart w:id="2" w:name="OLE_LINK7"/>
      <w:r w:rsidR="00E93EF8" w:rsidRPr="00E93EF8">
        <w:rPr>
          <w:rFonts w:ascii="Arial" w:hAnsi="Arial" w:cs="Arial"/>
          <w:b/>
          <w:sz w:val="22"/>
          <w:szCs w:val="22"/>
        </w:rPr>
        <w:t>S2-2007825</w:t>
      </w:r>
      <w:bookmarkEnd w:id="2"/>
    </w:p>
    <w:p w14:paraId="2B1BF33D" w14:textId="25C0703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93EF8">
        <w:rPr>
          <w:rFonts w:ascii="Arial" w:hAnsi="Arial" w:cs="Arial"/>
          <w:b/>
          <w:bCs/>
          <w:sz w:val="22"/>
          <w:szCs w:val="22"/>
        </w:rPr>
        <w:t>Rel-16</w:t>
      </w:r>
    </w:p>
    <w:bookmarkEnd w:id="3"/>
    <w:bookmarkEnd w:id="4"/>
    <w:bookmarkEnd w:id="5"/>
    <w:p w14:paraId="6A4F303E" w14:textId="5FF78A3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93EF8" w:rsidRPr="00E93EF8">
        <w:rPr>
          <w:rFonts w:ascii="Arial" w:hAnsi="Arial" w:cs="Arial"/>
          <w:b/>
          <w:bCs/>
          <w:sz w:val="22"/>
          <w:szCs w:val="22"/>
        </w:rPr>
        <w:t>5G_URLLC</w:t>
      </w:r>
      <w:bookmarkStart w:id="6" w:name="_GoBack"/>
      <w:bookmarkEnd w:id="6"/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3C71A49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93E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35835C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93EF8">
        <w:rPr>
          <w:rFonts w:ascii="Arial" w:hAnsi="Arial" w:cs="Arial"/>
          <w:b/>
          <w:bCs/>
          <w:sz w:val="22"/>
          <w:szCs w:val="22"/>
        </w:rPr>
        <w:t>CT4, SA5, RAN2</w:t>
      </w:r>
    </w:p>
    <w:bookmarkEnd w:id="7"/>
    <w:bookmarkEnd w:id="8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08378EB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7AE3">
        <w:rPr>
          <w:rFonts w:ascii="Arial" w:hAnsi="Arial" w:cs="Arial"/>
          <w:b/>
          <w:bCs/>
          <w:sz w:val="22"/>
          <w:szCs w:val="22"/>
        </w:rPr>
        <w:t>ZHANG Hongzhuo</w:t>
      </w:r>
    </w:p>
    <w:p w14:paraId="61756F34" w14:textId="6A08994D" w:rsidR="00347AE3" w:rsidRDefault="00347A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zhanghongzhuo@huawei.com</w:t>
      </w:r>
    </w:p>
    <w:p w14:paraId="53395ACB" w14:textId="566AFCE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5D726251" w:rsidR="00B97703" w:rsidRDefault="00B97703" w:rsidP="00347AE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FB2CFD3" w14:textId="77777777" w:rsidR="00E93EF8" w:rsidRDefault="00124D4E" w:rsidP="00E93EF8">
      <w:pPr>
        <w:pStyle w:val="a3"/>
        <w:widowControl/>
        <w:overflowPunct/>
        <w:autoSpaceDE/>
        <w:autoSpaceDN/>
        <w:adjustRightInd/>
        <w:spacing w:afterLines="100" w:after="240"/>
        <w:textAlignment w:val="auto"/>
        <w:rPr>
          <w:rFonts w:eastAsia="SimSun" w:cs="Arial"/>
          <w:b w:val="0"/>
          <w:noProof w:val="0"/>
          <w:sz w:val="20"/>
          <w:lang w:eastAsia="en-US"/>
        </w:rPr>
      </w:pPr>
      <w:r w:rsidRPr="00E93EF8">
        <w:rPr>
          <w:rFonts w:eastAsia="SimSun" w:cs="Arial"/>
          <w:b w:val="0"/>
          <w:noProof w:val="0"/>
          <w:sz w:val="20"/>
          <w:lang w:eastAsia="en-US"/>
        </w:rPr>
        <w:t xml:space="preserve">RAN3 </w:t>
      </w:r>
      <w:r w:rsidR="00E93EF8" w:rsidRPr="00E93EF8">
        <w:rPr>
          <w:rFonts w:eastAsia="SimSun" w:cs="Arial"/>
          <w:b w:val="0"/>
          <w:noProof w:val="0"/>
          <w:sz w:val="20"/>
          <w:lang w:eastAsia="en-US"/>
        </w:rPr>
        <w:t xml:space="preserve">thanks SA2 for the LS on Clarification on URLLC QoS Monitoring in </w:t>
      </w:r>
      <w:bookmarkStart w:id="9" w:name="OLE_LINK22"/>
      <w:r w:rsidR="00E93EF8" w:rsidRPr="00E93EF8">
        <w:rPr>
          <w:rFonts w:eastAsia="SimSun" w:cs="Arial"/>
          <w:b w:val="0"/>
          <w:noProof w:val="0"/>
          <w:sz w:val="20"/>
          <w:lang w:eastAsia="en-US"/>
        </w:rPr>
        <w:t>S2-2007825</w:t>
      </w:r>
      <w:bookmarkEnd w:id="9"/>
      <w:r w:rsidR="00E93EF8" w:rsidRPr="00E93EF8">
        <w:rPr>
          <w:rFonts w:eastAsia="SimSun" w:cs="Arial"/>
          <w:b w:val="0"/>
          <w:noProof w:val="0"/>
          <w:sz w:val="20"/>
          <w:lang w:eastAsia="en-US"/>
        </w:rPr>
        <w:t xml:space="preserve">. </w:t>
      </w:r>
    </w:p>
    <w:p w14:paraId="464FF9DF" w14:textId="1FC0CBE3" w:rsidR="00E93EF8" w:rsidRDefault="00E93EF8" w:rsidP="00E93EF8">
      <w:pPr>
        <w:pStyle w:val="a3"/>
        <w:widowControl/>
        <w:overflowPunct/>
        <w:autoSpaceDE/>
        <w:autoSpaceDN/>
        <w:adjustRightInd/>
        <w:spacing w:afterLines="100" w:after="240"/>
        <w:textAlignment w:val="auto"/>
        <w:rPr>
          <w:rFonts w:eastAsia="SimSun" w:cs="Arial"/>
          <w:b w:val="0"/>
          <w:noProof w:val="0"/>
          <w:sz w:val="20"/>
          <w:lang w:eastAsia="en-US"/>
        </w:rPr>
      </w:pPr>
      <w:r w:rsidRPr="00E93EF8">
        <w:rPr>
          <w:rFonts w:eastAsia="SimSun" w:cs="Arial"/>
          <w:b w:val="0"/>
          <w:noProof w:val="0"/>
          <w:sz w:val="20"/>
          <w:lang w:eastAsia="en-US"/>
        </w:rPr>
        <w:t>Based on the request of SA2 in the LS, RAN3 agreed to introduce the reporting frequency to NGAP, XnAP and E1AP specifications</w:t>
      </w:r>
      <w:r>
        <w:rPr>
          <w:rFonts w:eastAsia="SimSun" w:cs="Arial"/>
          <w:b w:val="0"/>
          <w:noProof w:val="0"/>
          <w:sz w:val="20"/>
          <w:lang w:eastAsia="en-US"/>
        </w:rPr>
        <w:t xml:space="preserve"> to support the RAN part delay reporting for Qos monitoring for URLLC.</w:t>
      </w:r>
    </w:p>
    <w:p w14:paraId="6EFAF375" w14:textId="68AAE617" w:rsidR="00F65159" w:rsidRDefault="00E93EF8" w:rsidP="00E93EF8">
      <w:pPr>
        <w:pStyle w:val="a3"/>
        <w:widowControl/>
        <w:overflowPunct/>
        <w:autoSpaceDE/>
        <w:autoSpaceDN/>
        <w:adjustRightInd/>
        <w:spacing w:afterLines="100" w:after="240"/>
        <w:textAlignment w:val="auto"/>
        <w:rPr>
          <w:rFonts w:eastAsia="SimSun" w:cs="Arial"/>
          <w:b w:val="0"/>
          <w:noProof w:val="0"/>
          <w:sz w:val="20"/>
          <w:lang w:eastAsia="en-US"/>
        </w:rPr>
      </w:pPr>
      <w:r w:rsidRPr="00E93EF8">
        <w:rPr>
          <w:rFonts w:eastAsia="SimSun" w:cs="Arial"/>
          <w:b w:val="0"/>
          <w:noProof w:val="0"/>
          <w:sz w:val="20"/>
          <w:lang w:eastAsia="en-US"/>
        </w:rPr>
        <w:t>Because the RAN part delay consists of several components which may need to be measured at different entities (e.g. CU-UP, DU) within NG-RAN,</w:t>
      </w:r>
      <w:r w:rsidR="00F65159">
        <w:rPr>
          <w:rFonts w:eastAsia="SimSun" w:cs="Arial"/>
          <w:b w:val="0"/>
          <w:noProof w:val="0"/>
          <w:sz w:val="20"/>
          <w:lang w:eastAsia="en-US"/>
        </w:rPr>
        <w:t xml:space="preserve"> RAN3 discussed the issue that whether </w:t>
      </w:r>
      <w:r w:rsidR="00F65159" w:rsidRPr="00E93EF8">
        <w:rPr>
          <w:rFonts w:eastAsia="SimSun" w:cs="Arial"/>
          <w:b w:val="0"/>
          <w:noProof w:val="0"/>
          <w:sz w:val="20"/>
          <w:lang w:eastAsia="en-US"/>
        </w:rPr>
        <w:t>the same reporting frequency received from NGAP should be applied to all entities within NG-RAN</w:t>
      </w:r>
      <w:r w:rsidR="00F65159">
        <w:rPr>
          <w:rFonts w:eastAsia="SimSun" w:cs="Arial"/>
          <w:b w:val="0"/>
          <w:noProof w:val="0"/>
          <w:sz w:val="20"/>
          <w:lang w:eastAsia="en-US"/>
        </w:rPr>
        <w:t>, especially to the gNB-DU.</w:t>
      </w:r>
    </w:p>
    <w:p w14:paraId="40B130D3" w14:textId="6AB0199A" w:rsidR="00F65159" w:rsidRDefault="00F65159" w:rsidP="00E93EF8">
      <w:pPr>
        <w:pStyle w:val="a3"/>
        <w:widowControl/>
        <w:overflowPunct/>
        <w:autoSpaceDE/>
        <w:autoSpaceDN/>
        <w:adjustRightInd/>
        <w:spacing w:afterLines="100" w:after="240"/>
        <w:textAlignment w:val="auto"/>
        <w:rPr>
          <w:rFonts w:eastAsia="SimSun" w:cs="Arial"/>
          <w:b w:val="0"/>
          <w:noProof w:val="0"/>
          <w:sz w:val="20"/>
          <w:lang w:eastAsia="en-US"/>
        </w:rPr>
      </w:pPr>
      <w:r>
        <w:rPr>
          <w:rFonts w:eastAsia="SimSun" w:cs="Arial"/>
          <w:b w:val="0"/>
          <w:noProof w:val="0"/>
          <w:sz w:val="20"/>
          <w:lang w:eastAsia="en-US"/>
        </w:rPr>
        <w:t>The majority view is that the reporting frequency received from NGAP needs to be configured to the gNB-DU to enable an aligned reporting among different entities inside NG-RAN. However, RAN3 did not draw a conclusion on that. Because one view thinks that the reporting frequency in the gNB-DU does not need to be specified. And the gNB-DU may report the delay measurement to the CU-UP in a RAN internal implementation frequency, which seems implied by the following sentence in the LS:</w:t>
      </w:r>
    </w:p>
    <w:p w14:paraId="0F6FB72C" w14:textId="65B4D1C6" w:rsidR="00F65159" w:rsidRPr="00F65159" w:rsidRDefault="00F65159" w:rsidP="00F65159">
      <w:pPr>
        <w:pStyle w:val="a3"/>
        <w:widowControl/>
        <w:numPr>
          <w:ilvl w:val="0"/>
          <w:numId w:val="6"/>
        </w:numPr>
        <w:overflowPunct/>
        <w:autoSpaceDE/>
        <w:autoSpaceDN/>
        <w:adjustRightInd/>
        <w:spacing w:afterLines="100" w:after="240"/>
        <w:textAlignment w:val="auto"/>
        <w:rPr>
          <w:rFonts w:eastAsia="SimSun" w:cs="Arial"/>
          <w:b w:val="0"/>
          <w:i/>
          <w:noProof w:val="0"/>
          <w:sz w:val="20"/>
          <w:lang w:eastAsia="en-US"/>
        </w:rPr>
      </w:pPr>
      <w:r>
        <w:rPr>
          <w:rFonts w:cs="Arial"/>
          <w:i/>
        </w:rPr>
        <w:t>“</w:t>
      </w:r>
      <w:r w:rsidRPr="00F65159">
        <w:rPr>
          <w:rFonts w:cs="Arial"/>
          <w:i/>
        </w:rPr>
        <w:t>The measurement period of RAN part of delay is up to RAN’s implementation.</w:t>
      </w:r>
      <w:r>
        <w:rPr>
          <w:rFonts w:cs="Arial"/>
          <w:i/>
        </w:rPr>
        <w:t>”</w:t>
      </w:r>
    </w:p>
    <w:p w14:paraId="6F5097C0" w14:textId="35C46C84" w:rsidR="0064290F" w:rsidRPr="0064290F" w:rsidRDefault="00CF722B" w:rsidP="00E93EF8">
      <w:pPr>
        <w:pStyle w:val="a3"/>
        <w:widowControl/>
        <w:overflowPunct/>
        <w:autoSpaceDE/>
        <w:autoSpaceDN/>
        <w:adjustRightInd/>
        <w:spacing w:afterLines="100" w:after="240"/>
        <w:textAlignment w:val="auto"/>
        <w:rPr>
          <w:rFonts w:eastAsia="SimSun" w:cs="Arial"/>
          <w:b w:val="0"/>
          <w:noProof w:val="0"/>
          <w:sz w:val="20"/>
          <w:lang w:eastAsia="en-US"/>
        </w:rPr>
      </w:pPr>
      <w:r>
        <w:rPr>
          <w:rFonts w:eastAsia="SimSun" w:cs="Arial"/>
          <w:b w:val="0"/>
          <w:noProof w:val="0"/>
          <w:sz w:val="20"/>
          <w:lang w:eastAsia="en-US"/>
        </w:rPr>
        <w:t xml:space="preserve">RAN3 is no sure about which understanding above is correct. </w:t>
      </w:r>
      <w:r w:rsidR="00E07BCD">
        <w:rPr>
          <w:rFonts w:eastAsia="SimSun" w:cs="Arial"/>
          <w:b w:val="0"/>
          <w:noProof w:val="0"/>
          <w:sz w:val="20"/>
          <w:lang w:eastAsia="en-US"/>
        </w:rPr>
        <w:t xml:space="preserve">Therefore, </w:t>
      </w:r>
      <w:r w:rsidR="00E93EF8" w:rsidRPr="00E93EF8">
        <w:rPr>
          <w:rFonts w:eastAsia="SimSun" w:cs="Arial"/>
          <w:b w:val="0"/>
          <w:noProof w:val="0"/>
          <w:sz w:val="20"/>
          <w:lang w:eastAsia="en-US"/>
        </w:rPr>
        <w:t>RAN3 would like to confirm with SA2 that whether</w:t>
      </w:r>
      <w:bookmarkStart w:id="10" w:name="OLE_LINK21"/>
      <w:r w:rsidR="00E93EF8" w:rsidRPr="00E93EF8">
        <w:rPr>
          <w:rFonts w:eastAsia="SimSun" w:cs="Arial"/>
          <w:b w:val="0"/>
          <w:noProof w:val="0"/>
          <w:sz w:val="20"/>
          <w:lang w:eastAsia="en-US"/>
        </w:rPr>
        <w:t xml:space="preserve"> the same reporting frequency received from NGAP should be applied to all entities within NG-RAN</w:t>
      </w:r>
      <w:bookmarkEnd w:id="10"/>
      <w:r w:rsidR="00E93EF8" w:rsidRPr="00E93EF8">
        <w:rPr>
          <w:rFonts w:eastAsia="SimSun" w:cs="Arial"/>
          <w:b w:val="0"/>
          <w:noProof w:val="0"/>
          <w:sz w:val="20"/>
          <w:lang w:eastAsia="en-US"/>
        </w:rPr>
        <w:t>?</w:t>
      </w:r>
    </w:p>
    <w:p w14:paraId="6C62650E" w14:textId="0CB32E6A" w:rsidR="00B97703" w:rsidRDefault="002F1940" w:rsidP="000F6242">
      <w:pPr>
        <w:pStyle w:val="1"/>
      </w:pPr>
      <w:r>
        <w:t>2</w:t>
      </w:r>
      <w:r>
        <w:tab/>
      </w:r>
      <w:r w:rsidR="00E93EF8">
        <w:t>Action</w:t>
      </w:r>
    </w:p>
    <w:p w14:paraId="636A0896" w14:textId="141DBD74" w:rsidR="00F97B0B" w:rsidRDefault="00F97B0B" w:rsidP="00F97B0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 w:rsidR="00E93EF8">
        <w:rPr>
          <w:rFonts w:ascii="Arial" w:hAnsi="Arial" w:cs="Arial"/>
          <w:b/>
        </w:rPr>
        <w:t>2</w:t>
      </w:r>
    </w:p>
    <w:p w14:paraId="78F2469B" w14:textId="77777777" w:rsidR="0064290F" w:rsidRDefault="00F97B0B" w:rsidP="00F97B0B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16975E23" w14:textId="018BAC09" w:rsidR="00F97B0B" w:rsidRDefault="00F97B0B" w:rsidP="00F97B0B">
      <w:pPr>
        <w:spacing w:after="120"/>
        <w:ind w:left="993" w:hanging="993"/>
        <w:rPr>
          <w:rFonts w:ascii="Arial" w:hAnsi="Arial" w:cs="Arial"/>
          <w:iCs/>
          <w:lang w:eastAsia="zh-CN"/>
        </w:rPr>
      </w:pPr>
      <w:r w:rsidRPr="001B6147">
        <w:rPr>
          <w:rFonts w:ascii="Arial" w:hAnsi="Arial" w:cs="Arial"/>
          <w:iCs/>
          <w:lang w:eastAsia="zh-CN"/>
        </w:rPr>
        <w:t xml:space="preserve">RAN3 kindly asks </w:t>
      </w:r>
      <w:r>
        <w:rPr>
          <w:rFonts w:ascii="Arial" w:hAnsi="Arial" w:cs="Arial"/>
          <w:iCs/>
          <w:lang w:eastAsia="zh-CN"/>
        </w:rPr>
        <w:t>SA</w:t>
      </w:r>
      <w:r w:rsidR="00E93EF8">
        <w:rPr>
          <w:rFonts w:ascii="Arial" w:hAnsi="Arial" w:cs="Arial"/>
          <w:iCs/>
          <w:lang w:eastAsia="zh-CN"/>
        </w:rPr>
        <w:t>2 to feedback on above RAN3 question</w:t>
      </w:r>
      <w:r>
        <w:rPr>
          <w:rFonts w:ascii="Arial" w:hAnsi="Arial" w:cs="Arial"/>
          <w:iCs/>
          <w:lang w:eastAsia="zh-CN"/>
        </w:rPr>
        <w:t>.</w:t>
      </w: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2D88832B" w14:textId="5405F119" w:rsidR="002F1940" w:rsidRPr="001B6147" w:rsidRDefault="00D411E1" w:rsidP="002F1940">
      <w:pPr>
        <w:rPr>
          <w:rFonts w:ascii="Arial" w:hAnsi="Arial" w:cs="Arial"/>
          <w:iCs/>
          <w:lang w:eastAsia="zh-CN"/>
        </w:rPr>
      </w:pPr>
      <w:bookmarkStart w:id="11" w:name="OLE_LINK55"/>
      <w:bookmarkStart w:id="12" w:name="OLE_LINK56"/>
      <w:bookmarkStart w:id="13" w:name="OLE_LINK53"/>
      <w:bookmarkStart w:id="14" w:name="OLE_LINK54"/>
      <w:r w:rsidRPr="001B6147">
        <w:rPr>
          <w:rFonts w:ascii="Arial" w:hAnsi="Arial" w:cs="Arial"/>
          <w:iCs/>
          <w:lang w:eastAsia="zh-CN"/>
        </w:rPr>
        <w:t>RAN3#111-e</w:t>
      </w:r>
      <w:r w:rsidR="002F1940" w:rsidRPr="001B6147">
        <w:rPr>
          <w:rFonts w:ascii="Arial" w:hAnsi="Arial" w:cs="Arial"/>
          <w:iCs/>
          <w:lang w:eastAsia="zh-CN"/>
        </w:rPr>
        <w:tab/>
      </w:r>
      <w:r w:rsidRPr="001B6147">
        <w:rPr>
          <w:rFonts w:ascii="Arial" w:hAnsi="Arial" w:cs="Arial"/>
          <w:iCs/>
          <w:lang w:eastAsia="zh-CN"/>
        </w:rPr>
        <w:t>25 Jan – 05 Feb</w:t>
      </w:r>
      <w:bookmarkEnd w:id="11"/>
      <w:bookmarkEnd w:id="12"/>
      <w:r w:rsidRPr="001B6147">
        <w:rPr>
          <w:rFonts w:ascii="Arial" w:hAnsi="Arial" w:cs="Arial"/>
          <w:iCs/>
          <w:lang w:eastAsia="zh-CN"/>
        </w:rPr>
        <w:tab/>
        <w:t>Online</w:t>
      </w:r>
    </w:p>
    <w:p w14:paraId="131A66B3" w14:textId="54F22B8C" w:rsidR="002F1940" w:rsidRPr="002F1940" w:rsidRDefault="00D411E1" w:rsidP="00E07BCD">
      <w:r w:rsidRPr="001B6147">
        <w:rPr>
          <w:rFonts w:ascii="Arial" w:hAnsi="Arial" w:cs="Arial"/>
          <w:iCs/>
          <w:lang w:eastAsia="zh-CN"/>
        </w:rPr>
        <w:lastRenderedPageBreak/>
        <w:t>RAN3#112-e</w:t>
      </w:r>
      <w:r w:rsidRPr="001B6147">
        <w:rPr>
          <w:rFonts w:ascii="Arial" w:hAnsi="Arial" w:cs="Arial"/>
          <w:iCs/>
          <w:lang w:eastAsia="zh-CN"/>
        </w:rPr>
        <w:tab/>
        <w:t>17 May – 28 May</w:t>
      </w:r>
      <w:r w:rsidRPr="001B6147">
        <w:rPr>
          <w:rFonts w:ascii="Arial" w:hAnsi="Arial" w:cs="Arial"/>
          <w:iCs/>
          <w:lang w:eastAsia="zh-CN"/>
        </w:rPr>
        <w:tab/>
        <w:t>Online</w:t>
      </w:r>
      <w:bookmarkEnd w:id="13"/>
      <w:bookmarkEnd w:id="14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C83AF" w14:textId="77777777" w:rsidR="00E975A8" w:rsidRDefault="00E975A8">
      <w:pPr>
        <w:spacing w:after="0"/>
      </w:pPr>
      <w:r>
        <w:separator/>
      </w:r>
    </w:p>
  </w:endnote>
  <w:endnote w:type="continuationSeparator" w:id="0">
    <w:p w14:paraId="13F0E237" w14:textId="77777777" w:rsidR="00E975A8" w:rsidRDefault="00E97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0AB1" w14:textId="77777777" w:rsidR="00E975A8" w:rsidRDefault="00E975A8">
      <w:pPr>
        <w:spacing w:after="0"/>
      </w:pPr>
      <w:r>
        <w:separator/>
      </w:r>
    </w:p>
  </w:footnote>
  <w:footnote w:type="continuationSeparator" w:id="0">
    <w:p w14:paraId="79BED38E" w14:textId="77777777" w:rsidR="00E975A8" w:rsidRDefault="00E975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32EA"/>
    <w:multiLevelType w:val="hybridMultilevel"/>
    <w:tmpl w:val="1422C600"/>
    <w:lvl w:ilvl="0" w:tplc="4B8CB8FA">
      <w:start w:val="3"/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8A55426"/>
    <w:multiLevelType w:val="hybridMultilevel"/>
    <w:tmpl w:val="00227D60"/>
    <w:lvl w:ilvl="0" w:tplc="08225A2E">
      <w:start w:val="1"/>
      <w:numFmt w:val="bullet"/>
      <w:lvlText w:val="-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E2A5E"/>
    <w:rsid w:val="000F6242"/>
    <w:rsid w:val="00124D4E"/>
    <w:rsid w:val="00164996"/>
    <w:rsid w:val="001B6147"/>
    <w:rsid w:val="00231B68"/>
    <w:rsid w:val="00262EA6"/>
    <w:rsid w:val="002B0611"/>
    <w:rsid w:val="002F1940"/>
    <w:rsid w:val="00343608"/>
    <w:rsid w:val="00347AE3"/>
    <w:rsid w:val="00383545"/>
    <w:rsid w:val="003E394E"/>
    <w:rsid w:val="00412CCB"/>
    <w:rsid w:val="00433500"/>
    <w:rsid w:val="00433F71"/>
    <w:rsid w:val="00440D43"/>
    <w:rsid w:val="004E3939"/>
    <w:rsid w:val="00562CBC"/>
    <w:rsid w:val="00567387"/>
    <w:rsid w:val="005C7548"/>
    <w:rsid w:val="005D47C1"/>
    <w:rsid w:val="00601CC6"/>
    <w:rsid w:val="0064290F"/>
    <w:rsid w:val="006546D6"/>
    <w:rsid w:val="006A3E31"/>
    <w:rsid w:val="007373A8"/>
    <w:rsid w:val="007A0245"/>
    <w:rsid w:val="007F4F92"/>
    <w:rsid w:val="008D089A"/>
    <w:rsid w:val="008D772F"/>
    <w:rsid w:val="008E334C"/>
    <w:rsid w:val="00932F2B"/>
    <w:rsid w:val="0099764C"/>
    <w:rsid w:val="00A02202"/>
    <w:rsid w:val="00A347BE"/>
    <w:rsid w:val="00B134CB"/>
    <w:rsid w:val="00B66215"/>
    <w:rsid w:val="00B97703"/>
    <w:rsid w:val="00C04AB6"/>
    <w:rsid w:val="00C33451"/>
    <w:rsid w:val="00CE5A1A"/>
    <w:rsid w:val="00CF6087"/>
    <w:rsid w:val="00CF722B"/>
    <w:rsid w:val="00D411E1"/>
    <w:rsid w:val="00D63C7B"/>
    <w:rsid w:val="00E07BCD"/>
    <w:rsid w:val="00E466D5"/>
    <w:rsid w:val="00E8205E"/>
    <w:rsid w:val="00E93EF8"/>
    <w:rsid w:val="00E975A8"/>
    <w:rsid w:val="00EA2F77"/>
    <w:rsid w:val="00EA5B65"/>
    <w:rsid w:val="00EA6484"/>
    <w:rsid w:val="00F35F20"/>
    <w:rsid w:val="00F47CA7"/>
    <w:rsid w:val="00F65159"/>
    <w:rsid w:val="00F67F68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F8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har0">
    <w:name w:val="批注文字 Char"/>
    <w:link w:val="a5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  <w:style w:type="paragraph" w:styleId="af1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リスト段落,목록 단락"/>
    <w:basedOn w:val="a"/>
    <w:link w:val="Char3"/>
    <w:uiPriority w:val="34"/>
    <w:qFormat/>
    <w:rsid w:val="002B0611"/>
    <w:pPr>
      <w:overflowPunct/>
      <w:autoSpaceDE/>
      <w:autoSpaceDN/>
      <w:adjustRightInd/>
      <w:ind w:firstLineChars="200" w:firstLine="420"/>
      <w:textAlignment w:val="auto"/>
    </w:pPr>
    <w:rPr>
      <w:rFonts w:eastAsia="Times New Roman"/>
      <w:lang w:eastAsia="en-US"/>
    </w:rPr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1"/>
    <w:uiPriority w:val="34"/>
    <w:qFormat/>
    <w:locked/>
    <w:rsid w:val="002B0611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Huawei008</cp:lastModifiedBy>
  <cp:revision>5</cp:revision>
  <cp:lastPrinted>2002-04-23T07:10:00Z</cp:lastPrinted>
  <dcterms:created xsi:type="dcterms:W3CDTF">2020-11-05T08:47:00Z</dcterms:created>
  <dcterms:modified xsi:type="dcterms:W3CDTF">2020-11-10T00:58:00Z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(3)t8j2HLagsFVI3IdGY/C2Blg0hDH9re91GESQqh+QIZC4Szi84tF8RIi90hnZrkv+c4WroxEz
hu+RFDsD7DEwUwzBM/pkddsYWQMeS9GF6mMeY862qrfybGy4xpFyjJS4ObEROdZPH5zc6z2J
FsiBo5rD5QjizH3LE2kTRp/ElGHBG+ww0evYv+fr4TRQPJfzXfhYiMSA2KPSwuZkyZ+RjKyQ
7W0Yu+9vr6t+OKZUvz</vt:lpwstr>
  </property>
  <property fmtid="{D5CDD505-2E9C-101B-9397-08002B2CF9AE}" pid="3" name="_2015_ms_pID_7253431">
    <vt:lpwstr>zP6I4sp7dwRuqYePO9UDAVccXNs+1V7VsHlfZnmenQJZCKng1qTybn
cdXCYcoBKDK4G6Xypy9kvKWtyKDrHFoTqtCsvA1PlrXSL4isac/ooHQOIxU4wQ9vjlnCMP3s
JU8g+6hLcLumSeMTsQ7X/mZOgg7cSDqWfXMsO7gLt8OBPz2qQgoX/+ExJkX2CVKLA3i3PW60
S4YWdSiIs1HTDWlO9D1o+Vu+oAga/pEfyQOa</vt:lpwstr>
  </property>
  <property fmtid="{D5CDD505-2E9C-101B-9397-08002B2CF9AE}" pid="4" name="_2015_ms_pID_7253432">
    <vt:lpwstr>bw==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1604540329</vt:lpwstr>
  </property>
</Properties>
</file>