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6F82D" w14:textId="77777777" w:rsidR="00592444" w:rsidRDefault="00D8719E">
      <w:pPr>
        <w:pStyle w:val="CRCoverPage"/>
        <w:tabs>
          <w:tab w:val="right" w:pos="9639"/>
          <w:tab w:val="right" w:pos="13323"/>
        </w:tabs>
        <w:spacing w:after="0"/>
        <w:jc w:val="both"/>
        <w:rPr>
          <w:rFonts w:cs="Arial"/>
          <w:b/>
          <w:sz w:val="24"/>
          <w:szCs w:val="24"/>
        </w:rPr>
      </w:pPr>
      <w:bookmarkStart w:id="0" w:name="_Toc512578711"/>
      <w:bookmarkStart w:id="1" w:name="_Toc505097894"/>
      <w:bookmarkStart w:id="2" w:name="_Toc367182965"/>
      <w:bookmarkStart w:id="3" w:name="_Toc515967581"/>
      <w:bookmarkStart w:id="4" w:name="_Hlk21121643"/>
      <w:bookmarkStart w:id="5" w:name="_Toc515565845"/>
      <w:bookmarkStart w:id="6" w:name="_Toc505097701"/>
      <w:r>
        <w:rPr>
          <w:rFonts w:cs="Arial"/>
          <w:b/>
          <w:sz w:val="24"/>
          <w:szCs w:val="24"/>
        </w:rPr>
        <w:t>3GPP TSG-RAN3 Meeting #107-e</w:t>
      </w:r>
      <w:r>
        <w:rPr>
          <w:rFonts w:cs="Arial"/>
          <w:b/>
          <w:sz w:val="24"/>
          <w:szCs w:val="24"/>
        </w:rPr>
        <w:tab/>
        <w:t>R3-201135</w:t>
      </w:r>
    </w:p>
    <w:p w14:paraId="73BB8B18" w14:textId="77777777" w:rsidR="00592444" w:rsidRDefault="00D8719E">
      <w:pPr>
        <w:pStyle w:val="Header"/>
        <w:tabs>
          <w:tab w:val="right" w:pos="8280"/>
          <w:tab w:val="right" w:pos="9781"/>
        </w:tabs>
        <w:spacing w:after="120"/>
        <w:ind w:right="-57"/>
        <w:jc w:val="both"/>
        <w:rPr>
          <w:sz w:val="24"/>
          <w:szCs w:val="28"/>
        </w:rPr>
      </w:pPr>
      <w:r>
        <w:rPr>
          <w:rFonts w:eastAsia="PMingLiU"/>
          <w:sz w:val="24"/>
          <w:szCs w:val="28"/>
          <w:lang w:eastAsia="zh-TW"/>
        </w:rPr>
        <w:t>Online, 24</w:t>
      </w:r>
      <w:r>
        <w:rPr>
          <w:rFonts w:eastAsia="PMingLiU"/>
          <w:sz w:val="24"/>
          <w:szCs w:val="28"/>
          <w:vertAlign w:val="superscript"/>
          <w:lang w:eastAsia="zh-TW"/>
        </w:rPr>
        <w:t>th</w:t>
      </w:r>
      <w:r>
        <w:rPr>
          <w:rFonts w:eastAsia="PMingLiU"/>
          <w:sz w:val="24"/>
          <w:szCs w:val="28"/>
          <w:lang w:eastAsia="zh-TW"/>
        </w:rPr>
        <w:t xml:space="preserve"> February – 6</w:t>
      </w:r>
      <w:r>
        <w:rPr>
          <w:rFonts w:eastAsia="PMingLiU"/>
          <w:sz w:val="24"/>
          <w:szCs w:val="28"/>
          <w:vertAlign w:val="superscript"/>
          <w:lang w:eastAsia="zh-TW"/>
        </w:rPr>
        <w:t>th</w:t>
      </w:r>
      <w:r>
        <w:rPr>
          <w:rFonts w:eastAsia="PMingLiU"/>
          <w:sz w:val="24"/>
          <w:szCs w:val="28"/>
          <w:lang w:eastAsia="zh-TW"/>
        </w:rPr>
        <w:t xml:space="preserve"> March 2020</w:t>
      </w:r>
    </w:p>
    <w:p w14:paraId="7CD4131F" w14:textId="77777777" w:rsidR="00592444" w:rsidRDefault="00592444">
      <w:pPr>
        <w:pStyle w:val="CRCoverPage"/>
        <w:tabs>
          <w:tab w:val="right" w:pos="9639"/>
          <w:tab w:val="right" w:pos="13323"/>
        </w:tabs>
        <w:spacing w:after="0"/>
        <w:jc w:val="both"/>
        <w:rPr>
          <w:lang w:val="en-US"/>
        </w:rPr>
      </w:pPr>
    </w:p>
    <w:p w14:paraId="6EEE92C1" w14:textId="77777777" w:rsidR="00592444" w:rsidRDefault="00D8719E">
      <w:pPr>
        <w:pStyle w:val="3GPPHeader"/>
        <w:rPr>
          <w:sz w:val="22"/>
          <w:szCs w:val="22"/>
          <w:lang w:val="en-US"/>
        </w:rPr>
      </w:pPr>
      <w:r>
        <w:rPr>
          <w:sz w:val="22"/>
          <w:szCs w:val="22"/>
          <w:lang w:val="en-US"/>
        </w:rPr>
        <w:t>Agenda Item:</w:t>
      </w:r>
      <w:r>
        <w:rPr>
          <w:sz w:val="22"/>
          <w:szCs w:val="22"/>
          <w:lang w:val="en-US"/>
        </w:rPr>
        <w:tab/>
        <w:t>10.3.2</w:t>
      </w:r>
    </w:p>
    <w:p w14:paraId="5180F81D" w14:textId="77777777" w:rsidR="00592444" w:rsidRDefault="00D8719E">
      <w:pPr>
        <w:pStyle w:val="3GPPHeader"/>
        <w:rPr>
          <w:sz w:val="22"/>
          <w:szCs w:val="22"/>
        </w:rPr>
      </w:pPr>
      <w:r>
        <w:rPr>
          <w:sz w:val="22"/>
          <w:szCs w:val="22"/>
        </w:rPr>
        <w:t>Source:</w:t>
      </w:r>
      <w:r>
        <w:rPr>
          <w:sz w:val="22"/>
          <w:szCs w:val="22"/>
        </w:rPr>
        <w:tab/>
        <w:t>Ericsson</w:t>
      </w:r>
    </w:p>
    <w:p w14:paraId="5BBB5011" w14:textId="77777777" w:rsidR="00592444" w:rsidRDefault="00D8719E">
      <w:pPr>
        <w:pStyle w:val="3GPPHeader"/>
        <w:rPr>
          <w:sz w:val="22"/>
          <w:szCs w:val="22"/>
        </w:rPr>
      </w:pPr>
      <w:r>
        <w:rPr>
          <w:sz w:val="22"/>
          <w:szCs w:val="22"/>
        </w:rPr>
        <w:t>Title:</w:t>
      </w:r>
      <w:r>
        <w:rPr>
          <w:sz w:val="22"/>
          <w:szCs w:val="22"/>
        </w:rPr>
        <w:tab/>
        <w:t>Summary of Offline Discussions CB: # 32_Email032-MDT_inactiveUEs</w:t>
      </w:r>
    </w:p>
    <w:p w14:paraId="3BFB8CB8" w14:textId="77777777" w:rsidR="00592444" w:rsidRDefault="00D8719E">
      <w:pPr>
        <w:pStyle w:val="3GPPHeader"/>
        <w:rPr>
          <w:sz w:val="22"/>
          <w:szCs w:val="22"/>
        </w:rPr>
      </w:pPr>
      <w:r>
        <w:rPr>
          <w:sz w:val="22"/>
          <w:szCs w:val="22"/>
        </w:rPr>
        <w:t>Document for:</w:t>
      </w:r>
      <w:r>
        <w:rPr>
          <w:sz w:val="22"/>
          <w:szCs w:val="22"/>
        </w:rPr>
        <w:tab/>
      </w:r>
      <w:r>
        <w:rPr>
          <w:szCs w:val="22"/>
        </w:rPr>
        <w:t>Discussion and Decision</w:t>
      </w:r>
      <w:r>
        <w:rPr>
          <w:rFonts w:hint="eastAsia"/>
          <w:szCs w:val="22"/>
        </w:rPr>
        <w:t xml:space="preserve"> </w:t>
      </w:r>
    </w:p>
    <w:p w14:paraId="3C5241F1" w14:textId="77777777" w:rsidR="00592444" w:rsidRDefault="00D8719E">
      <w:pPr>
        <w:pStyle w:val="Heading1"/>
      </w:pPr>
      <w:r>
        <w:t>1</w:t>
      </w:r>
      <w:r>
        <w:tab/>
        <w:t>Introduction</w:t>
      </w:r>
    </w:p>
    <w:p w14:paraId="3AB87EE3" w14:textId="77777777" w:rsidR="00592444" w:rsidRDefault="00D8719E">
      <w:r>
        <w:t>In this document the outcome of offline discussions on corrections to TS38.423 for MDT for Inactive UEs are captured for agreement.</w:t>
      </w:r>
    </w:p>
    <w:p w14:paraId="52E8971E" w14:textId="77777777" w:rsidR="00592444" w:rsidRDefault="00D8719E">
      <w:pPr>
        <w:pStyle w:val="Heading1"/>
      </w:pPr>
      <w:r>
        <w:t>2</w:t>
      </w:r>
      <w:r>
        <w:tab/>
        <w:t>Discussion</w:t>
      </w:r>
    </w:p>
    <w:p w14:paraId="3FFA2CC5" w14:textId="77777777" w:rsidR="00592444" w:rsidRDefault="00D8719E">
      <w:r>
        <w:t xml:space="preserve">In RAN2 #107bis meeting </w:t>
      </w:r>
      <w:r>
        <w:fldChar w:fldCharType="begin"/>
      </w:r>
      <w:r>
        <w:instrText xml:space="preserve"> REF _Ref32602266 \r \h </w:instrText>
      </w:r>
      <w:r>
        <w:fldChar w:fldCharType="separate"/>
      </w:r>
      <w:r>
        <w:t>[1]</w:t>
      </w:r>
      <w:r>
        <w:fldChar w:fldCharType="end"/>
      </w:r>
      <w:r>
        <w:t xml:space="preserve"> the following </w:t>
      </w:r>
      <w:proofErr w:type="spellStart"/>
      <w:r>
        <w:t>aggrements</w:t>
      </w:r>
      <w:proofErr w:type="spellEnd"/>
      <w:r>
        <w:t xml:space="preserve"> have been made:</w:t>
      </w:r>
    </w:p>
    <w:tbl>
      <w:tblPr>
        <w:tblStyle w:val="TableGrid"/>
        <w:tblW w:w="9629" w:type="dxa"/>
        <w:tblLayout w:type="fixed"/>
        <w:tblLook w:val="04A0" w:firstRow="1" w:lastRow="0" w:firstColumn="1" w:lastColumn="0" w:noHBand="0" w:noVBand="1"/>
      </w:tblPr>
      <w:tblGrid>
        <w:gridCol w:w="9629"/>
      </w:tblGrid>
      <w:tr w:rsidR="00592444" w14:paraId="3B780A5D" w14:textId="77777777">
        <w:tc>
          <w:tcPr>
            <w:tcW w:w="9629" w:type="dxa"/>
          </w:tcPr>
          <w:p w14:paraId="7B94575B" w14:textId="77777777" w:rsidR="00592444" w:rsidRDefault="00D8719E">
            <w:pPr>
              <w:autoSpaceDE w:val="0"/>
              <w:autoSpaceDN w:val="0"/>
              <w:spacing w:before="40" w:after="40"/>
              <w:rPr>
                <w:rFonts w:eastAsia="Calibri"/>
                <w:i/>
              </w:rPr>
            </w:pPr>
            <w:r>
              <w:rPr>
                <w:rFonts w:ascii="Arial" w:eastAsia="Calibri" w:hAnsi="Arial" w:cs="Arial"/>
                <w:i/>
                <w:sz w:val="20"/>
                <w:szCs w:val="20"/>
              </w:rPr>
              <w:t>3    If the signalling based logged MDT received by the NG-RAN when UE is in RRC_INACTIVE:</w:t>
            </w:r>
          </w:p>
          <w:p w14:paraId="04E83D71" w14:textId="77777777" w:rsidR="00592444" w:rsidRDefault="00D8719E">
            <w:pPr>
              <w:autoSpaceDE w:val="0"/>
              <w:autoSpaceDN w:val="0"/>
              <w:spacing w:before="40" w:after="40"/>
              <w:rPr>
                <w:rFonts w:eastAsia="Calibri"/>
                <w:i/>
              </w:rPr>
            </w:pPr>
            <w:r>
              <w:rPr>
                <w:rFonts w:ascii="Cambria Math" w:eastAsia="Calibri" w:hAnsi="Cambria Math"/>
                <w:i/>
                <w:sz w:val="20"/>
                <w:szCs w:val="20"/>
              </w:rPr>
              <w:t>⁻</w:t>
            </w:r>
            <w:r>
              <w:rPr>
                <w:rFonts w:ascii="Arial" w:eastAsia="Calibri" w:hAnsi="Arial" w:cs="Arial"/>
                <w:i/>
                <w:sz w:val="20"/>
                <w:szCs w:val="20"/>
              </w:rPr>
              <w:t>     The NG-RAN stores the logged MDT configuration in the UE context.</w:t>
            </w:r>
          </w:p>
          <w:p w14:paraId="5C89C36F" w14:textId="77777777" w:rsidR="00592444" w:rsidRDefault="00D8719E">
            <w:pPr>
              <w:autoSpaceDE w:val="0"/>
              <w:autoSpaceDN w:val="0"/>
              <w:spacing w:before="40" w:after="40"/>
              <w:rPr>
                <w:rFonts w:eastAsia="Calibri"/>
                <w:i/>
              </w:rPr>
            </w:pPr>
            <w:r>
              <w:rPr>
                <w:rFonts w:ascii="Cambria Math" w:eastAsia="Calibri" w:hAnsi="Cambria Math"/>
                <w:i/>
                <w:sz w:val="20"/>
                <w:szCs w:val="20"/>
              </w:rPr>
              <w:t>⁻</w:t>
            </w:r>
            <w:r>
              <w:rPr>
                <w:rFonts w:ascii="Arial" w:eastAsia="Calibri" w:hAnsi="Arial" w:cs="Arial"/>
                <w:i/>
                <w:sz w:val="20"/>
                <w:szCs w:val="20"/>
              </w:rPr>
              <w:t>     When the UE resumes the RRC connection in the last serving NG-RAN, the NG-RAN can configure the MDT configuration for the UE.</w:t>
            </w:r>
          </w:p>
          <w:p w14:paraId="2C1B59AF" w14:textId="77777777" w:rsidR="00592444" w:rsidRDefault="00D8719E">
            <w:pPr>
              <w:autoSpaceDE w:val="0"/>
              <w:autoSpaceDN w:val="0"/>
              <w:spacing w:before="40" w:after="40"/>
              <w:rPr>
                <w:rFonts w:eastAsia="Calibri"/>
                <w:i/>
              </w:rPr>
            </w:pPr>
            <w:r>
              <w:rPr>
                <w:rFonts w:ascii="Cambria Math" w:eastAsia="Calibri" w:hAnsi="Cambria Math"/>
                <w:i/>
                <w:sz w:val="20"/>
                <w:szCs w:val="20"/>
              </w:rPr>
              <w:t>⁻</w:t>
            </w:r>
            <w:r>
              <w:rPr>
                <w:rFonts w:ascii="Arial" w:eastAsia="Calibri" w:hAnsi="Arial" w:cs="Arial"/>
                <w:i/>
                <w:sz w:val="20"/>
                <w:szCs w:val="20"/>
              </w:rPr>
              <w:t>     When the UE resumes the RRC connection in one new NG-RAN, the last serving NG-RAN can propagate the logged MDT configuration to the new NG-RAN.</w:t>
            </w:r>
          </w:p>
          <w:p w14:paraId="304C58AE" w14:textId="77777777" w:rsidR="00592444" w:rsidRDefault="00D8719E">
            <w:pPr>
              <w:autoSpaceDE w:val="0"/>
              <w:autoSpaceDN w:val="0"/>
              <w:spacing w:before="40" w:after="40"/>
              <w:rPr>
                <w:rFonts w:eastAsia="Calibri"/>
                <w:i/>
              </w:rPr>
            </w:pPr>
            <w:r>
              <w:rPr>
                <w:rFonts w:ascii="Arial" w:eastAsia="Calibri" w:hAnsi="Arial" w:cs="Arial"/>
                <w:i/>
                <w:sz w:val="20"/>
                <w:szCs w:val="20"/>
              </w:rPr>
              <w:t>      This agreement should be confirmed by RAN3.</w:t>
            </w:r>
          </w:p>
          <w:p w14:paraId="7BF2D756" w14:textId="77777777" w:rsidR="00592444" w:rsidRDefault="00D8719E">
            <w:pPr>
              <w:autoSpaceDE w:val="0"/>
              <w:autoSpaceDN w:val="0"/>
              <w:spacing w:before="40" w:after="40"/>
              <w:rPr>
                <w:rFonts w:eastAsia="Calibri"/>
                <w:i/>
              </w:rPr>
            </w:pPr>
            <w:r>
              <w:rPr>
                <w:rFonts w:ascii="Arial" w:eastAsia="Calibri" w:hAnsi="Arial" w:cs="Arial"/>
                <w:i/>
                <w:sz w:val="20"/>
                <w:szCs w:val="20"/>
              </w:rPr>
              <w:t>4    If the management based logged MDT received by the NG-RAN when UE is in RRC_INACTIVE,</w:t>
            </w:r>
          </w:p>
          <w:p w14:paraId="2E3BED10" w14:textId="77777777" w:rsidR="00592444" w:rsidRDefault="00D8719E">
            <w:pPr>
              <w:autoSpaceDE w:val="0"/>
              <w:autoSpaceDN w:val="0"/>
              <w:spacing w:before="40" w:after="40"/>
              <w:rPr>
                <w:rFonts w:eastAsia="Calibri"/>
                <w:i/>
              </w:rPr>
            </w:pPr>
            <w:r>
              <w:rPr>
                <w:rFonts w:ascii="Cambria Math" w:eastAsia="Calibri" w:hAnsi="Cambria Math"/>
                <w:i/>
                <w:sz w:val="20"/>
                <w:szCs w:val="20"/>
              </w:rPr>
              <w:t>⁻</w:t>
            </w:r>
            <w:r>
              <w:rPr>
                <w:rFonts w:ascii="Arial" w:eastAsia="Calibri" w:hAnsi="Arial" w:cs="Arial"/>
                <w:i/>
                <w:sz w:val="20"/>
                <w:szCs w:val="20"/>
              </w:rPr>
              <w:t>     No requirement for the NG-RAN to store the logged MDT configuration in the UE context</w:t>
            </w:r>
          </w:p>
          <w:p w14:paraId="4C024B2A" w14:textId="77777777" w:rsidR="00592444" w:rsidRDefault="00D8719E">
            <w:pPr>
              <w:autoSpaceDE w:val="0"/>
              <w:autoSpaceDN w:val="0"/>
              <w:spacing w:before="40" w:after="40"/>
              <w:rPr>
                <w:rFonts w:eastAsia="Calibri"/>
                <w:i/>
              </w:rPr>
            </w:pPr>
            <w:r>
              <w:rPr>
                <w:rFonts w:ascii="Cambria Math" w:eastAsia="Calibri" w:hAnsi="Cambria Math"/>
                <w:i/>
                <w:sz w:val="20"/>
                <w:szCs w:val="20"/>
              </w:rPr>
              <w:t>⁻</w:t>
            </w:r>
            <w:r>
              <w:rPr>
                <w:rFonts w:ascii="Arial" w:eastAsia="Calibri" w:hAnsi="Arial" w:cs="Arial"/>
                <w:i/>
                <w:sz w:val="20"/>
                <w:szCs w:val="20"/>
              </w:rPr>
              <w:t>     When the UE resumes the RRC connection in the last serving NG-RAN, the NG-RAN can configure the MDT configuration for the UE.</w:t>
            </w:r>
          </w:p>
          <w:p w14:paraId="0F0A679F" w14:textId="77777777" w:rsidR="00592444" w:rsidRDefault="00D8719E">
            <w:pPr>
              <w:autoSpaceDE w:val="0"/>
              <w:autoSpaceDN w:val="0"/>
              <w:spacing w:before="40" w:after="40"/>
              <w:rPr>
                <w:rFonts w:eastAsia="Calibri"/>
                <w:i/>
              </w:rPr>
            </w:pPr>
            <w:r>
              <w:rPr>
                <w:rFonts w:ascii="Cambria Math" w:eastAsia="Calibri" w:hAnsi="Cambria Math"/>
                <w:i/>
                <w:sz w:val="20"/>
                <w:szCs w:val="20"/>
              </w:rPr>
              <w:t>⁻</w:t>
            </w:r>
            <w:r>
              <w:rPr>
                <w:rFonts w:ascii="Arial" w:eastAsia="Calibri" w:hAnsi="Arial" w:cs="Arial"/>
                <w:i/>
                <w:sz w:val="20"/>
                <w:szCs w:val="20"/>
              </w:rPr>
              <w:t xml:space="preserve">     When the UE resumes the RRC connection in another NG-RAN, the source NG-RAN will not propagate the management based logged MDT configuration. The source NG-RAN should inform the target NG-RAN of UE consents. </w:t>
            </w:r>
          </w:p>
          <w:p w14:paraId="1D35FEAE" w14:textId="77777777" w:rsidR="00592444" w:rsidRDefault="00592444">
            <w:pPr>
              <w:rPr>
                <w:rFonts w:eastAsia="Calibri"/>
              </w:rPr>
            </w:pPr>
          </w:p>
        </w:tc>
      </w:tr>
    </w:tbl>
    <w:p w14:paraId="0732719F" w14:textId="77777777" w:rsidR="00592444" w:rsidRDefault="00592444"/>
    <w:p w14:paraId="353DA074" w14:textId="77777777" w:rsidR="00592444" w:rsidRDefault="00D8719E">
      <w:pPr>
        <w:pStyle w:val="Proposal"/>
        <w:numPr>
          <w:ilvl w:val="0"/>
          <w:numId w:val="2"/>
        </w:numPr>
        <w:rPr>
          <w:lang w:val="en-GB"/>
        </w:rPr>
      </w:pPr>
      <w:r>
        <w:rPr>
          <w:lang w:val="en-GB"/>
        </w:rPr>
        <w:t xml:space="preserve">Support the RAN2 </w:t>
      </w:r>
      <w:proofErr w:type="spellStart"/>
      <w:r>
        <w:rPr>
          <w:lang w:val="en-GB"/>
        </w:rPr>
        <w:t>aggrements</w:t>
      </w:r>
      <w:proofErr w:type="spellEnd"/>
      <w:r>
        <w:rPr>
          <w:lang w:val="en-GB"/>
        </w:rPr>
        <w:t xml:space="preserve"> with suitable RAN3 specification</w:t>
      </w:r>
    </w:p>
    <w:p w14:paraId="184144C1" w14:textId="77777777" w:rsidR="00592444" w:rsidRDefault="00D8719E">
      <w:r>
        <w:t>In order to support the agreements above the following scenario needs to be taken into account.</w:t>
      </w:r>
    </w:p>
    <w:p w14:paraId="1AF765F3" w14:textId="77777777" w:rsidR="00592444" w:rsidRDefault="00D8719E">
      <w:pPr>
        <w:pStyle w:val="ListParagraph"/>
        <w:numPr>
          <w:ilvl w:val="0"/>
          <w:numId w:val="3"/>
        </w:numPr>
      </w:pPr>
      <w:r>
        <w:t xml:space="preserve">A UE is configured with </w:t>
      </w:r>
      <w:proofErr w:type="spellStart"/>
      <w:r>
        <w:t>signaling</w:t>
      </w:r>
      <w:proofErr w:type="spellEnd"/>
      <w:r>
        <w:t xml:space="preserve"> based logged MDT in a serving NG RAN node. </w:t>
      </w:r>
    </w:p>
    <w:p w14:paraId="200ED9D8" w14:textId="77777777" w:rsidR="00592444" w:rsidRDefault="00D8719E">
      <w:pPr>
        <w:pStyle w:val="ListParagraph"/>
        <w:numPr>
          <w:ilvl w:val="0"/>
          <w:numId w:val="3"/>
        </w:numPr>
      </w:pPr>
      <w:r>
        <w:t xml:space="preserve">The UE moves to </w:t>
      </w:r>
      <w:r>
        <w:rPr>
          <w:i/>
          <w:iCs/>
        </w:rPr>
        <w:t>RRC_INACTIVE</w:t>
      </w:r>
      <w:r>
        <w:t xml:space="preserve"> while it is configured with the signalling based logged MDT configuration. As per RAN2 agreements the NG-RAN node stores the MDT configuration so that this can be exchanged at the time of the UE context retrieval procedure. </w:t>
      </w:r>
    </w:p>
    <w:p w14:paraId="74C800A4" w14:textId="77777777" w:rsidR="00592444" w:rsidRDefault="00D8719E">
      <w:pPr>
        <w:pStyle w:val="ListParagraph"/>
        <w:numPr>
          <w:ilvl w:val="0"/>
          <w:numId w:val="3"/>
        </w:numPr>
      </w:pPr>
      <w:r>
        <w:t xml:space="preserve">The UE resumes in a </w:t>
      </w:r>
      <w:proofErr w:type="spellStart"/>
      <w:r>
        <w:t>neighboring</w:t>
      </w:r>
      <w:proofErr w:type="spellEnd"/>
      <w:r>
        <w:t xml:space="preserve"> NG RAN node and the </w:t>
      </w:r>
      <w:proofErr w:type="spellStart"/>
      <w:r>
        <w:t>Xn</w:t>
      </w:r>
      <w:proofErr w:type="spellEnd"/>
      <w:r>
        <w:t xml:space="preserve">: UE Context Retrieval procedure is initiated. With this, the new NG RAN node gets to know the signalling based logged MDT configuration that this UE has been assigned. However, the resume NG-RAN node is not aware of whether the UE has been configured with this MDT configuration or not. As an example, the signalling based MDT configuration might have been received by the </w:t>
      </w:r>
      <w:proofErr w:type="spellStart"/>
      <w:r>
        <w:t>gNB</w:t>
      </w:r>
      <w:proofErr w:type="spellEnd"/>
      <w:r>
        <w:t xml:space="preserve"> right before or even after the UE was moved to </w:t>
      </w:r>
      <w:r>
        <w:rPr>
          <w:i/>
          <w:iCs/>
        </w:rPr>
        <w:t>RRC_INACTIVE.</w:t>
      </w:r>
      <w:r>
        <w:t xml:space="preserve"> </w:t>
      </w:r>
    </w:p>
    <w:p w14:paraId="37CD973A" w14:textId="77777777" w:rsidR="00592444" w:rsidRDefault="00D8719E">
      <w:r>
        <w:t xml:space="preserve">It needs </w:t>
      </w:r>
      <w:proofErr w:type="spellStart"/>
      <w:r>
        <w:t>tobe</w:t>
      </w:r>
      <w:proofErr w:type="spellEnd"/>
      <w:r>
        <w:t xml:space="preserve"> highlighted that it is important to signal the signalling based MDT configuration from old NG RAN node to new serving NG RAN node in order to allow the new NG RAN node to know the MDT configuration either to be signalled to the UE or according to which the UE will behave (i.e. according to which the UE will generate MDT reports) in case the configuration has been already signalled </w:t>
      </w:r>
      <w:proofErr w:type="spellStart"/>
      <w:r>
        <w:t>ot</w:t>
      </w:r>
      <w:proofErr w:type="spellEnd"/>
      <w:r>
        <w:t xml:space="preserve"> the UE.</w:t>
      </w:r>
    </w:p>
    <w:p w14:paraId="652F6B74" w14:textId="77777777" w:rsidR="00592444" w:rsidRDefault="00D8719E">
      <w:r>
        <w:t xml:space="preserve">The scenario above is subject to errors because the new serving NG RAN node does not know whether the signalling based logged MDT </w:t>
      </w:r>
      <w:proofErr w:type="spellStart"/>
      <w:r>
        <w:t>configuraiotn</w:t>
      </w:r>
      <w:proofErr w:type="spellEnd"/>
      <w:r>
        <w:t xml:space="preserve"> has been applied or not. Two issues can be encountered:</w:t>
      </w:r>
    </w:p>
    <w:p w14:paraId="673A23BF" w14:textId="77777777" w:rsidR="00592444" w:rsidRDefault="00D8719E">
      <w:pPr>
        <w:pStyle w:val="ListParagraph"/>
        <w:numPr>
          <w:ilvl w:val="0"/>
          <w:numId w:val="4"/>
        </w:numPr>
      </w:pPr>
      <w:r>
        <w:t>Without knowing whether the signalling based logged MDT Configuration has been signalled to the UE, the new serving node cannot deduce whether there is a need to reconfigure the UE with such configuration</w:t>
      </w:r>
    </w:p>
    <w:p w14:paraId="3C7A31BA" w14:textId="77777777" w:rsidR="00592444" w:rsidRDefault="00D8719E">
      <w:pPr>
        <w:pStyle w:val="ListParagraph"/>
        <w:numPr>
          <w:ilvl w:val="0"/>
          <w:numId w:val="4"/>
        </w:numPr>
      </w:pPr>
      <w:r>
        <w:t>Without knowing whether the signalling based logged MDT configuration has been signalled to the UE, it is not possible to take a correct decision in case a management based MDT configuration is received by the RAN node. Indeed, as per RAN2 agreements in TS37.320 “</w:t>
      </w:r>
      <w:r>
        <w:rPr>
          <w:i/>
          <w:iCs/>
        </w:rPr>
        <w:t>Management based MDT should not overwrite signalling based MDT</w:t>
      </w:r>
      <w:r>
        <w:t xml:space="preserve">”. Hence, without knowing if the </w:t>
      </w:r>
      <w:proofErr w:type="gramStart"/>
      <w:r>
        <w:t>signalling based</w:t>
      </w:r>
      <w:proofErr w:type="gramEnd"/>
      <w:r>
        <w:t xml:space="preserve"> MDT configuration is configured or not the NG RAN node would not know whether the UE can be configured for management based MDT or not.</w:t>
      </w:r>
    </w:p>
    <w:p w14:paraId="36D27028" w14:textId="77777777" w:rsidR="00592444" w:rsidRDefault="00592444">
      <w:pPr>
        <w:ind w:left="360"/>
      </w:pPr>
    </w:p>
    <w:p w14:paraId="4225823A" w14:textId="77777777" w:rsidR="00592444" w:rsidRDefault="00D8719E">
      <w:pPr>
        <w:ind w:left="142"/>
      </w:pPr>
      <w:r>
        <w:t xml:space="preserve">For the above reasons, a flag is needed within the </w:t>
      </w:r>
      <w:proofErr w:type="spellStart"/>
      <w:proofErr w:type="gramStart"/>
      <w:r>
        <w:t>Xn</w:t>
      </w:r>
      <w:proofErr w:type="spellEnd"/>
      <w:r>
        <w:t xml:space="preserve"> :</w:t>
      </w:r>
      <w:proofErr w:type="gramEnd"/>
      <w:r>
        <w:t xml:space="preserve"> Retrieve UE Context Response message to indicate whether the UE is already configured with the </w:t>
      </w:r>
      <w:proofErr w:type="spellStart"/>
      <w:r>
        <w:t>signaling</w:t>
      </w:r>
      <w:proofErr w:type="spellEnd"/>
      <w:r>
        <w:t xml:space="preserve"> based logged MDT configuration or not.</w:t>
      </w:r>
    </w:p>
    <w:p w14:paraId="3401C0CA" w14:textId="77777777" w:rsidR="00592444" w:rsidRDefault="00592444"/>
    <w:p w14:paraId="424DD76E" w14:textId="77777777" w:rsidR="00592444" w:rsidRDefault="00D8719E">
      <w:pPr>
        <w:pStyle w:val="Proposal"/>
        <w:numPr>
          <w:ilvl w:val="0"/>
          <w:numId w:val="2"/>
        </w:numPr>
        <w:tabs>
          <w:tab w:val="clear" w:pos="2155"/>
          <w:tab w:val="left" w:pos="1560"/>
        </w:tabs>
        <w:ind w:left="1418" w:hanging="1418"/>
        <w:rPr>
          <w:lang w:val="en-GB"/>
        </w:rPr>
      </w:pPr>
      <w:r>
        <w:rPr>
          <w:lang w:val="en-GB"/>
        </w:rPr>
        <w:lastRenderedPageBreak/>
        <w:t>It is proposed to add a Logged MDT availability flag in the RETRIEVE UE CONTEXT RESPONSE message</w:t>
      </w:r>
    </w:p>
    <w:p w14:paraId="3F4E6CD4" w14:textId="77777777" w:rsidR="00592444" w:rsidRDefault="00592444">
      <w:pPr>
        <w:pStyle w:val="Proposal"/>
        <w:tabs>
          <w:tab w:val="clear" w:pos="2155"/>
        </w:tabs>
        <w:ind w:left="1418" w:firstLine="0"/>
        <w:rPr>
          <w:rFonts w:eastAsiaTheme="minorEastAsia"/>
          <w:lang w:val="en-GB"/>
        </w:rPr>
      </w:pPr>
    </w:p>
    <w:tbl>
      <w:tblPr>
        <w:tblStyle w:val="TableGrid"/>
        <w:tblW w:w="13086" w:type="dxa"/>
        <w:tblInd w:w="1418" w:type="dxa"/>
        <w:tblLayout w:type="fixed"/>
        <w:tblLook w:val="04A0" w:firstRow="1" w:lastRow="0" w:firstColumn="1" w:lastColumn="0" w:noHBand="0" w:noVBand="1"/>
      </w:tblPr>
      <w:tblGrid>
        <w:gridCol w:w="6508"/>
        <w:gridCol w:w="6578"/>
      </w:tblGrid>
      <w:tr w:rsidR="00592444" w14:paraId="40FFFCDC" w14:textId="77777777">
        <w:tc>
          <w:tcPr>
            <w:tcW w:w="6508" w:type="dxa"/>
          </w:tcPr>
          <w:p w14:paraId="3EB1E100" w14:textId="77777777" w:rsidR="00592444" w:rsidRDefault="00D8719E">
            <w:pPr>
              <w:pStyle w:val="Proposal"/>
              <w:tabs>
                <w:tab w:val="clear" w:pos="2155"/>
              </w:tabs>
              <w:ind w:left="0" w:firstLine="0"/>
              <w:rPr>
                <w:lang w:val="en-GB"/>
              </w:rPr>
            </w:pPr>
            <w:r>
              <w:rPr>
                <w:lang w:val="en-GB"/>
              </w:rPr>
              <w:t>Company</w:t>
            </w:r>
          </w:p>
        </w:tc>
        <w:tc>
          <w:tcPr>
            <w:tcW w:w="6578" w:type="dxa"/>
          </w:tcPr>
          <w:p w14:paraId="49118AA0" w14:textId="77777777" w:rsidR="00592444" w:rsidRDefault="00D8719E">
            <w:pPr>
              <w:pStyle w:val="Proposal"/>
              <w:tabs>
                <w:tab w:val="clear" w:pos="2155"/>
              </w:tabs>
              <w:ind w:left="0" w:firstLine="0"/>
              <w:rPr>
                <w:lang w:val="en-GB"/>
              </w:rPr>
            </w:pPr>
            <w:r>
              <w:rPr>
                <w:lang w:val="en-GB"/>
              </w:rPr>
              <w:t>Comments</w:t>
            </w:r>
          </w:p>
        </w:tc>
      </w:tr>
      <w:tr w:rsidR="00592444" w14:paraId="1157D415" w14:textId="77777777">
        <w:tc>
          <w:tcPr>
            <w:tcW w:w="6508" w:type="dxa"/>
          </w:tcPr>
          <w:p w14:paraId="37944A81" w14:textId="77777777" w:rsidR="00592444" w:rsidRDefault="00D8719E">
            <w:pPr>
              <w:pStyle w:val="Proposal"/>
              <w:tabs>
                <w:tab w:val="clear" w:pos="2155"/>
              </w:tabs>
              <w:ind w:left="0" w:firstLine="0"/>
              <w:rPr>
                <w:lang w:val="en-GB"/>
              </w:rPr>
            </w:pPr>
            <w:r>
              <w:rPr>
                <w:lang w:val="en-GB"/>
              </w:rPr>
              <w:t>CMCC</w:t>
            </w:r>
          </w:p>
        </w:tc>
        <w:tc>
          <w:tcPr>
            <w:tcW w:w="6578" w:type="dxa"/>
          </w:tcPr>
          <w:p w14:paraId="4EFB14BF" w14:textId="77777777" w:rsidR="00592444" w:rsidRPr="00A90D6B" w:rsidRDefault="00D8719E">
            <w:pPr>
              <w:pStyle w:val="Proposal"/>
              <w:tabs>
                <w:tab w:val="clear" w:pos="2155"/>
              </w:tabs>
              <w:ind w:left="0" w:firstLine="0"/>
              <w:rPr>
                <w:rFonts w:eastAsiaTheme="minorEastAsia"/>
                <w:lang w:val="en-GB"/>
              </w:rPr>
            </w:pPr>
            <w:r>
              <w:rPr>
                <w:rFonts w:eastAsiaTheme="minorEastAsia" w:hint="eastAsia"/>
                <w:lang w:val="en-GB"/>
              </w:rPr>
              <w:t>The solution agreed by RAN2 is valid, w</w:t>
            </w:r>
            <w:r w:rsidRPr="00A90D6B">
              <w:rPr>
                <w:rFonts w:eastAsiaTheme="minorEastAsia"/>
                <w:lang w:val="en-GB"/>
              </w:rPr>
              <w:t>hen the UE resumes the RRC connection in one new NG-RAN, the last serving NG-RAN can propagate the logged MDT configuration to the new NG-RAN.</w:t>
            </w:r>
            <w:r>
              <w:rPr>
                <w:rFonts w:eastAsiaTheme="minorEastAsia" w:hint="eastAsia"/>
                <w:lang w:val="en-GB"/>
              </w:rPr>
              <w:t xml:space="preserve"> But my understanding is our </w:t>
            </w:r>
            <w:proofErr w:type="spellStart"/>
            <w:r>
              <w:rPr>
                <w:rFonts w:eastAsiaTheme="minorEastAsia" w:hint="eastAsia"/>
                <w:lang w:val="en-GB"/>
              </w:rPr>
              <w:t>Xn</w:t>
            </w:r>
            <w:proofErr w:type="spellEnd"/>
            <w:r>
              <w:rPr>
                <w:rFonts w:eastAsiaTheme="minorEastAsia" w:hint="eastAsia"/>
                <w:lang w:val="en-GB"/>
              </w:rPr>
              <w:t xml:space="preserve"> BLCR has supported this, trace activation/MDT configuration IE in </w:t>
            </w:r>
            <w:r w:rsidRPr="00A90D6B">
              <w:rPr>
                <w:rFonts w:eastAsiaTheme="minorEastAsia"/>
                <w:i/>
                <w:lang w:val="en-GB"/>
              </w:rPr>
              <w:t>Retrieval UE context response</w:t>
            </w:r>
            <w:r>
              <w:rPr>
                <w:rFonts w:eastAsiaTheme="minorEastAsia" w:hint="eastAsia"/>
                <w:lang w:val="en-GB"/>
              </w:rPr>
              <w:t xml:space="preserve"> are optional, if the last serving NG-RAN node has </w:t>
            </w:r>
            <w:r>
              <w:rPr>
                <w:rFonts w:eastAsiaTheme="minorEastAsia"/>
                <w:lang w:val="en-GB"/>
              </w:rPr>
              <w:t>already</w:t>
            </w:r>
            <w:r>
              <w:rPr>
                <w:rFonts w:eastAsiaTheme="minorEastAsia" w:hint="eastAsia"/>
                <w:lang w:val="en-GB"/>
              </w:rPr>
              <w:t xml:space="preserve"> sent this configuration to UE, it will not include the IE, otherwise, it will include the IE. This could serve as a logged MDT availability </w:t>
            </w:r>
            <w:r>
              <w:rPr>
                <w:rFonts w:eastAsiaTheme="minorEastAsia"/>
                <w:lang w:val="en-GB"/>
              </w:rPr>
              <w:t>indication</w:t>
            </w:r>
            <w:r>
              <w:rPr>
                <w:rFonts w:eastAsiaTheme="minorEastAsia" w:hint="eastAsia"/>
                <w:lang w:val="en-GB"/>
              </w:rPr>
              <w:t xml:space="preserve">. If needed, we can specify the behaviour at the receiving node. </w:t>
            </w:r>
            <w:proofErr w:type="gramStart"/>
            <w:r>
              <w:rPr>
                <w:rFonts w:eastAsiaTheme="minorEastAsia" w:hint="eastAsia"/>
                <w:lang w:val="en-GB"/>
              </w:rPr>
              <w:t>So</w:t>
            </w:r>
            <w:proofErr w:type="gramEnd"/>
            <w:r>
              <w:rPr>
                <w:rFonts w:eastAsiaTheme="minorEastAsia" w:hint="eastAsia"/>
                <w:lang w:val="en-GB"/>
              </w:rPr>
              <w:t xml:space="preserve"> although </w:t>
            </w:r>
            <w:r>
              <w:rPr>
                <w:rFonts w:eastAsiaTheme="minorEastAsia"/>
                <w:lang w:val="en-GB"/>
              </w:rPr>
              <w:t>I</w:t>
            </w:r>
            <w:r>
              <w:rPr>
                <w:rFonts w:eastAsiaTheme="minorEastAsia" w:hint="eastAsia"/>
                <w:lang w:val="en-GB"/>
              </w:rPr>
              <w:t xml:space="preserve"> understand the motivation, I failed to see a scenario which needs the explicit indicator.  </w:t>
            </w:r>
          </w:p>
        </w:tc>
      </w:tr>
      <w:tr w:rsidR="00592444" w14:paraId="2FFE7869" w14:textId="77777777">
        <w:tc>
          <w:tcPr>
            <w:tcW w:w="6508" w:type="dxa"/>
          </w:tcPr>
          <w:p w14:paraId="716FE44C" w14:textId="77777777" w:rsidR="00592444" w:rsidRPr="00A90D6B" w:rsidRDefault="00D8719E">
            <w:pPr>
              <w:pStyle w:val="Proposal"/>
              <w:tabs>
                <w:tab w:val="clear" w:pos="2155"/>
              </w:tabs>
              <w:ind w:left="0" w:firstLine="0"/>
              <w:rPr>
                <w:rFonts w:eastAsiaTheme="minorEastAsia"/>
                <w:lang w:val="en-GB"/>
              </w:rPr>
            </w:pPr>
            <w:r>
              <w:rPr>
                <w:rFonts w:eastAsiaTheme="minorEastAsia" w:hint="eastAsia"/>
                <w:lang w:val="en-GB"/>
              </w:rPr>
              <w:t>H</w:t>
            </w:r>
            <w:r>
              <w:rPr>
                <w:rFonts w:eastAsiaTheme="minorEastAsia"/>
                <w:lang w:val="en-GB"/>
              </w:rPr>
              <w:t>uawei</w:t>
            </w:r>
          </w:p>
        </w:tc>
        <w:tc>
          <w:tcPr>
            <w:tcW w:w="6578" w:type="dxa"/>
          </w:tcPr>
          <w:p w14:paraId="6C961A10" w14:textId="77777777" w:rsidR="00592444" w:rsidRPr="00A90D6B" w:rsidRDefault="00D8719E" w:rsidP="00A90D6B">
            <w:pPr>
              <w:pStyle w:val="Proposal"/>
              <w:tabs>
                <w:tab w:val="clear" w:pos="2155"/>
              </w:tabs>
              <w:ind w:left="0" w:firstLine="0"/>
              <w:rPr>
                <w:rFonts w:eastAsiaTheme="minorEastAsia"/>
                <w:lang w:val="en-GB"/>
              </w:rPr>
            </w:pPr>
            <w:r w:rsidRPr="00A90D6B">
              <w:rPr>
                <w:rFonts w:eastAsiaTheme="minorEastAsia"/>
                <w:lang w:val="en-GB"/>
              </w:rPr>
              <w:t xml:space="preserve">Basically, we also </w:t>
            </w:r>
            <w:proofErr w:type="spellStart"/>
            <w:r w:rsidRPr="00A90D6B">
              <w:rPr>
                <w:rFonts w:eastAsiaTheme="minorEastAsia"/>
                <w:lang w:val="en-GB"/>
              </w:rPr>
              <w:t>donot</w:t>
            </w:r>
            <w:proofErr w:type="spellEnd"/>
            <w:r w:rsidRPr="00A90D6B">
              <w:rPr>
                <w:rFonts w:eastAsiaTheme="minorEastAsia"/>
                <w:lang w:val="en-GB"/>
              </w:rPr>
              <w:t xml:space="preserve"> see the need of the logged MDT available indicator. </w:t>
            </w:r>
          </w:p>
          <w:p w14:paraId="5572CBBA" w14:textId="77777777" w:rsidR="00592444" w:rsidRDefault="00592444">
            <w:pPr>
              <w:pStyle w:val="Proposal"/>
              <w:tabs>
                <w:tab w:val="clear" w:pos="2155"/>
              </w:tabs>
              <w:ind w:left="0" w:firstLine="0"/>
              <w:rPr>
                <w:lang w:val="en-GB"/>
              </w:rPr>
            </w:pPr>
          </w:p>
        </w:tc>
      </w:tr>
      <w:tr w:rsidR="00592444" w14:paraId="4B26DB6C" w14:textId="77777777">
        <w:tc>
          <w:tcPr>
            <w:tcW w:w="6508" w:type="dxa"/>
          </w:tcPr>
          <w:p w14:paraId="505E25D1" w14:textId="77777777" w:rsidR="00592444" w:rsidRPr="00A90D6B" w:rsidRDefault="00D8719E">
            <w:pPr>
              <w:pStyle w:val="Proposal"/>
              <w:tabs>
                <w:tab w:val="clear" w:pos="2155"/>
              </w:tabs>
              <w:ind w:left="0" w:firstLine="0"/>
              <w:rPr>
                <w:rFonts w:eastAsiaTheme="minorEastAsia"/>
                <w:lang w:val="en-GB"/>
              </w:rPr>
            </w:pPr>
            <w:r>
              <w:rPr>
                <w:rFonts w:eastAsiaTheme="minorEastAsia" w:hint="eastAsia"/>
                <w:lang w:val="en-GB"/>
              </w:rPr>
              <w:t>Samsung</w:t>
            </w:r>
          </w:p>
        </w:tc>
        <w:tc>
          <w:tcPr>
            <w:tcW w:w="6578" w:type="dxa"/>
          </w:tcPr>
          <w:p w14:paraId="46DD9C51" w14:textId="77777777" w:rsidR="00592444" w:rsidRDefault="00D8719E">
            <w:pPr>
              <w:pStyle w:val="Proposal"/>
              <w:tabs>
                <w:tab w:val="clear" w:pos="2155"/>
              </w:tabs>
              <w:ind w:left="0" w:firstLine="0"/>
              <w:rPr>
                <w:rFonts w:eastAsiaTheme="minorEastAsia"/>
                <w:lang w:val="en-GB"/>
              </w:rPr>
            </w:pPr>
            <w:r>
              <w:rPr>
                <w:rFonts w:eastAsiaTheme="minorEastAsia" w:hint="eastAsia"/>
                <w:lang w:val="en-GB"/>
              </w:rPr>
              <w:t>Agree above.</w:t>
            </w:r>
          </w:p>
          <w:p w14:paraId="3EC29DA7" w14:textId="77777777" w:rsidR="00592444" w:rsidRPr="00A90D6B" w:rsidRDefault="00D8719E">
            <w:pPr>
              <w:pStyle w:val="Proposal"/>
              <w:tabs>
                <w:tab w:val="clear" w:pos="2155"/>
              </w:tabs>
              <w:ind w:left="0" w:firstLine="0"/>
              <w:rPr>
                <w:rFonts w:eastAsiaTheme="minorEastAsia"/>
                <w:lang w:val="en-GB"/>
              </w:rPr>
            </w:pPr>
            <w:r w:rsidRPr="00A90D6B">
              <w:rPr>
                <w:rFonts w:eastAsia="Microsoft YaHei UI"/>
                <w:color w:val="000000"/>
                <w:lang w:val="en-GB"/>
              </w:rPr>
              <w:t xml:space="preserve">If the old RAN sends the </w:t>
            </w:r>
            <w:proofErr w:type="spellStart"/>
            <w:r w:rsidRPr="00A90D6B">
              <w:rPr>
                <w:rFonts w:eastAsia="Microsoft YaHei UI"/>
                <w:color w:val="000000"/>
                <w:lang w:val="en-GB"/>
              </w:rPr>
              <w:t>signaling</w:t>
            </w:r>
            <w:proofErr w:type="spellEnd"/>
            <w:r w:rsidRPr="00A90D6B">
              <w:rPr>
                <w:rFonts w:eastAsia="Microsoft YaHei UI"/>
                <w:color w:val="000000"/>
                <w:lang w:val="en-GB"/>
              </w:rPr>
              <w:t xml:space="preserve"> based logged MDT to the UE before UE entering inactive, old RAN won't include the MDT Configuration in the </w:t>
            </w:r>
            <w:proofErr w:type="spellStart"/>
            <w:r w:rsidRPr="00A90D6B">
              <w:rPr>
                <w:rFonts w:eastAsia="Microsoft YaHei UI"/>
                <w:color w:val="000000"/>
                <w:lang w:val="en-GB"/>
              </w:rPr>
              <w:t>Xn</w:t>
            </w:r>
            <w:proofErr w:type="spellEnd"/>
            <w:r w:rsidRPr="00A90D6B">
              <w:rPr>
                <w:rFonts w:eastAsia="Microsoft YaHei UI"/>
                <w:color w:val="000000"/>
                <w:lang w:val="en-GB"/>
              </w:rPr>
              <w:t xml:space="preserve"> message. If the old RAN receives logged MDT from CN after UE in inactive mode, the old RAN will forward it to the target using existing IE. </w:t>
            </w:r>
          </w:p>
        </w:tc>
      </w:tr>
      <w:tr w:rsidR="00592444" w14:paraId="51D9F2AD" w14:textId="77777777">
        <w:tc>
          <w:tcPr>
            <w:tcW w:w="6508" w:type="dxa"/>
          </w:tcPr>
          <w:p w14:paraId="2CBC8A37" w14:textId="77777777" w:rsidR="00592444" w:rsidRDefault="00D8719E">
            <w:pPr>
              <w:pStyle w:val="Proposal"/>
              <w:tabs>
                <w:tab w:val="clear" w:pos="2155"/>
              </w:tabs>
              <w:ind w:left="0" w:firstLine="0"/>
              <w:rPr>
                <w:rFonts w:eastAsia="SimSun"/>
                <w:lang w:val="en-US"/>
              </w:rPr>
            </w:pPr>
            <w:r>
              <w:rPr>
                <w:rFonts w:eastAsia="SimSun" w:hint="eastAsia"/>
                <w:lang w:val="en-US"/>
              </w:rPr>
              <w:t>ZTE</w:t>
            </w:r>
          </w:p>
        </w:tc>
        <w:tc>
          <w:tcPr>
            <w:tcW w:w="6578" w:type="dxa"/>
          </w:tcPr>
          <w:p w14:paraId="580F1A80" w14:textId="77777777" w:rsidR="00592444" w:rsidRDefault="00D8719E">
            <w:pPr>
              <w:rPr>
                <w:lang w:eastAsia="zh-CN"/>
              </w:rPr>
            </w:pPr>
            <w:r>
              <w:rPr>
                <w:rFonts w:hint="eastAsia"/>
                <w:lang w:val="en-US" w:eastAsia="zh-CN"/>
              </w:rPr>
              <w:t xml:space="preserve">To my </w:t>
            </w:r>
            <w:proofErr w:type="gramStart"/>
            <w:r>
              <w:rPr>
                <w:rFonts w:hint="eastAsia"/>
                <w:lang w:val="en-US" w:eastAsia="zh-CN"/>
              </w:rPr>
              <w:t xml:space="preserve">understanding </w:t>
            </w:r>
            <w:r>
              <w:rPr>
                <w:lang w:eastAsia="zh-CN"/>
              </w:rPr>
              <w:t>,</w:t>
            </w:r>
            <w:proofErr w:type="gramEnd"/>
            <w:r>
              <w:rPr>
                <w:lang w:eastAsia="zh-CN"/>
              </w:rPr>
              <w:t xml:space="preserve"> the real question comes from this RAN2 agreement ““Management based MDT should not overwrite signalling based MDT””.</w:t>
            </w:r>
          </w:p>
          <w:p w14:paraId="56787505" w14:textId="77777777" w:rsidR="00592444" w:rsidRDefault="00D8719E">
            <w:pPr>
              <w:rPr>
                <w:lang w:eastAsia="zh-CN"/>
              </w:rPr>
            </w:pPr>
            <w:r>
              <w:rPr>
                <w:lang w:eastAsia="zh-CN"/>
              </w:rPr>
              <w:lastRenderedPageBreak/>
              <w:t>Under this requirement, as explained by Angelo, the target NG-RAN node cannot determine whether it can trigger the management-based logged MDT in case of inactive state.</w:t>
            </w:r>
          </w:p>
          <w:p w14:paraId="662E1675" w14:textId="77777777" w:rsidR="00592444" w:rsidRPr="00A90D6B" w:rsidRDefault="00592444">
            <w:pPr>
              <w:rPr>
                <w:lang w:val="en-US" w:eastAsia="zh-CN"/>
              </w:rPr>
            </w:pPr>
          </w:p>
          <w:p w14:paraId="112077F3" w14:textId="77777777" w:rsidR="00592444" w:rsidRDefault="00D8719E">
            <w:pPr>
              <w:rPr>
                <w:lang w:eastAsia="zh-CN"/>
              </w:rPr>
            </w:pPr>
            <w:r>
              <w:rPr>
                <w:rFonts w:hint="eastAsia"/>
                <w:lang w:val="en-US" w:eastAsia="zh-CN"/>
              </w:rPr>
              <w:t>T</w:t>
            </w:r>
            <w:r>
              <w:rPr>
                <w:lang w:eastAsia="zh-CN"/>
              </w:rPr>
              <w:t xml:space="preserve">he scenario described of this issue is the same as LTE. For example, in the LTE MDT, after UE is configured with signalling based logged MDT and into </w:t>
            </w:r>
            <w:proofErr w:type="spellStart"/>
            <w:r>
              <w:rPr>
                <w:lang w:eastAsia="zh-CN"/>
              </w:rPr>
              <w:t>RRC_idle</w:t>
            </w:r>
            <w:proofErr w:type="spellEnd"/>
            <w:r>
              <w:rPr>
                <w:lang w:eastAsia="zh-CN"/>
              </w:rPr>
              <w:t xml:space="preserve"> state and moves to a target </w:t>
            </w:r>
            <w:proofErr w:type="spellStart"/>
            <w:r>
              <w:rPr>
                <w:lang w:eastAsia="zh-CN"/>
              </w:rPr>
              <w:t>eNB</w:t>
            </w:r>
            <w:proofErr w:type="spellEnd"/>
            <w:r>
              <w:rPr>
                <w:lang w:eastAsia="zh-CN"/>
              </w:rPr>
              <w:t xml:space="preserve">, the target </w:t>
            </w:r>
            <w:proofErr w:type="spellStart"/>
            <w:r>
              <w:rPr>
                <w:lang w:eastAsia="zh-CN"/>
              </w:rPr>
              <w:t>eNB</w:t>
            </w:r>
            <w:proofErr w:type="spellEnd"/>
            <w:r>
              <w:rPr>
                <w:lang w:eastAsia="zh-CN"/>
              </w:rPr>
              <w:t xml:space="preserve"> does not obtain ANY indication from the source </w:t>
            </w:r>
            <w:proofErr w:type="spellStart"/>
            <w:r>
              <w:rPr>
                <w:lang w:eastAsia="zh-CN"/>
              </w:rPr>
              <w:t>eNB</w:t>
            </w:r>
            <w:proofErr w:type="spellEnd"/>
            <w:r>
              <w:rPr>
                <w:lang w:eastAsia="zh-CN"/>
              </w:rPr>
              <w:t xml:space="preserve">. Can the target </w:t>
            </w:r>
            <w:proofErr w:type="spellStart"/>
            <w:r>
              <w:rPr>
                <w:lang w:eastAsia="zh-CN"/>
              </w:rPr>
              <w:t>eNB</w:t>
            </w:r>
            <w:proofErr w:type="spellEnd"/>
            <w:r>
              <w:rPr>
                <w:lang w:eastAsia="zh-CN"/>
              </w:rPr>
              <w:t xml:space="preserve"> trigger a management-based MDT task to this UE </w:t>
            </w:r>
            <w:proofErr w:type="gramStart"/>
            <w:r>
              <w:rPr>
                <w:lang w:eastAsia="zh-CN"/>
              </w:rPr>
              <w:t>again ?</w:t>
            </w:r>
            <w:proofErr w:type="gramEnd"/>
            <w:r>
              <w:rPr>
                <w:lang w:eastAsia="zh-CN"/>
              </w:rPr>
              <w:t xml:space="preserve"> It </w:t>
            </w:r>
            <w:proofErr w:type="gramStart"/>
            <w:r>
              <w:rPr>
                <w:lang w:eastAsia="zh-CN"/>
              </w:rPr>
              <w:t>seem</w:t>
            </w:r>
            <w:proofErr w:type="gramEnd"/>
            <w:r>
              <w:rPr>
                <w:lang w:eastAsia="zh-CN"/>
              </w:rPr>
              <w:t xml:space="preserve"> that LTE Management based MDT does not overwrite LTE signalling based MDT. It seems not issue in LTE.</w:t>
            </w:r>
          </w:p>
          <w:p w14:paraId="25A658E8" w14:textId="77777777" w:rsidR="00592444" w:rsidRDefault="00D8719E">
            <w:pPr>
              <w:rPr>
                <w:lang w:eastAsia="zh-CN"/>
              </w:rPr>
            </w:pPr>
            <w:r>
              <w:rPr>
                <w:lang w:eastAsia="zh-CN"/>
              </w:rPr>
              <w:t> </w:t>
            </w:r>
          </w:p>
          <w:p w14:paraId="79AD7586" w14:textId="77777777" w:rsidR="00592444" w:rsidRDefault="00D8719E">
            <w:pPr>
              <w:rPr>
                <w:lang w:eastAsia="zh-CN"/>
              </w:rPr>
            </w:pPr>
            <w:r>
              <w:rPr>
                <w:lang w:eastAsia="zh-CN"/>
              </w:rPr>
              <w:t>In addition, in order to avoid potential configuration collision, the target node may consider some implementation methods to confirm whether the UE already has a logged MDT task.</w:t>
            </w:r>
          </w:p>
          <w:p w14:paraId="0E828D32" w14:textId="77777777" w:rsidR="00592444" w:rsidRDefault="00D8719E">
            <w:pPr>
              <w:rPr>
                <w:lang w:eastAsia="zh-CN"/>
              </w:rPr>
            </w:pPr>
            <w:r>
              <w:rPr>
                <w:lang w:eastAsia="zh-CN"/>
              </w:rPr>
              <w:t>Method 1: AMF check the Cell traffic trace message,</w:t>
            </w:r>
          </w:p>
          <w:p w14:paraId="416F5FDA" w14:textId="77777777" w:rsidR="00592444" w:rsidRDefault="00D8719E">
            <w:pPr>
              <w:rPr>
                <w:lang w:eastAsia="zh-CN"/>
              </w:rPr>
            </w:pPr>
            <w:r>
              <w:rPr>
                <w:lang w:eastAsia="zh-CN"/>
              </w:rPr>
              <w:t>After the target RAN node starts the management-based logged MDT, the RAN node must send a Cell traffic trace message to the core network, and the core network can detect the conflict through the UE ID.</w:t>
            </w:r>
          </w:p>
          <w:p w14:paraId="68BCF9DF" w14:textId="77777777" w:rsidR="00592444" w:rsidRDefault="00D8719E">
            <w:pPr>
              <w:rPr>
                <w:lang w:eastAsia="zh-CN"/>
              </w:rPr>
            </w:pPr>
            <w:r>
              <w:rPr>
                <w:lang w:eastAsia="zh-CN"/>
              </w:rPr>
              <w:t xml:space="preserve">Method 2: Via RRC message </w:t>
            </w:r>
            <w:proofErr w:type="spellStart"/>
            <w:r>
              <w:rPr>
                <w:lang w:eastAsia="zh-CN"/>
              </w:rPr>
              <w:t>UEinformation</w:t>
            </w:r>
            <w:proofErr w:type="spellEnd"/>
          </w:p>
          <w:p w14:paraId="34CACB63" w14:textId="77777777" w:rsidR="00592444" w:rsidRDefault="00D8719E">
            <w:pPr>
              <w:rPr>
                <w:lang w:eastAsia="zh-CN"/>
              </w:rPr>
            </w:pPr>
            <w:r>
              <w:rPr>
                <w:lang w:eastAsia="zh-CN"/>
              </w:rPr>
              <w:t>Before triggering the measurement, the node can check whether the reported data of the logged MDT has been obtained through the UE information message.</w:t>
            </w:r>
          </w:p>
          <w:p w14:paraId="62E9539A" w14:textId="77777777" w:rsidR="00592444" w:rsidRDefault="00D8719E">
            <w:pPr>
              <w:rPr>
                <w:lang w:eastAsia="zh-CN"/>
              </w:rPr>
            </w:pPr>
            <w:r>
              <w:rPr>
                <w:lang w:eastAsia="zh-CN"/>
              </w:rPr>
              <w:t>Method 3: Via the instructions in MSG5</w:t>
            </w:r>
          </w:p>
          <w:p w14:paraId="2C393574" w14:textId="77777777" w:rsidR="00592444" w:rsidRDefault="00D8719E">
            <w:pPr>
              <w:rPr>
                <w:lang w:eastAsia="zh-CN"/>
              </w:rPr>
            </w:pPr>
            <w:r>
              <w:rPr>
                <w:lang w:eastAsia="zh-CN"/>
              </w:rPr>
              <w:lastRenderedPageBreak/>
              <w:t>When the UE accesses the network, if there is an MDT report to be reported, it can carry the report indication in MSG5.The target node determines whether to trigger measurement based on the information.</w:t>
            </w:r>
          </w:p>
          <w:p w14:paraId="29C47C4F" w14:textId="77777777" w:rsidR="00592444" w:rsidRDefault="00592444">
            <w:pPr>
              <w:rPr>
                <w:lang w:eastAsia="zh-CN"/>
              </w:rPr>
            </w:pPr>
          </w:p>
          <w:p w14:paraId="71E19C04" w14:textId="77777777" w:rsidR="00592444" w:rsidRDefault="00D8719E">
            <w:pPr>
              <w:rPr>
                <w:lang w:eastAsia="zh-CN"/>
              </w:rPr>
            </w:pPr>
            <w:r>
              <w:rPr>
                <w:lang w:eastAsia="zh-CN"/>
              </w:rPr>
              <w:t>Therefore, I think " logged MDT available indicator" need not introduced in Rel-16 MDT.</w:t>
            </w:r>
          </w:p>
          <w:p w14:paraId="772B43EE" w14:textId="77777777" w:rsidR="00592444" w:rsidRDefault="00592444">
            <w:pPr>
              <w:pStyle w:val="Proposal"/>
              <w:tabs>
                <w:tab w:val="clear" w:pos="2155"/>
              </w:tabs>
              <w:ind w:left="0" w:firstLine="0"/>
              <w:rPr>
                <w:lang w:val="en-GB"/>
              </w:rPr>
            </w:pPr>
          </w:p>
        </w:tc>
      </w:tr>
      <w:tr w:rsidR="0036793C" w14:paraId="797EF7FF" w14:textId="77777777">
        <w:tc>
          <w:tcPr>
            <w:tcW w:w="6508" w:type="dxa"/>
          </w:tcPr>
          <w:p w14:paraId="270D770B" w14:textId="4BCA7FB9" w:rsidR="0036793C" w:rsidRDefault="0036793C">
            <w:pPr>
              <w:pStyle w:val="Proposal"/>
              <w:tabs>
                <w:tab w:val="clear" w:pos="2155"/>
              </w:tabs>
              <w:ind w:left="0" w:firstLine="0"/>
              <w:rPr>
                <w:rFonts w:eastAsia="SimSun"/>
                <w:lang w:val="en-US"/>
              </w:rPr>
            </w:pPr>
            <w:r>
              <w:rPr>
                <w:rFonts w:eastAsia="SimSun"/>
                <w:lang w:val="en-US"/>
              </w:rPr>
              <w:lastRenderedPageBreak/>
              <w:t>Nokia</w:t>
            </w:r>
          </w:p>
        </w:tc>
        <w:tc>
          <w:tcPr>
            <w:tcW w:w="6578" w:type="dxa"/>
          </w:tcPr>
          <w:p w14:paraId="4A9CB956" w14:textId="48DECA8D" w:rsidR="0036793C" w:rsidRDefault="0036793C">
            <w:pPr>
              <w:rPr>
                <w:lang w:val="en-US" w:eastAsia="zh-CN"/>
              </w:rPr>
            </w:pPr>
            <w:r>
              <w:rPr>
                <w:lang w:val="en-US" w:eastAsia="zh-CN"/>
              </w:rPr>
              <w:t xml:space="preserve">We agree with the above discussions and don’t see the need to introduce </w:t>
            </w:r>
            <w:r w:rsidR="001353F9">
              <w:rPr>
                <w:lang w:val="en-US" w:eastAsia="zh-CN"/>
              </w:rPr>
              <w:t>L</w:t>
            </w:r>
            <w:r>
              <w:rPr>
                <w:lang w:val="en-US" w:eastAsia="zh-CN"/>
              </w:rPr>
              <w:t>ogged MDT availab</w:t>
            </w:r>
            <w:r w:rsidR="001353F9">
              <w:rPr>
                <w:lang w:val="en-US" w:eastAsia="zh-CN"/>
              </w:rPr>
              <w:t>ility flag into the RETRIEVE UE CONTEXT RESPONSE message</w:t>
            </w:r>
            <w:r>
              <w:rPr>
                <w:lang w:val="en-US" w:eastAsia="zh-CN"/>
              </w:rPr>
              <w:t>.</w:t>
            </w:r>
          </w:p>
        </w:tc>
      </w:tr>
    </w:tbl>
    <w:p w14:paraId="313FC25F" w14:textId="638D6E8C" w:rsidR="00592444" w:rsidRDefault="00592444">
      <w:pPr>
        <w:pStyle w:val="Proposal"/>
        <w:tabs>
          <w:tab w:val="clear" w:pos="2155"/>
        </w:tabs>
        <w:ind w:left="1418" w:firstLine="0"/>
        <w:rPr>
          <w:lang w:val="en-GB"/>
        </w:rPr>
      </w:pPr>
    </w:p>
    <w:p w14:paraId="43D6D929" w14:textId="2455CDBE" w:rsidR="00D65F4C" w:rsidRDefault="00D65F4C">
      <w:pPr>
        <w:pStyle w:val="Proposal"/>
        <w:tabs>
          <w:tab w:val="clear" w:pos="2155"/>
        </w:tabs>
        <w:ind w:left="1418" w:firstLine="0"/>
        <w:rPr>
          <w:lang w:val="en-GB"/>
        </w:rPr>
      </w:pPr>
    </w:p>
    <w:p w14:paraId="0AC2AF51" w14:textId="24099A16" w:rsidR="00D65F4C" w:rsidRDefault="00D65F4C">
      <w:pPr>
        <w:pStyle w:val="Proposal"/>
        <w:tabs>
          <w:tab w:val="clear" w:pos="2155"/>
        </w:tabs>
        <w:ind w:left="1418" w:firstLine="0"/>
        <w:rPr>
          <w:lang w:val="en-GB"/>
        </w:rPr>
      </w:pPr>
      <w:r>
        <w:rPr>
          <w:lang w:val="en-GB"/>
        </w:rPr>
        <w:t>Ericsson Explanation:</w:t>
      </w:r>
    </w:p>
    <w:p w14:paraId="1F3E3C7A" w14:textId="77777777" w:rsidR="00D65F4C" w:rsidRDefault="00D65F4C" w:rsidP="00D65F4C">
      <w:pPr>
        <w:rPr>
          <w:rFonts w:eastAsiaTheme="minorHAnsi"/>
        </w:rPr>
      </w:pPr>
      <w:r>
        <w:t>The case we are looking at is one where the UE is configured with a Signalling Based Logger MDT configuration.</w:t>
      </w:r>
    </w:p>
    <w:p w14:paraId="31A2E6D1" w14:textId="77777777" w:rsidR="00D65F4C" w:rsidRDefault="00D65F4C" w:rsidP="00D65F4C">
      <w:r>
        <w:t>The RAN2 agreements tell us that:</w:t>
      </w:r>
    </w:p>
    <w:p w14:paraId="517DB93D" w14:textId="77777777" w:rsidR="00D65F4C" w:rsidRDefault="00D65F4C" w:rsidP="00D65F4C">
      <w:pPr>
        <w:autoSpaceDE w:val="0"/>
        <w:autoSpaceDN w:val="0"/>
        <w:spacing w:before="40" w:after="40"/>
        <w:rPr>
          <w:i/>
          <w:iCs/>
          <w:lang w:eastAsia="en-GB"/>
        </w:rPr>
      </w:pPr>
      <w:r>
        <w:rPr>
          <w:rFonts w:ascii="Arial" w:hAnsi="Arial" w:cs="Arial"/>
          <w:i/>
          <w:iCs/>
        </w:rPr>
        <w:t>3    If the signalling based logged MDT received by the NG-RAN when UE is in RRC_INACTIVE:</w:t>
      </w:r>
    </w:p>
    <w:p w14:paraId="5F3846C7" w14:textId="77777777" w:rsidR="00D65F4C" w:rsidRDefault="00D65F4C" w:rsidP="00D65F4C">
      <w:pPr>
        <w:rPr>
          <w:rFonts w:ascii="Arial" w:hAnsi="Arial" w:cs="Arial"/>
          <w:i/>
          <w:iCs/>
          <w:sz w:val="22"/>
          <w:szCs w:val="22"/>
        </w:rPr>
      </w:pPr>
      <w:r>
        <w:rPr>
          <w:rFonts w:ascii="Arial" w:hAnsi="Arial" w:cs="Arial"/>
          <w:i/>
          <w:iCs/>
        </w:rPr>
        <w:t>[…]</w:t>
      </w:r>
    </w:p>
    <w:p w14:paraId="0D003689" w14:textId="77777777" w:rsidR="00D65F4C" w:rsidRDefault="00D65F4C" w:rsidP="00D65F4C">
      <w:pPr>
        <w:rPr>
          <w:rFonts w:ascii="Calibri" w:hAnsi="Calibri" w:cs="Calibri"/>
        </w:rPr>
      </w:pPr>
      <w:r>
        <w:rPr>
          <w:rFonts w:ascii="Arial" w:hAnsi="Arial" w:cs="Arial"/>
          <w:i/>
          <w:iCs/>
        </w:rPr>
        <w:t>When the UE resumes the RRC connection in one new NG-RAN, the last serving NG-RAN can propagate the logged MDT configuration to the new NG-RAN.</w:t>
      </w:r>
    </w:p>
    <w:p w14:paraId="5C38CB02" w14:textId="77777777" w:rsidR="00D65F4C" w:rsidRDefault="00D65F4C" w:rsidP="00D65F4C"/>
    <w:p w14:paraId="09D0F022" w14:textId="77777777" w:rsidR="00D65F4C" w:rsidRDefault="00D65F4C" w:rsidP="00D65F4C">
      <w:r>
        <w:t>So RAN2 has acknowledged that there is a need to signal from old NG RAN Node to new NG RAN node the Signalling Based Logged MDT configuration, if this is received by the old NG RAN node while the UE was in Inactive.</w:t>
      </w:r>
    </w:p>
    <w:p w14:paraId="2F990B1D" w14:textId="77777777" w:rsidR="00D65F4C" w:rsidRDefault="00D65F4C" w:rsidP="00D65F4C"/>
    <w:p w14:paraId="1D4C2B4F" w14:textId="77777777" w:rsidR="00D65F4C" w:rsidRDefault="00D65F4C" w:rsidP="00D65F4C">
      <w:r>
        <w:t>Our RAN3 specifications tell us that a Signalling Based Logged MDT configuration needs to be propagated at HO Signalling. For example, in BL CR to TS38.423 (R3-200012) we find the following text:</w:t>
      </w:r>
    </w:p>
    <w:p w14:paraId="0E262C07" w14:textId="77777777" w:rsidR="00D65F4C" w:rsidRDefault="00D65F4C" w:rsidP="00D65F4C"/>
    <w:p w14:paraId="6973B01A" w14:textId="77777777" w:rsidR="00D65F4C" w:rsidRDefault="00D65F4C" w:rsidP="00D65F4C">
      <w:r>
        <w:t xml:space="preserve">“If the </w:t>
      </w:r>
      <w:r>
        <w:rPr>
          <w:i/>
          <w:iCs/>
        </w:rPr>
        <w:t>Trace Activation</w:t>
      </w:r>
      <w:r>
        <w:t xml:space="preserve"> IE is included in the HANDOVER REQUEST message which includes the </w:t>
      </w:r>
      <w:r>
        <w:rPr>
          <w:i/>
          <w:iCs/>
        </w:rPr>
        <w:t>MDT Activation</w:t>
      </w:r>
      <w:r>
        <w:t xml:space="preserve"> IE set to “Immediate MDT Only” or “</w:t>
      </w:r>
      <w:r>
        <w:rPr>
          <w:highlight w:val="yellow"/>
        </w:rPr>
        <w:t>Logged MDT only</w:t>
      </w:r>
      <w:r>
        <w:t xml:space="preserve">”, and if the </w:t>
      </w:r>
      <w:r>
        <w:rPr>
          <w:i/>
          <w:iCs/>
        </w:rPr>
        <w:t>Signalling based MDT PLMN List</w:t>
      </w:r>
      <w:r>
        <w:t xml:space="preserve"> IE is included in the </w:t>
      </w:r>
      <w:r>
        <w:rPr>
          <w:i/>
          <w:iCs/>
        </w:rPr>
        <w:t>MDT Configuration</w:t>
      </w:r>
      <w:r>
        <w:t xml:space="preserve"> IE, the target NG-RAN node may use it to propagate the MDT Configuration as described in TS 37.320 [y].”</w:t>
      </w:r>
    </w:p>
    <w:p w14:paraId="1637D20E" w14:textId="77777777" w:rsidR="00D65F4C" w:rsidRDefault="00D65F4C" w:rsidP="00D65F4C"/>
    <w:p w14:paraId="7682192E" w14:textId="77777777" w:rsidR="00D65F4C" w:rsidRDefault="00D65F4C" w:rsidP="00D65F4C">
      <w:proofErr w:type="gramStart"/>
      <w:r>
        <w:t>In light of</w:t>
      </w:r>
      <w:proofErr w:type="gramEnd"/>
      <w:r>
        <w:t xml:space="preserve"> the above the following can be concluded</w:t>
      </w:r>
    </w:p>
    <w:p w14:paraId="780CFF74" w14:textId="77777777" w:rsidR="00D65F4C" w:rsidRDefault="00D65F4C" w:rsidP="00D65F4C"/>
    <w:p w14:paraId="25B10E30" w14:textId="77777777" w:rsidR="00D65F4C" w:rsidRDefault="00D65F4C" w:rsidP="00D65F4C">
      <w:pPr>
        <w:rPr>
          <w:b/>
          <w:bCs/>
          <w:lang w:eastAsia="en-GB"/>
        </w:rPr>
      </w:pPr>
      <w:r>
        <w:rPr>
          <w:b/>
          <w:bCs/>
        </w:rPr>
        <w:t xml:space="preserve">Conclusion: For both the cases of Signalling Based Logged MDT configuration received in </w:t>
      </w:r>
      <w:proofErr w:type="spellStart"/>
      <w:r>
        <w:rPr>
          <w:b/>
          <w:bCs/>
        </w:rPr>
        <w:t>RRC_Connected</w:t>
      </w:r>
      <w:proofErr w:type="spellEnd"/>
      <w:r>
        <w:rPr>
          <w:b/>
          <w:bCs/>
        </w:rPr>
        <w:t xml:space="preserve"> and in </w:t>
      </w:r>
      <w:proofErr w:type="spellStart"/>
      <w:r>
        <w:rPr>
          <w:b/>
          <w:bCs/>
        </w:rPr>
        <w:t>RRC_Inactive</w:t>
      </w:r>
      <w:proofErr w:type="spellEnd"/>
      <w:r>
        <w:rPr>
          <w:b/>
          <w:bCs/>
        </w:rPr>
        <w:t xml:space="preserve"> at the old serving NG RAN node, the Signalling Based Logged MDT configuration needs to be signalled as part of the Retrieve UE context procedure to the new serving NG RAN node. </w:t>
      </w:r>
    </w:p>
    <w:p w14:paraId="147A0375" w14:textId="77777777" w:rsidR="00D65F4C" w:rsidRDefault="00D65F4C" w:rsidP="00D65F4C">
      <w:pPr>
        <w:rPr>
          <w:rFonts w:ascii="Calibri" w:hAnsi="Calibri" w:cs="Calibri"/>
          <w:sz w:val="22"/>
          <w:szCs w:val="22"/>
        </w:rPr>
      </w:pPr>
    </w:p>
    <w:p w14:paraId="27E365F0" w14:textId="77777777" w:rsidR="00D65F4C" w:rsidRDefault="00D65F4C" w:rsidP="00D65F4C">
      <w:r>
        <w:t xml:space="preserve">Now, the problem we are trying to fix in our contribution R3-200967 is to let the new NG-RAN node understand whether the received Logged MDT configuration is active (has been configured at the UE) or not. </w:t>
      </w:r>
    </w:p>
    <w:p w14:paraId="59CA7822" w14:textId="77777777" w:rsidR="00D65F4C" w:rsidRDefault="00D65F4C" w:rsidP="00D65F4C"/>
    <w:p w14:paraId="476FA949" w14:textId="77777777" w:rsidR="00D65F4C" w:rsidRDefault="00D65F4C" w:rsidP="00D65F4C">
      <w:r>
        <w:t>Note: even if we take your assumption that if the Logged MDT Configuration has been already configured at the UE, this is not passed to the New NG RAN node, we have the same issue:</w:t>
      </w:r>
    </w:p>
    <w:p w14:paraId="21BE35CE" w14:textId="77777777" w:rsidR="00D65F4C" w:rsidRDefault="00D65F4C" w:rsidP="00D65F4C">
      <w:pPr>
        <w:pStyle w:val="ListParagraph"/>
        <w:numPr>
          <w:ilvl w:val="0"/>
          <w:numId w:val="5"/>
        </w:numPr>
        <w:spacing w:after="0" w:line="240" w:lineRule="auto"/>
        <w:rPr>
          <w:rFonts w:eastAsia="Times New Roman"/>
        </w:rPr>
      </w:pPr>
      <w:r>
        <w:rPr>
          <w:rFonts w:eastAsia="Times New Roman"/>
        </w:rPr>
        <w:t>The New serving NG RAN node cannot deduce if a UE is configured with the Logged MDT configuration by receiving a Retrieve UE Context Response *</w:t>
      </w:r>
      <w:r>
        <w:rPr>
          <w:rFonts w:eastAsia="Times New Roman"/>
          <w:b/>
          <w:bCs/>
        </w:rPr>
        <w:t>without</w:t>
      </w:r>
      <w:r>
        <w:rPr>
          <w:rFonts w:eastAsia="Times New Roman"/>
        </w:rPr>
        <w:t>* the Logged MDT configuration. Absence of the Logged MDT configuration may either mean that MDT has never been in place, or that a logged MDT configuration was applied to the UE. Hence, the new serving NG RAN node cannot conclude the status of the UE in terms of what was configured to it.</w:t>
      </w:r>
    </w:p>
    <w:p w14:paraId="1922E2F9" w14:textId="77777777" w:rsidR="00D65F4C" w:rsidRDefault="00D65F4C" w:rsidP="00D65F4C">
      <w:pPr>
        <w:rPr>
          <w:rFonts w:eastAsiaTheme="minorHAnsi"/>
        </w:rPr>
      </w:pPr>
    </w:p>
    <w:p w14:paraId="6A6A3AB4" w14:textId="77777777" w:rsidR="00D65F4C" w:rsidRDefault="00D65F4C" w:rsidP="00D65F4C">
      <w:r>
        <w:t>Now, let’s take another RAN2 agreement from TS37.320:</w:t>
      </w:r>
    </w:p>
    <w:p w14:paraId="085AF9D7" w14:textId="77777777" w:rsidR="00D65F4C" w:rsidRDefault="00D65F4C" w:rsidP="00D65F4C">
      <w:pPr>
        <w:rPr>
          <w:lang w:eastAsia="en-GB"/>
        </w:rPr>
      </w:pPr>
      <w:r>
        <w:t>“</w:t>
      </w:r>
      <w:r>
        <w:rPr>
          <w:i/>
          <w:iCs/>
        </w:rPr>
        <w:t>Management based MDT should not overwrite signalling based MDT</w:t>
      </w:r>
      <w:r>
        <w:t>”</w:t>
      </w:r>
    </w:p>
    <w:p w14:paraId="252F568B" w14:textId="77777777" w:rsidR="00D65F4C" w:rsidRDefault="00D65F4C" w:rsidP="00D65F4C"/>
    <w:p w14:paraId="2417D722" w14:textId="77777777" w:rsidR="00D65F4C" w:rsidRDefault="00D65F4C" w:rsidP="00D65F4C">
      <w:proofErr w:type="gramStart"/>
      <w:r>
        <w:t>On the basis of</w:t>
      </w:r>
      <w:proofErr w:type="gramEnd"/>
      <w:r>
        <w:t xml:space="preserve"> this agreement, the New serving NG RAN node needs to know what is the status of a UE that resumes, i.e. it needs to know if this UE was configured with Signalling Based Logged MDT or not. this is because:</w:t>
      </w:r>
    </w:p>
    <w:p w14:paraId="41A4F583" w14:textId="77777777" w:rsidR="00D65F4C" w:rsidRDefault="00D65F4C" w:rsidP="00D65F4C"/>
    <w:p w14:paraId="706B8B56" w14:textId="77777777" w:rsidR="00D65F4C" w:rsidRDefault="00D65F4C" w:rsidP="00D65F4C">
      <w:pPr>
        <w:rPr>
          <w:b/>
          <w:bCs/>
        </w:rPr>
      </w:pPr>
      <w:r>
        <w:rPr>
          <w:b/>
          <w:bCs/>
        </w:rPr>
        <w:lastRenderedPageBreak/>
        <w:t xml:space="preserve">If the New NG RAN node receives a Management Based MDT Configuration, and if the UE was configured with Signalling Based Logged MDT, the New NG RAN node should not overwrite the </w:t>
      </w:r>
      <w:proofErr w:type="gramStart"/>
      <w:r>
        <w:rPr>
          <w:b/>
          <w:bCs/>
        </w:rPr>
        <w:t>signalling based</w:t>
      </w:r>
      <w:proofErr w:type="gramEnd"/>
      <w:r>
        <w:rPr>
          <w:b/>
          <w:bCs/>
        </w:rPr>
        <w:t xml:space="preserve"> configuration</w:t>
      </w:r>
    </w:p>
    <w:p w14:paraId="68CD5FE5" w14:textId="77777777" w:rsidR="00D65F4C" w:rsidRDefault="00D65F4C" w:rsidP="00D65F4C"/>
    <w:p w14:paraId="29E4C58F" w14:textId="77777777" w:rsidR="00D65F4C" w:rsidRDefault="00D65F4C" w:rsidP="00D65F4C">
      <w:r>
        <w:t xml:space="preserve">For this </w:t>
      </w:r>
      <w:proofErr w:type="gramStart"/>
      <w:r>
        <w:t>reason</w:t>
      </w:r>
      <w:proofErr w:type="gramEnd"/>
      <w:r>
        <w:t xml:space="preserve"> we propose to add a flag about the status of the signalling Based Logged MDT configuration.</w:t>
      </w:r>
    </w:p>
    <w:p w14:paraId="1F68F777" w14:textId="77777777" w:rsidR="00D65F4C" w:rsidRDefault="00D65F4C">
      <w:pPr>
        <w:pStyle w:val="Proposal"/>
        <w:tabs>
          <w:tab w:val="clear" w:pos="2155"/>
        </w:tabs>
        <w:ind w:left="1418" w:firstLine="0"/>
        <w:rPr>
          <w:lang w:val="en-GB"/>
        </w:rPr>
      </w:pPr>
    </w:p>
    <w:p w14:paraId="76108316" w14:textId="2BCD416D" w:rsidR="00592444" w:rsidRDefault="00D8719E">
      <w:pPr>
        <w:pStyle w:val="Heading1"/>
      </w:pPr>
      <w:r>
        <w:t>3</w:t>
      </w:r>
      <w:r>
        <w:tab/>
        <w:t>Conclusion</w:t>
      </w:r>
    </w:p>
    <w:p w14:paraId="7C53C517" w14:textId="46DB227C" w:rsidR="00D65F4C" w:rsidRDefault="00D65F4C" w:rsidP="00D65F4C">
      <w:r>
        <w:t xml:space="preserve">There is no consensus at this meeting on the solution proposed in R3-200967. However, from the discussions above it appears that not all the questions were answered with </w:t>
      </w:r>
      <w:bookmarkStart w:id="7" w:name="_GoBack"/>
      <w:bookmarkEnd w:id="7"/>
      <w:r>
        <w:t>technical arguments (note: “we did it like this in LTE, so it is not a problem” is not considered to be a technical answer).</w:t>
      </w:r>
    </w:p>
    <w:p w14:paraId="5FC6C85C" w14:textId="0C16421E" w:rsidR="00D65F4C" w:rsidRDefault="00D65F4C" w:rsidP="00D65F4C">
      <w:r>
        <w:t>Some of the questions still pending are:</w:t>
      </w:r>
    </w:p>
    <w:p w14:paraId="4CF320E9" w14:textId="33C168AE" w:rsidR="00D65F4C" w:rsidRDefault="00D65F4C" w:rsidP="00D65F4C">
      <w:pPr>
        <w:pStyle w:val="ListParagraph"/>
        <w:numPr>
          <w:ilvl w:val="0"/>
          <w:numId w:val="5"/>
        </w:numPr>
      </w:pPr>
      <w:r>
        <w:t xml:space="preserve">If </w:t>
      </w:r>
      <w:r w:rsidR="00206E89">
        <w:t xml:space="preserve">we choose a solution where presence of the Logged MDT configuration in the </w:t>
      </w:r>
      <w:proofErr w:type="spellStart"/>
      <w:r w:rsidR="00206E89">
        <w:t>Xn</w:t>
      </w:r>
      <w:proofErr w:type="spellEnd"/>
      <w:r w:rsidR="00206E89">
        <w:t>: Retrieve UE context Re</w:t>
      </w:r>
      <w:r w:rsidR="002F7034">
        <w:t>s</w:t>
      </w:r>
      <w:r w:rsidR="00206E89">
        <w:t>ponse imp</w:t>
      </w:r>
      <w:r w:rsidR="002F7034">
        <w:t>l</w:t>
      </w:r>
      <w:r w:rsidR="00206E89">
        <w:t>ies that the UE was not configured with such configuration, while absence of the Logged MDT configuration means that the UE has been configured with such configuration, we end up in the problem of not been able to transfer the Logged MDT Configuration at a subsequent HO</w:t>
      </w:r>
    </w:p>
    <w:p w14:paraId="029A24F4" w14:textId="75D3CC1B" w:rsidR="00206E89" w:rsidRDefault="00206E89" w:rsidP="00206E89">
      <w:pPr>
        <w:pStyle w:val="ListParagraph"/>
        <w:numPr>
          <w:ilvl w:val="1"/>
          <w:numId w:val="5"/>
        </w:numPr>
      </w:pPr>
      <w:r>
        <w:t xml:space="preserve">Namely, for a UE configured with </w:t>
      </w:r>
      <w:r w:rsidR="002F7034">
        <w:t xml:space="preserve">Signalling Based </w:t>
      </w:r>
      <w:r>
        <w:t>Logged MDT, an HO procedure will not include the MDT configuration, while in LTE this was included</w:t>
      </w:r>
    </w:p>
    <w:p w14:paraId="48170A8F" w14:textId="69197255" w:rsidR="00206E89" w:rsidRDefault="00206E89" w:rsidP="00206E89">
      <w:pPr>
        <w:pStyle w:val="ListParagraph"/>
        <w:numPr>
          <w:ilvl w:val="0"/>
          <w:numId w:val="5"/>
        </w:numPr>
      </w:pPr>
      <w:r>
        <w:t xml:space="preserve">If we choose a solution where presence of the Logged MDT configuration in the </w:t>
      </w:r>
      <w:proofErr w:type="spellStart"/>
      <w:r>
        <w:t>Xn</w:t>
      </w:r>
      <w:proofErr w:type="spellEnd"/>
      <w:r>
        <w:t>: Retrieve UE context Re</w:t>
      </w:r>
      <w:r w:rsidR="002F7034">
        <w:t>s</w:t>
      </w:r>
      <w:r>
        <w:t>ponse imp</w:t>
      </w:r>
      <w:r w:rsidR="002F7034">
        <w:t>l</w:t>
      </w:r>
      <w:r>
        <w:t xml:space="preserve">ies that the UE was not configured with such configuration, while absence of the Logged MDT configuration means that the UE has been configured with such configuration it is not possible to avoid that a Management Based MDT configuration overwrites a </w:t>
      </w:r>
      <w:r w:rsidR="002F7034">
        <w:t>Signalling</w:t>
      </w:r>
      <w:r>
        <w:t xml:space="preserve"> Based MDT Configuration. </w:t>
      </w:r>
    </w:p>
    <w:p w14:paraId="428C51D2" w14:textId="715FC789" w:rsidR="00206E89" w:rsidRDefault="00206E89" w:rsidP="00206E89">
      <w:pPr>
        <w:pStyle w:val="ListParagraph"/>
        <w:numPr>
          <w:ilvl w:val="1"/>
          <w:numId w:val="5"/>
        </w:numPr>
      </w:pPr>
      <w:r>
        <w:rPr>
          <w:lang w:eastAsia="zh-CN"/>
        </w:rPr>
        <w:t>Method 1 from ZTE implies a mandatory use of Cell Traffic Trace, while this procedure is used only in specific cases</w:t>
      </w:r>
    </w:p>
    <w:p w14:paraId="0276D659" w14:textId="6F668A33" w:rsidR="00206E89" w:rsidRDefault="00206E89" w:rsidP="00206E89">
      <w:pPr>
        <w:pStyle w:val="ListParagraph"/>
        <w:numPr>
          <w:ilvl w:val="1"/>
          <w:numId w:val="5"/>
        </w:numPr>
      </w:pPr>
      <w:r>
        <w:rPr>
          <w:lang w:eastAsia="zh-CN"/>
        </w:rPr>
        <w:t xml:space="preserve">Method 2 and Method 3 are not reliable because reporting of logged measurements depends on reporting period. If a management based MDT Activation request comes before the reporting period expires, the new serving NG RAN node would not know if the UE is already configured with a signalling based </w:t>
      </w:r>
      <w:r w:rsidR="002F7034">
        <w:rPr>
          <w:lang w:eastAsia="zh-CN"/>
        </w:rPr>
        <w:t xml:space="preserve">MDT </w:t>
      </w:r>
      <w:r>
        <w:rPr>
          <w:lang w:eastAsia="zh-CN"/>
        </w:rPr>
        <w:t>configuration</w:t>
      </w:r>
    </w:p>
    <w:p w14:paraId="4BBFF324" w14:textId="6D82403D" w:rsidR="00206E89" w:rsidRPr="00A90D6B" w:rsidRDefault="00206E89" w:rsidP="00A90D6B">
      <w:pPr>
        <w:rPr>
          <w:b/>
          <w:bCs/>
        </w:rPr>
      </w:pPr>
      <w:r w:rsidRPr="00A90D6B">
        <w:rPr>
          <w:b/>
          <w:bCs/>
        </w:rPr>
        <w:t xml:space="preserve">Proposal: </w:t>
      </w:r>
      <w:r w:rsidR="002F7034">
        <w:rPr>
          <w:b/>
          <w:bCs/>
        </w:rPr>
        <w:t>No consensus on the proposal. P</w:t>
      </w:r>
      <w:r w:rsidRPr="00A90D6B">
        <w:rPr>
          <w:b/>
          <w:bCs/>
        </w:rPr>
        <w:t>ostpone the discussion to the next meeting</w:t>
      </w:r>
    </w:p>
    <w:bookmarkEnd w:id="0"/>
    <w:bookmarkEnd w:id="1"/>
    <w:bookmarkEnd w:id="2"/>
    <w:bookmarkEnd w:id="3"/>
    <w:bookmarkEnd w:id="4"/>
    <w:bookmarkEnd w:id="5"/>
    <w:bookmarkEnd w:id="6"/>
    <w:p w14:paraId="7281D541" w14:textId="77777777" w:rsidR="00592444" w:rsidRDefault="00592444">
      <w:pPr>
        <w:pStyle w:val="FirstChange"/>
      </w:pPr>
    </w:p>
    <w:sectPr w:rsidR="00592444">
      <w:headerReference w:type="default" r:id="rId13"/>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B0FC5" w14:textId="77777777" w:rsidR="0039650F" w:rsidRDefault="00D8719E">
      <w:pPr>
        <w:spacing w:after="0" w:line="240" w:lineRule="auto"/>
      </w:pPr>
      <w:r>
        <w:separator/>
      </w:r>
    </w:p>
  </w:endnote>
  <w:endnote w:type="continuationSeparator" w:id="0">
    <w:p w14:paraId="757B67D3" w14:textId="77777777" w:rsidR="0039650F" w:rsidRDefault="00D87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3C969" w14:textId="77777777" w:rsidR="0039650F" w:rsidRDefault="00D8719E">
      <w:pPr>
        <w:spacing w:after="0" w:line="240" w:lineRule="auto"/>
      </w:pPr>
      <w:r>
        <w:separator/>
      </w:r>
    </w:p>
  </w:footnote>
  <w:footnote w:type="continuationSeparator" w:id="0">
    <w:p w14:paraId="2EC107ED" w14:textId="77777777" w:rsidR="0039650F" w:rsidRDefault="00D871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0648D" w14:textId="77777777" w:rsidR="00592444" w:rsidRDefault="00D871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2B73BC"/>
    <w:multiLevelType w:val="hybridMultilevel"/>
    <w:tmpl w:val="1BAE2D1C"/>
    <w:lvl w:ilvl="0" w:tplc="B042460E">
      <w:start w:val="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lvlText w:val="Proposal %1"/>
      <w:lvlJc w:val="left"/>
      <w:pPr>
        <w:tabs>
          <w:tab w:val="left" w:pos="2155"/>
        </w:tabs>
        <w:ind w:left="2155" w:hanging="1304"/>
      </w:pPr>
      <w:rPr>
        <w:rFonts w:hint="default"/>
      </w:rPr>
    </w:lvl>
    <w:lvl w:ilvl="1">
      <w:start w:val="1"/>
      <w:numFmt w:val="lowerLetter"/>
      <w:lvlText w:val="%2."/>
      <w:lvlJc w:val="left"/>
      <w:pPr>
        <w:tabs>
          <w:tab w:val="left" w:pos="3000"/>
        </w:tabs>
        <w:ind w:left="3000" w:hanging="360"/>
      </w:pPr>
    </w:lvl>
    <w:lvl w:ilvl="2">
      <w:start w:val="1"/>
      <w:numFmt w:val="lowerRoman"/>
      <w:lvlText w:val="%3."/>
      <w:lvlJc w:val="right"/>
      <w:pPr>
        <w:tabs>
          <w:tab w:val="left" w:pos="3720"/>
        </w:tabs>
        <w:ind w:left="3720" w:hanging="180"/>
      </w:pPr>
    </w:lvl>
    <w:lvl w:ilvl="3">
      <w:start w:val="1"/>
      <w:numFmt w:val="decimal"/>
      <w:lvlText w:val="%4."/>
      <w:lvlJc w:val="left"/>
      <w:pPr>
        <w:tabs>
          <w:tab w:val="left" w:pos="4440"/>
        </w:tabs>
        <w:ind w:left="4440" w:hanging="360"/>
      </w:pPr>
    </w:lvl>
    <w:lvl w:ilvl="4">
      <w:start w:val="1"/>
      <w:numFmt w:val="lowerLetter"/>
      <w:lvlText w:val="%5."/>
      <w:lvlJc w:val="left"/>
      <w:pPr>
        <w:tabs>
          <w:tab w:val="left" w:pos="5160"/>
        </w:tabs>
        <w:ind w:left="5160" w:hanging="360"/>
      </w:pPr>
    </w:lvl>
    <w:lvl w:ilvl="5">
      <w:start w:val="1"/>
      <w:numFmt w:val="lowerRoman"/>
      <w:lvlText w:val="%6."/>
      <w:lvlJc w:val="right"/>
      <w:pPr>
        <w:tabs>
          <w:tab w:val="left" w:pos="5880"/>
        </w:tabs>
        <w:ind w:left="5880" w:hanging="180"/>
      </w:pPr>
    </w:lvl>
    <w:lvl w:ilvl="6">
      <w:start w:val="1"/>
      <w:numFmt w:val="decimal"/>
      <w:lvlText w:val="%7."/>
      <w:lvlJc w:val="left"/>
      <w:pPr>
        <w:tabs>
          <w:tab w:val="left" w:pos="6600"/>
        </w:tabs>
        <w:ind w:left="6600" w:hanging="360"/>
      </w:pPr>
    </w:lvl>
    <w:lvl w:ilvl="7">
      <w:start w:val="1"/>
      <w:numFmt w:val="lowerLetter"/>
      <w:lvlText w:val="%8."/>
      <w:lvlJc w:val="left"/>
      <w:pPr>
        <w:tabs>
          <w:tab w:val="left" w:pos="7320"/>
        </w:tabs>
        <w:ind w:left="7320" w:hanging="360"/>
      </w:pPr>
    </w:lvl>
    <w:lvl w:ilvl="8">
      <w:start w:val="1"/>
      <w:numFmt w:val="lowerRoman"/>
      <w:lvlText w:val="%9."/>
      <w:lvlJc w:val="right"/>
      <w:pPr>
        <w:tabs>
          <w:tab w:val="left" w:pos="8040"/>
        </w:tabs>
        <w:ind w:left="804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0322407"/>
    <w:multiLevelType w:val="multilevel"/>
    <w:tmpl w:val="603224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0B268E"/>
    <w:multiLevelType w:val="multilevel"/>
    <w:tmpl w:val="740B268E"/>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112A4"/>
    <w:rsid w:val="00012E3A"/>
    <w:rsid w:val="00016508"/>
    <w:rsid w:val="00022E4A"/>
    <w:rsid w:val="00024DEA"/>
    <w:rsid w:val="000263C6"/>
    <w:rsid w:val="00031E66"/>
    <w:rsid w:val="00032E18"/>
    <w:rsid w:val="0003348E"/>
    <w:rsid w:val="00034FB0"/>
    <w:rsid w:val="00035FA5"/>
    <w:rsid w:val="0004086E"/>
    <w:rsid w:val="000428F1"/>
    <w:rsid w:val="00051AAE"/>
    <w:rsid w:val="00054DD3"/>
    <w:rsid w:val="000551AE"/>
    <w:rsid w:val="0005759F"/>
    <w:rsid w:val="000609E0"/>
    <w:rsid w:val="0006111B"/>
    <w:rsid w:val="000619B8"/>
    <w:rsid w:val="00065AF2"/>
    <w:rsid w:val="0006686C"/>
    <w:rsid w:val="000679A6"/>
    <w:rsid w:val="00067F5B"/>
    <w:rsid w:val="0007015A"/>
    <w:rsid w:val="000738DC"/>
    <w:rsid w:val="00076868"/>
    <w:rsid w:val="00077B6F"/>
    <w:rsid w:val="000815BE"/>
    <w:rsid w:val="00082039"/>
    <w:rsid w:val="000854DF"/>
    <w:rsid w:val="00086467"/>
    <w:rsid w:val="00090347"/>
    <w:rsid w:val="00091C95"/>
    <w:rsid w:val="00093FD3"/>
    <w:rsid w:val="000961CB"/>
    <w:rsid w:val="000A0017"/>
    <w:rsid w:val="000A1AF9"/>
    <w:rsid w:val="000A2A36"/>
    <w:rsid w:val="000A31B4"/>
    <w:rsid w:val="000A6394"/>
    <w:rsid w:val="000A78BD"/>
    <w:rsid w:val="000B07C2"/>
    <w:rsid w:val="000B1ABA"/>
    <w:rsid w:val="000B2879"/>
    <w:rsid w:val="000B2B08"/>
    <w:rsid w:val="000B7FED"/>
    <w:rsid w:val="000C038A"/>
    <w:rsid w:val="000C0CDB"/>
    <w:rsid w:val="000C1335"/>
    <w:rsid w:val="000C2D1C"/>
    <w:rsid w:val="000C6598"/>
    <w:rsid w:val="000D3AAC"/>
    <w:rsid w:val="000D5938"/>
    <w:rsid w:val="000D5C9F"/>
    <w:rsid w:val="000D61A5"/>
    <w:rsid w:val="000E19C5"/>
    <w:rsid w:val="000E39C5"/>
    <w:rsid w:val="000E5C94"/>
    <w:rsid w:val="000E6D9C"/>
    <w:rsid w:val="000E7012"/>
    <w:rsid w:val="000E71EC"/>
    <w:rsid w:val="000E7B97"/>
    <w:rsid w:val="000F635A"/>
    <w:rsid w:val="001004FA"/>
    <w:rsid w:val="00100639"/>
    <w:rsid w:val="00103F01"/>
    <w:rsid w:val="00107979"/>
    <w:rsid w:val="00124125"/>
    <w:rsid w:val="0012638F"/>
    <w:rsid w:val="00126F79"/>
    <w:rsid w:val="00127358"/>
    <w:rsid w:val="00133823"/>
    <w:rsid w:val="00133E99"/>
    <w:rsid w:val="00134558"/>
    <w:rsid w:val="001353F9"/>
    <w:rsid w:val="00135D55"/>
    <w:rsid w:val="00136AD2"/>
    <w:rsid w:val="00136DCF"/>
    <w:rsid w:val="00137B58"/>
    <w:rsid w:val="00137E54"/>
    <w:rsid w:val="00145D43"/>
    <w:rsid w:val="00146D94"/>
    <w:rsid w:val="00150674"/>
    <w:rsid w:val="0015541F"/>
    <w:rsid w:val="00161ECF"/>
    <w:rsid w:val="00170BCC"/>
    <w:rsid w:val="00170E9B"/>
    <w:rsid w:val="00173E15"/>
    <w:rsid w:val="0017510F"/>
    <w:rsid w:val="00177D1B"/>
    <w:rsid w:val="00181AD7"/>
    <w:rsid w:val="001821EF"/>
    <w:rsid w:val="00183333"/>
    <w:rsid w:val="00184495"/>
    <w:rsid w:val="00185A9F"/>
    <w:rsid w:val="00186791"/>
    <w:rsid w:val="00187976"/>
    <w:rsid w:val="00192C46"/>
    <w:rsid w:val="001956AD"/>
    <w:rsid w:val="001A07D8"/>
    <w:rsid w:val="001A08B3"/>
    <w:rsid w:val="001A22ED"/>
    <w:rsid w:val="001A464B"/>
    <w:rsid w:val="001A5033"/>
    <w:rsid w:val="001A5904"/>
    <w:rsid w:val="001A6A5E"/>
    <w:rsid w:val="001A7B60"/>
    <w:rsid w:val="001B00FE"/>
    <w:rsid w:val="001B1958"/>
    <w:rsid w:val="001B4E2C"/>
    <w:rsid w:val="001B52F0"/>
    <w:rsid w:val="001B789E"/>
    <w:rsid w:val="001B79D7"/>
    <w:rsid w:val="001B7A65"/>
    <w:rsid w:val="001C2400"/>
    <w:rsid w:val="001C4A48"/>
    <w:rsid w:val="001C55F0"/>
    <w:rsid w:val="001C606B"/>
    <w:rsid w:val="001D0968"/>
    <w:rsid w:val="001D1713"/>
    <w:rsid w:val="001D26DC"/>
    <w:rsid w:val="001D28FB"/>
    <w:rsid w:val="001D7749"/>
    <w:rsid w:val="001E2AC2"/>
    <w:rsid w:val="001E41F3"/>
    <w:rsid w:val="001E765E"/>
    <w:rsid w:val="001F14B2"/>
    <w:rsid w:val="001F7838"/>
    <w:rsid w:val="00200A1A"/>
    <w:rsid w:val="00200DA5"/>
    <w:rsid w:val="00203830"/>
    <w:rsid w:val="00206B85"/>
    <w:rsid w:val="00206E89"/>
    <w:rsid w:val="002107B3"/>
    <w:rsid w:val="00212B47"/>
    <w:rsid w:val="00212E04"/>
    <w:rsid w:val="00213D37"/>
    <w:rsid w:val="00214503"/>
    <w:rsid w:val="00217055"/>
    <w:rsid w:val="00222520"/>
    <w:rsid w:val="0022480F"/>
    <w:rsid w:val="00226A4A"/>
    <w:rsid w:val="002329EE"/>
    <w:rsid w:val="00234DA1"/>
    <w:rsid w:val="00235690"/>
    <w:rsid w:val="0023685A"/>
    <w:rsid w:val="00237731"/>
    <w:rsid w:val="002406F8"/>
    <w:rsid w:val="0024082F"/>
    <w:rsid w:val="00240DF7"/>
    <w:rsid w:val="002508E7"/>
    <w:rsid w:val="002535E8"/>
    <w:rsid w:val="00253F70"/>
    <w:rsid w:val="002579D9"/>
    <w:rsid w:val="002579E0"/>
    <w:rsid w:val="0026004D"/>
    <w:rsid w:val="002602F2"/>
    <w:rsid w:val="00260756"/>
    <w:rsid w:val="00262FCD"/>
    <w:rsid w:val="002640DD"/>
    <w:rsid w:val="002644F5"/>
    <w:rsid w:val="00265924"/>
    <w:rsid w:val="00265A74"/>
    <w:rsid w:val="002710D7"/>
    <w:rsid w:val="00271144"/>
    <w:rsid w:val="00271B06"/>
    <w:rsid w:val="00272113"/>
    <w:rsid w:val="00273DF1"/>
    <w:rsid w:val="00274CF7"/>
    <w:rsid w:val="00274F03"/>
    <w:rsid w:val="00275D12"/>
    <w:rsid w:val="00275FF1"/>
    <w:rsid w:val="0027636A"/>
    <w:rsid w:val="00280AEB"/>
    <w:rsid w:val="002816FB"/>
    <w:rsid w:val="00281CC2"/>
    <w:rsid w:val="00284296"/>
    <w:rsid w:val="00284FEB"/>
    <w:rsid w:val="002860C4"/>
    <w:rsid w:val="002863A2"/>
    <w:rsid w:val="002868C3"/>
    <w:rsid w:val="0028698A"/>
    <w:rsid w:val="002A0773"/>
    <w:rsid w:val="002A0805"/>
    <w:rsid w:val="002A14B8"/>
    <w:rsid w:val="002A7F38"/>
    <w:rsid w:val="002B0ED5"/>
    <w:rsid w:val="002B3393"/>
    <w:rsid w:val="002B3DB5"/>
    <w:rsid w:val="002B4A1B"/>
    <w:rsid w:val="002B4FCF"/>
    <w:rsid w:val="002B5741"/>
    <w:rsid w:val="002B6EE5"/>
    <w:rsid w:val="002C0F1D"/>
    <w:rsid w:val="002C153F"/>
    <w:rsid w:val="002C1B24"/>
    <w:rsid w:val="002C3037"/>
    <w:rsid w:val="002C7BAA"/>
    <w:rsid w:val="002D24F0"/>
    <w:rsid w:val="002D5A33"/>
    <w:rsid w:val="002E02D9"/>
    <w:rsid w:val="002E3690"/>
    <w:rsid w:val="002E539F"/>
    <w:rsid w:val="002E653E"/>
    <w:rsid w:val="002F3F8E"/>
    <w:rsid w:val="002F7034"/>
    <w:rsid w:val="0030169E"/>
    <w:rsid w:val="00301BFD"/>
    <w:rsid w:val="00305409"/>
    <w:rsid w:val="00305555"/>
    <w:rsid w:val="0030559F"/>
    <w:rsid w:val="003139B5"/>
    <w:rsid w:val="00313D55"/>
    <w:rsid w:val="00315C2D"/>
    <w:rsid w:val="00316951"/>
    <w:rsid w:val="00321582"/>
    <w:rsid w:val="003278CB"/>
    <w:rsid w:val="00331150"/>
    <w:rsid w:val="00333ADC"/>
    <w:rsid w:val="00334A61"/>
    <w:rsid w:val="003356AD"/>
    <w:rsid w:val="00335CC0"/>
    <w:rsid w:val="00337EA0"/>
    <w:rsid w:val="0034043A"/>
    <w:rsid w:val="00341E80"/>
    <w:rsid w:val="003446B0"/>
    <w:rsid w:val="00346D09"/>
    <w:rsid w:val="00347152"/>
    <w:rsid w:val="00352EEB"/>
    <w:rsid w:val="003579DB"/>
    <w:rsid w:val="003609EF"/>
    <w:rsid w:val="003610AF"/>
    <w:rsid w:val="00361C4B"/>
    <w:rsid w:val="00362116"/>
    <w:rsid w:val="0036231A"/>
    <w:rsid w:val="00365C8C"/>
    <w:rsid w:val="0036793C"/>
    <w:rsid w:val="00372224"/>
    <w:rsid w:val="00374DD4"/>
    <w:rsid w:val="00374F22"/>
    <w:rsid w:val="00376491"/>
    <w:rsid w:val="003774AA"/>
    <w:rsid w:val="00377CB0"/>
    <w:rsid w:val="00380332"/>
    <w:rsid w:val="00381EFD"/>
    <w:rsid w:val="003829CF"/>
    <w:rsid w:val="00382B16"/>
    <w:rsid w:val="00382D88"/>
    <w:rsid w:val="00385859"/>
    <w:rsid w:val="00385FED"/>
    <w:rsid w:val="003939F5"/>
    <w:rsid w:val="00394D18"/>
    <w:rsid w:val="0039650F"/>
    <w:rsid w:val="003973EE"/>
    <w:rsid w:val="003A0024"/>
    <w:rsid w:val="003A0276"/>
    <w:rsid w:val="003A184F"/>
    <w:rsid w:val="003A51CA"/>
    <w:rsid w:val="003A6D80"/>
    <w:rsid w:val="003A7390"/>
    <w:rsid w:val="003C0932"/>
    <w:rsid w:val="003C0DFA"/>
    <w:rsid w:val="003C1863"/>
    <w:rsid w:val="003C1B5D"/>
    <w:rsid w:val="003C27AC"/>
    <w:rsid w:val="003C4E77"/>
    <w:rsid w:val="003C6DD5"/>
    <w:rsid w:val="003C7A50"/>
    <w:rsid w:val="003D26F4"/>
    <w:rsid w:val="003D60AE"/>
    <w:rsid w:val="003D631C"/>
    <w:rsid w:val="003E1A36"/>
    <w:rsid w:val="003E294E"/>
    <w:rsid w:val="003F1C51"/>
    <w:rsid w:val="003F2278"/>
    <w:rsid w:val="003F2997"/>
    <w:rsid w:val="003F48BF"/>
    <w:rsid w:val="003F57B7"/>
    <w:rsid w:val="003F7A0F"/>
    <w:rsid w:val="003F7C0F"/>
    <w:rsid w:val="00400344"/>
    <w:rsid w:val="004005B9"/>
    <w:rsid w:val="00401872"/>
    <w:rsid w:val="004041DC"/>
    <w:rsid w:val="004047A1"/>
    <w:rsid w:val="0040618F"/>
    <w:rsid w:val="004063A3"/>
    <w:rsid w:val="00410371"/>
    <w:rsid w:val="00411932"/>
    <w:rsid w:val="00412D90"/>
    <w:rsid w:val="00413212"/>
    <w:rsid w:val="004148D3"/>
    <w:rsid w:val="0041727B"/>
    <w:rsid w:val="0041730C"/>
    <w:rsid w:val="00420022"/>
    <w:rsid w:val="00422336"/>
    <w:rsid w:val="004242F1"/>
    <w:rsid w:val="00427695"/>
    <w:rsid w:val="004319CC"/>
    <w:rsid w:val="00432439"/>
    <w:rsid w:val="0043524C"/>
    <w:rsid w:val="0043790F"/>
    <w:rsid w:val="00442790"/>
    <w:rsid w:val="0044391D"/>
    <w:rsid w:val="00444C0C"/>
    <w:rsid w:val="0044555E"/>
    <w:rsid w:val="004464F3"/>
    <w:rsid w:val="00452407"/>
    <w:rsid w:val="00460DA3"/>
    <w:rsid w:val="00462184"/>
    <w:rsid w:val="00474758"/>
    <w:rsid w:val="00475986"/>
    <w:rsid w:val="004818A5"/>
    <w:rsid w:val="004856BD"/>
    <w:rsid w:val="004873A9"/>
    <w:rsid w:val="0048791C"/>
    <w:rsid w:val="00491C17"/>
    <w:rsid w:val="00493E48"/>
    <w:rsid w:val="00494093"/>
    <w:rsid w:val="004950C0"/>
    <w:rsid w:val="00495B8B"/>
    <w:rsid w:val="00496174"/>
    <w:rsid w:val="004969D6"/>
    <w:rsid w:val="004A04C6"/>
    <w:rsid w:val="004A1F76"/>
    <w:rsid w:val="004A3028"/>
    <w:rsid w:val="004A350B"/>
    <w:rsid w:val="004A48EE"/>
    <w:rsid w:val="004B2BDF"/>
    <w:rsid w:val="004B3D7A"/>
    <w:rsid w:val="004B68BD"/>
    <w:rsid w:val="004B6E4F"/>
    <w:rsid w:val="004B6F83"/>
    <w:rsid w:val="004B700B"/>
    <w:rsid w:val="004B740C"/>
    <w:rsid w:val="004B75B7"/>
    <w:rsid w:val="004C4CBD"/>
    <w:rsid w:val="004C6C04"/>
    <w:rsid w:val="004C6FCF"/>
    <w:rsid w:val="004D02FC"/>
    <w:rsid w:val="004D0323"/>
    <w:rsid w:val="004D2DCD"/>
    <w:rsid w:val="004D4F9C"/>
    <w:rsid w:val="004E601B"/>
    <w:rsid w:val="004F0033"/>
    <w:rsid w:val="004F008B"/>
    <w:rsid w:val="004F03AC"/>
    <w:rsid w:val="004F3644"/>
    <w:rsid w:val="004F5409"/>
    <w:rsid w:val="004F7AB5"/>
    <w:rsid w:val="00500E23"/>
    <w:rsid w:val="00502E31"/>
    <w:rsid w:val="00503CBE"/>
    <w:rsid w:val="00507C0E"/>
    <w:rsid w:val="00510580"/>
    <w:rsid w:val="00513AA2"/>
    <w:rsid w:val="0051580D"/>
    <w:rsid w:val="00521615"/>
    <w:rsid w:val="005223B8"/>
    <w:rsid w:val="0052593F"/>
    <w:rsid w:val="00526BEA"/>
    <w:rsid w:val="00530D2D"/>
    <w:rsid w:val="00533598"/>
    <w:rsid w:val="00533C66"/>
    <w:rsid w:val="0053648F"/>
    <w:rsid w:val="005372DC"/>
    <w:rsid w:val="00541478"/>
    <w:rsid w:val="005450E1"/>
    <w:rsid w:val="00545161"/>
    <w:rsid w:val="005461DC"/>
    <w:rsid w:val="00547111"/>
    <w:rsid w:val="00547FF3"/>
    <w:rsid w:val="00550FBA"/>
    <w:rsid w:val="00557ACB"/>
    <w:rsid w:val="00563119"/>
    <w:rsid w:val="005665B3"/>
    <w:rsid w:val="00566719"/>
    <w:rsid w:val="005700E9"/>
    <w:rsid w:val="00571E92"/>
    <w:rsid w:val="00572D6E"/>
    <w:rsid w:val="005747CC"/>
    <w:rsid w:val="005833E9"/>
    <w:rsid w:val="00586F99"/>
    <w:rsid w:val="00591E89"/>
    <w:rsid w:val="00592444"/>
    <w:rsid w:val="00592D74"/>
    <w:rsid w:val="00594219"/>
    <w:rsid w:val="0059521D"/>
    <w:rsid w:val="005A0E2D"/>
    <w:rsid w:val="005A32F5"/>
    <w:rsid w:val="005B0D6F"/>
    <w:rsid w:val="005B2E53"/>
    <w:rsid w:val="005B793D"/>
    <w:rsid w:val="005B7E73"/>
    <w:rsid w:val="005C068F"/>
    <w:rsid w:val="005C0707"/>
    <w:rsid w:val="005C12C1"/>
    <w:rsid w:val="005C3B1C"/>
    <w:rsid w:val="005C5265"/>
    <w:rsid w:val="005C5EE5"/>
    <w:rsid w:val="005C72D9"/>
    <w:rsid w:val="005D04BD"/>
    <w:rsid w:val="005D5753"/>
    <w:rsid w:val="005D7731"/>
    <w:rsid w:val="005D7895"/>
    <w:rsid w:val="005E07ED"/>
    <w:rsid w:val="005E2C44"/>
    <w:rsid w:val="005E38B7"/>
    <w:rsid w:val="005E3C0B"/>
    <w:rsid w:val="005F417F"/>
    <w:rsid w:val="005F4CBC"/>
    <w:rsid w:val="006020DB"/>
    <w:rsid w:val="00606361"/>
    <w:rsid w:val="00606AB1"/>
    <w:rsid w:val="00606D45"/>
    <w:rsid w:val="00607EEE"/>
    <w:rsid w:val="00612227"/>
    <w:rsid w:val="0061328C"/>
    <w:rsid w:val="00616547"/>
    <w:rsid w:val="00621108"/>
    <w:rsid w:val="00621188"/>
    <w:rsid w:val="00623DAC"/>
    <w:rsid w:val="00624E25"/>
    <w:rsid w:val="006257ED"/>
    <w:rsid w:val="00633803"/>
    <w:rsid w:val="006414B6"/>
    <w:rsid w:val="006433F1"/>
    <w:rsid w:val="00646FC4"/>
    <w:rsid w:val="006504C2"/>
    <w:rsid w:val="00650956"/>
    <w:rsid w:val="00650DBB"/>
    <w:rsid w:val="00653620"/>
    <w:rsid w:val="00655B95"/>
    <w:rsid w:val="006563FD"/>
    <w:rsid w:val="00656DF1"/>
    <w:rsid w:val="00657FC4"/>
    <w:rsid w:val="00663490"/>
    <w:rsid w:val="00663587"/>
    <w:rsid w:val="00670424"/>
    <w:rsid w:val="00670EB3"/>
    <w:rsid w:val="00671835"/>
    <w:rsid w:val="006737BE"/>
    <w:rsid w:val="006774B8"/>
    <w:rsid w:val="00677988"/>
    <w:rsid w:val="00683C31"/>
    <w:rsid w:val="006852DD"/>
    <w:rsid w:val="00691A7D"/>
    <w:rsid w:val="00691F8B"/>
    <w:rsid w:val="00693E79"/>
    <w:rsid w:val="0069434C"/>
    <w:rsid w:val="00695808"/>
    <w:rsid w:val="006A0F3F"/>
    <w:rsid w:val="006A4721"/>
    <w:rsid w:val="006A7127"/>
    <w:rsid w:val="006B0DEE"/>
    <w:rsid w:val="006B1BB0"/>
    <w:rsid w:val="006B3389"/>
    <w:rsid w:val="006B3585"/>
    <w:rsid w:val="006B3FF7"/>
    <w:rsid w:val="006B46FB"/>
    <w:rsid w:val="006B58F2"/>
    <w:rsid w:val="006C0234"/>
    <w:rsid w:val="006C4581"/>
    <w:rsid w:val="006C648E"/>
    <w:rsid w:val="006C7007"/>
    <w:rsid w:val="006D09E1"/>
    <w:rsid w:val="006D0ECF"/>
    <w:rsid w:val="006D14CC"/>
    <w:rsid w:val="006D253A"/>
    <w:rsid w:val="006E21FB"/>
    <w:rsid w:val="006E2602"/>
    <w:rsid w:val="006E3208"/>
    <w:rsid w:val="006E52A2"/>
    <w:rsid w:val="006F4C71"/>
    <w:rsid w:val="006F5AD3"/>
    <w:rsid w:val="006F7587"/>
    <w:rsid w:val="00700AA8"/>
    <w:rsid w:val="00701BD6"/>
    <w:rsid w:val="00704367"/>
    <w:rsid w:val="00704839"/>
    <w:rsid w:val="00720F87"/>
    <w:rsid w:val="00727326"/>
    <w:rsid w:val="00730D6A"/>
    <w:rsid w:val="007314BE"/>
    <w:rsid w:val="00731BA7"/>
    <w:rsid w:val="0073205C"/>
    <w:rsid w:val="00733D8E"/>
    <w:rsid w:val="00735182"/>
    <w:rsid w:val="00741EA1"/>
    <w:rsid w:val="007447CA"/>
    <w:rsid w:val="00744A8D"/>
    <w:rsid w:val="00746DF6"/>
    <w:rsid w:val="00750510"/>
    <w:rsid w:val="00751B61"/>
    <w:rsid w:val="00754B52"/>
    <w:rsid w:val="00762AFA"/>
    <w:rsid w:val="007648E0"/>
    <w:rsid w:val="00765A66"/>
    <w:rsid w:val="007678ED"/>
    <w:rsid w:val="00767A3D"/>
    <w:rsid w:val="00767A3E"/>
    <w:rsid w:val="007709D2"/>
    <w:rsid w:val="0077167F"/>
    <w:rsid w:val="00777533"/>
    <w:rsid w:val="00777EB9"/>
    <w:rsid w:val="00781738"/>
    <w:rsid w:val="00781EF7"/>
    <w:rsid w:val="00792342"/>
    <w:rsid w:val="00794F45"/>
    <w:rsid w:val="007960B3"/>
    <w:rsid w:val="007977A8"/>
    <w:rsid w:val="007A717B"/>
    <w:rsid w:val="007B0066"/>
    <w:rsid w:val="007B1E80"/>
    <w:rsid w:val="007B2B24"/>
    <w:rsid w:val="007B5016"/>
    <w:rsid w:val="007B512A"/>
    <w:rsid w:val="007B550C"/>
    <w:rsid w:val="007C14E4"/>
    <w:rsid w:val="007C2097"/>
    <w:rsid w:val="007C32A1"/>
    <w:rsid w:val="007C665E"/>
    <w:rsid w:val="007D0C62"/>
    <w:rsid w:val="007D1AB5"/>
    <w:rsid w:val="007D3B84"/>
    <w:rsid w:val="007D43AA"/>
    <w:rsid w:val="007D4C5F"/>
    <w:rsid w:val="007D5A11"/>
    <w:rsid w:val="007D6A07"/>
    <w:rsid w:val="007E1A35"/>
    <w:rsid w:val="007E1D7A"/>
    <w:rsid w:val="007E1E9D"/>
    <w:rsid w:val="007E2A5B"/>
    <w:rsid w:val="007E4CD2"/>
    <w:rsid w:val="007E6948"/>
    <w:rsid w:val="007F2A66"/>
    <w:rsid w:val="007F7259"/>
    <w:rsid w:val="00800A45"/>
    <w:rsid w:val="00801CB6"/>
    <w:rsid w:val="00802430"/>
    <w:rsid w:val="00803146"/>
    <w:rsid w:val="00803488"/>
    <w:rsid w:val="008040A8"/>
    <w:rsid w:val="00804166"/>
    <w:rsid w:val="00805ACC"/>
    <w:rsid w:val="008130A2"/>
    <w:rsid w:val="00815AA7"/>
    <w:rsid w:val="00816979"/>
    <w:rsid w:val="00817046"/>
    <w:rsid w:val="008226A4"/>
    <w:rsid w:val="00825DBE"/>
    <w:rsid w:val="008279FA"/>
    <w:rsid w:val="00827E06"/>
    <w:rsid w:val="0083135F"/>
    <w:rsid w:val="0083275F"/>
    <w:rsid w:val="00832A69"/>
    <w:rsid w:val="00833641"/>
    <w:rsid w:val="00834371"/>
    <w:rsid w:val="00835B4F"/>
    <w:rsid w:val="008419C5"/>
    <w:rsid w:val="008475AB"/>
    <w:rsid w:val="00847F5F"/>
    <w:rsid w:val="00853986"/>
    <w:rsid w:val="008626E7"/>
    <w:rsid w:val="00863F7A"/>
    <w:rsid w:val="00864512"/>
    <w:rsid w:val="008654E0"/>
    <w:rsid w:val="008662AC"/>
    <w:rsid w:val="00866DF0"/>
    <w:rsid w:val="00867714"/>
    <w:rsid w:val="00870EE7"/>
    <w:rsid w:val="008714B4"/>
    <w:rsid w:val="00872BF3"/>
    <w:rsid w:val="00876896"/>
    <w:rsid w:val="00876E47"/>
    <w:rsid w:val="008777E7"/>
    <w:rsid w:val="00883B14"/>
    <w:rsid w:val="0088561F"/>
    <w:rsid w:val="008859E5"/>
    <w:rsid w:val="00885D6B"/>
    <w:rsid w:val="008863B9"/>
    <w:rsid w:val="00892E97"/>
    <w:rsid w:val="00894259"/>
    <w:rsid w:val="00895A9C"/>
    <w:rsid w:val="0089738C"/>
    <w:rsid w:val="008979AA"/>
    <w:rsid w:val="00897CEE"/>
    <w:rsid w:val="008A4520"/>
    <w:rsid w:val="008A45A6"/>
    <w:rsid w:val="008A4E25"/>
    <w:rsid w:val="008A6A8D"/>
    <w:rsid w:val="008B24DB"/>
    <w:rsid w:val="008B36FF"/>
    <w:rsid w:val="008B4059"/>
    <w:rsid w:val="008B68CF"/>
    <w:rsid w:val="008B7C71"/>
    <w:rsid w:val="008C3721"/>
    <w:rsid w:val="008D033C"/>
    <w:rsid w:val="008D12FE"/>
    <w:rsid w:val="008D2A3D"/>
    <w:rsid w:val="008D2F86"/>
    <w:rsid w:val="008D3DC5"/>
    <w:rsid w:val="008D5B00"/>
    <w:rsid w:val="008E001A"/>
    <w:rsid w:val="008E24FE"/>
    <w:rsid w:val="008E439B"/>
    <w:rsid w:val="008E53AC"/>
    <w:rsid w:val="008F0503"/>
    <w:rsid w:val="008F1A06"/>
    <w:rsid w:val="008F2CE5"/>
    <w:rsid w:val="008F4D24"/>
    <w:rsid w:val="008F4EC6"/>
    <w:rsid w:val="008F686C"/>
    <w:rsid w:val="008F6B74"/>
    <w:rsid w:val="008F776C"/>
    <w:rsid w:val="008F7B45"/>
    <w:rsid w:val="009008DA"/>
    <w:rsid w:val="00903E14"/>
    <w:rsid w:val="00904FDF"/>
    <w:rsid w:val="009118F8"/>
    <w:rsid w:val="00912575"/>
    <w:rsid w:val="00912B10"/>
    <w:rsid w:val="00913487"/>
    <w:rsid w:val="00913844"/>
    <w:rsid w:val="00913C75"/>
    <w:rsid w:val="009148DE"/>
    <w:rsid w:val="0092630A"/>
    <w:rsid w:val="00926668"/>
    <w:rsid w:val="009304A0"/>
    <w:rsid w:val="00931A67"/>
    <w:rsid w:val="009339E1"/>
    <w:rsid w:val="00934894"/>
    <w:rsid w:val="00937BB6"/>
    <w:rsid w:val="00937EA7"/>
    <w:rsid w:val="00937F2D"/>
    <w:rsid w:val="0094007D"/>
    <w:rsid w:val="00941E30"/>
    <w:rsid w:val="00945CC3"/>
    <w:rsid w:val="00946C7B"/>
    <w:rsid w:val="00950799"/>
    <w:rsid w:val="009517FE"/>
    <w:rsid w:val="00951F5B"/>
    <w:rsid w:val="0095344C"/>
    <w:rsid w:val="00953F18"/>
    <w:rsid w:val="009562D9"/>
    <w:rsid w:val="00960543"/>
    <w:rsid w:val="009612BA"/>
    <w:rsid w:val="00962B70"/>
    <w:rsid w:val="00964A92"/>
    <w:rsid w:val="0096688F"/>
    <w:rsid w:val="00974B53"/>
    <w:rsid w:val="00974BC5"/>
    <w:rsid w:val="00975336"/>
    <w:rsid w:val="009777D9"/>
    <w:rsid w:val="00991B88"/>
    <w:rsid w:val="00991DBF"/>
    <w:rsid w:val="009933B0"/>
    <w:rsid w:val="0099569A"/>
    <w:rsid w:val="00996350"/>
    <w:rsid w:val="009A0EE3"/>
    <w:rsid w:val="009A15BE"/>
    <w:rsid w:val="009A3602"/>
    <w:rsid w:val="009A3EBA"/>
    <w:rsid w:val="009A5593"/>
    <w:rsid w:val="009A5753"/>
    <w:rsid w:val="009A579D"/>
    <w:rsid w:val="009B747C"/>
    <w:rsid w:val="009C12DB"/>
    <w:rsid w:val="009C4586"/>
    <w:rsid w:val="009C77E0"/>
    <w:rsid w:val="009D0534"/>
    <w:rsid w:val="009D086F"/>
    <w:rsid w:val="009D45B4"/>
    <w:rsid w:val="009D68B6"/>
    <w:rsid w:val="009D756E"/>
    <w:rsid w:val="009D791A"/>
    <w:rsid w:val="009E15D9"/>
    <w:rsid w:val="009E22C9"/>
    <w:rsid w:val="009E3297"/>
    <w:rsid w:val="009E4537"/>
    <w:rsid w:val="009F3C79"/>
    <w:rsid w:val="009F411E"/>
    <w:rsid w:val="009F734F"/>
    <w:rsid w:val="009F7352"/>
    <w:rsid w:val="00A009F2"/>
    <w:rsid w:val="00A01D30"/>
    <w:rsid w:val="00A04AA8"/>
    <w:rsid w:val="00A05BAC"/>
    <w:rsid w:val="00A122C1"/>
    <w:rsid w:val="00A22334"/>
    <w:rsid w:val="00A22B4E"/>
    <w:rsid w:val="00A246B6"/>
    <w:rsid w:val="00A265CD"/>
    <w:rsid w:val="00A31C36"/>
    <w:rsid w:val="00A35D4B"/>
    <w:rsid w:val="00A363CB"/>
    <w:rsid w:val="00A37902"/>
    <w:rsid w:val="00A41056"/>
    <w:rsid w:val="00A47E70"/>
    <w:rsid w:val="00A50CF0"/>
    <w:rsid w:val="00A5191C"/>
    <w:rsid w:val="00A51931"/>
    <w:rsid w:val="00A53A2E"/>
    <w:rsid w:val="00A5448C"/>
    <w:rsid w:val="00A555DE"/>
    <w:rsid w:val="00A61FCF"/>
    <w:rsid w:val="00A62B18"/>
    <w:rsid w:val="00A62DB8"/>
    <w:rsid w:val="00A64167"/>
    <w:rsid w:val="00A64C88"/>
    <w:rsid w:val="00A66C89"/>
    <w:rsid w:val="00A70D87"/>
    <w:rsid w:val="00A7300B"/>
    <w:rsid w:val="00A73193"/>
    <w:rsid w:val="00A75268"/>
    <w:rsid w:val="00A7671C"/>
    <w:rsid w:val="00A8125B"/>
    <w:rsid w:val="00A8272B"/>
    <w:rsid w:val="00A8343E"/>
    <w:rsid w:val="00A83D00"/>
    <w:rsid w:val="00A873F1"/>
    <w:rsid w:val="00A90C75"/>
    <w:rsid w:val="00A90D6B"/>
    <w:rsid w:val="00A92D6D"/>
    <w:rsid w:val="00A935F2"/>
    <w:rsid w:val="00A937A0"/>
    <w:rsid w:val="00A938C2"/>
    <w:rsid w:val="00A95DDA"/>
    <w:rsid w:val="00AA2CBC"/>
    <w:rsid w:val="00AA3FC2"/>
    <w:rsid w:val="00AA4F47"/>
    <w:rsid w:val="00AA5286"/>
    <w:rsid w:val="00AA71AE"/>
    <w:rsid w:val="00AA75D6"/>
    <w:rsid w:val="00AB0783"/>
    <w:rsid w:val="00AB09E8"/>
    <w:rsid w:val="00AB2170"/>
    <w:rsid w:val="00AC2AA3"/>
    <w:rsid w:val="00AC5820"/>
    <w:rsid w:val="00AC61D4"/>
    <w:rsid w:val="00AC670A"/>
    <w:rsid w:val="00AC7908"/>
    <w:rsid w:val="00AD1CD8"/>
    <w:rsid w:val="00AD1D91"/>
    <w:rsid w:val="00AD24A8"/>
    <w:rsid w:val="00AE4805"/>
    <w:rsid w:val="00AE7BB1"/>
    <w:rsid w:val="00AF3F46"/>
    <w:rsid w:val="00AF5170"/>
    <w:rsid w:val="00AF6512"/>
    <w:rsid w:val="00B061D8"/>
    <w:rsid w:val="00B06A54"/>
    <w:rsid w:val="00B06E08"/>
    <w:rsid w:val="00B0771F"/>
    <w:rsid w:val="00B14663"/>
    <w:rsid w:val="00B16990"/>
    <w:rsid w:val="00B2309E"/>
    <w:rsid w:val="00B256ED"/>
    <w:rsid w:val="00B258BB"/>
    <w:rsid w:val="00B30039"/>
    <w:rsid w:val="00B30245"/>
    <w:rsid w:val="00B32B8A"/>
    <w:rsid w:val="00B34DD5"/>
    <w:rsid w:val="00B37B7A"/>
    <w:rsid w:val="00B4088D"/>
    <w:rsid w:val="00B428D6"/>
    <w:rsid w:val="00B4495C"/>
    <w:rsid w:val="00B45142"/>
    <w:rsid w:val="00B457DF"/>
    <w:rsid w:val="00B57073"/>
    <w:rsid w:val="00B62771"/>
    <w:rsid w:val="00B664F6"/>
    <w:rsid w:val="00B67B97"/>
    <w:rsid w:val="00B71F1A"/>
    <w:rsid w:val="00B7267B"/>
    <w:rsid w:val="00B754D2"/>
    <w:rsid w:val="00B818C0"/>
    <w:rsid w:val="00B8337D"/>
    <w:rsid w:val="00B85895"/>
    <w:rsid w:val="00B9011B"/>
    <w:rsid w:val="00B921F1"/>
    <w:rsid w:val="00B922E9"/>
    <w:rsid w:val="00B934B7"/>
    <w:rsid w:val="00B95C83"/>
    <w:rsid w:val="00B95DFF"/>
    <w:rsid w:val="00B968C8"/>
    <w:rsid w:val="00B97652"/>
    <w:rsid w:val="00BA0058"/>
    <w:rsid w:val="00BA02EC"/>
    <w:rsid w:val="00BA3EC5"/>
    <w:rsid w:val="00BA51D9"/>
    <w:rsid w:val="00BA5AC2"/>
    <w:rsid w:val="00BB13BA"/>
    <w:rsid w:val="00BB14D7"/>
    <w:rsid w:val="00BB16E9"/>
    <w:rsid w:val="00BB4CD2"/>
    <w:rsid w:val="00BB5DFC"/>
    <w:rsid w:val="00BB72DF"/>
    <w:rsid w:val="00BB7685"/>
    <w:rsid w:val="00BC14EC"/>
    <w:rsid w:val="00BC3CE1"/>
    <w:rsid w:val="00BC4C5D"/>
    <w:rsid w:val="00BC7311"/>
    <w:rsid w:val="00BD12D9"/>
    <w:rsid w:val="00BD1CF5"/>
    <w:rsid w:val="00BD279D"/>
    <w:rsid w:val="00BD3181"/>
    <w:rsid w:val="00BD378F"/>
    <w:rsid w:val="00BD39E6"/>
    <w:rsid w:val="00BD4661"/>
    <w:rsid w:val="00BD6BB8"/>
    <w:rsid w:val="00BE1DCA"/>
    <w:rsid w:val="00BE420C"/>
    <w:rsid w:val="00BE4741"/>
    <w:rsid w:val="00BE4DF6"/>
    <w:rsid w:val="00BE6DFA"/>
    <w:rsid w:val="00BF3C2B"/>
    <w:rsid w:val="00BF5834"/>
    <w:rsid w:val="00C0066D"/>
    <w:rsid w:val="00C01416"/>
    <w:rsid w:val="00C02DE5"/>
    <w:rsid w:val="00C06AA7"/>
    <w:rsid w:val="00C118D0"/>
    <w:rsid w:val="00C121C3"/>
    <w:rsid w:val="00C1306A"/>
    <w:rsid w:val="00C13DA1"/>
    <w:rsid w:val="00C17E0F"/>
    <w:rsid w:val="00C2109C"/>
    <w:rsid w:val="00C22240"/>
    <w:rsid w:val="00C26A7E"/>
    <w:rsid w:val="00C30031"/>
    <w:rsid w:val="00C37D61"/>
    <w:rsid w:val="00C40F8B"/>
    <w:rsid w:val="00C41537"/>
    <w:rsid w:val="00C435EB"/>
    <w:rsid w:val="00C44866"/>
    <w:rsid w:val="00C45959"/>
    <w:rsid w:val="00C46815"/>
    <w:rsid w:val="00C46C83"/>
    <w:rsid w:val="00C52D32"/>
    <w:rsid w:val="00C630D2"/>
    <w:rsid w:val="00C66BA2"/>
    <w:rsid w:val="00C715AD"/>
    <w:rsid w:val="00C71B05"/>
    <w:rsid w:val="00C772D9"/>
    <w:rsid w:val="00C77F0C"/>
    <w:rsid w:val="00C8674A"/>
    <w:rsid w:val="00C86EAA"/>
    <w:rsid w:val="00C95985"/>
    <w:rsid w:val="00C95ECC"/>
    <w:rsid w:val="00C96448"/>
    <w:rsid w:val="00C97B8B"/>
    <w:rsid w:val="00CA3A5F"/>
    <w:rsid w:val="00CB11E8"/>
    <w:rsid w:val="00CB1E21"/>
    <w:rsid w:val="00CB7323"/>
    <w:rsid w:val="00CB7F31"/>
    <w:rsid w:val="00CC237B"/>
    <w:rsid w:val="00CC5026"/>
    <w:rsid w:val="00CC68D0"/>
    <w:rsid w:val="00CD2C6B"/>
    <w:rsid w:val="00CD39AB"/>
    <w:rsid w:val="00CD69C7"/>
    <w:rsid w:val="00CE1532"/>
    <w:rsid w:val="00CF605F"/>
    <w:rsid w:val="00D027B8"/>
    <w:rsid w:val="00D03F9A"/>
    <w:rsid w:val="00D05EA5"/>
    <w:rsid w:val="00D06A0D"/>
    <w:rsid w:val="00D06D51"/>
    <w:rsid w:val="00D161F9"/>
    <w:rsid w:val="00D200FB"/>
    <w:rsid w:val="00D20260"/>
    <w:rsid w:val="00D20802"/>
    <w:rsid w:val="00D2253D"/>
    <w:rsid w:val="00D24991"/>
    <w:rsid w:val="00D24EF5"/>
    <w:rsid w:val="00D276F9"/>
    <w:rsid w:val="00D320E2"/>
    <w:rsid w:val="00D332E3"/>
    <w:rsid w:val="00D3385A"/>
    <w:rsid w:val="00D35413"/>
    <w:rsid w:val="00D36E3B"/>
    <w:rsid w:val="00D37B77"/>
    <w:rsid w:val="00D417FE"/>
    <w:rsid w:val="00D41A1C"/>
    <w:rsid w:val="00D45411"/>
    <w:rsid w:val="00D45C2B"/>
    <w:rsid w:val="00D50255"/>
    <w:rsid w:val="00D53D8F"/>
    <w:rsid w:val="00D548DF"/>
    <w:rsid w:val="00D54F1C"/>
    <w:rsid w:val="00D601F7"/>
    <w:rsid w:val="00D62D1A"/>
    <w:rsid w:val="00D64237"/>
    <w:rsid w:val="00D65F4C"/>
    <w:rsid w:val="00D66520"/>
    <w:rsid w:val="00D73CFF"/>
    <w:rsid w:val="00D83F86"/>
    <w:rsid w:val="00D84FDD"/>
    <w:rsid w:val="00D8719E"/>
    <w:rsid w:val="00D928C3"/>
    <w:rsid w:val="00D932E6"/>
    <w:rsid w:val="00D93D8D"/>
    <w:rsid w:val="00D956F6"/>
    <w:rsid w:val="00D96748"/>
    <w:rsid w:val="00D96AA6"/>
    <w:rsid w:val="00D970A5"/>
    <w:rsid w:val="00D97329"/>
    <w:rsid w:val="00DA21D8"/>
    <w:rsid w:val="00DA2A4A"/>
    <w:rsid w:val="00DA441B"/>
    <w:rsid w:val="00DA5D00"/>
    <w:rsid w:val="00DA5E4C"/>
    <w:rsid w:val="00DA5E81"/>
    <w:rsid w:val="00DA6957"/>
    <w:rsid w:val="00DA7AE5"/>
    <w:rsid w:val="00DC7455"/>
    <w:rsid w:val="00DD71F4"/>
    <w:rsid w:val="00DE1014"/>
    <w:rsid w:val="00DE34CF"/>
    <w:rsid w:val="00DE71F0"/>
    <w:rsid w:val="00DE7E22"/>
    <w:rsid w:val="00DF7D29"/>
    <w:rsid w:val="00E00BB6"/>
    <w:rsid w:val="00E00CC0"/>
    <w:rsid w:val="00E016D1"/>
    <w:rsid w:val="00E1001C"/>
    <w:rsid w:val="00E13B9B"/>
    <w:rsid w:val="00E13F3D"/>
    <w:rsid w:val="00E160DE"/>
    <w:rsid w:val="00E250C4"/>
    <w:rsid w:val="00E26B4F"/>
    <w:rsid w:val="00E26E57"/>
    <w:rsid w:val="00E3127F"/>
    <w:rsid w:val="00E318CA"/>
    <w:rsid w:val="00E34898"/>
    <w:rsid w:val="00E36B41"/>
    <w:rsid w:val="00E36FD6"/>
    <w:rsid w:val="00E40F99"/>
    <w:rsid w:val="00E41C56"/>
    <w:rsid w:val="00E43911"/>
    <w:rsid w:val="00E55D03"/>
    <w:rsid w:val="00E61663"/>
    <w:rsid w:val="00E61779"/>
    <w:rsid w:val="00E61D1D"/>
    <w:rsid w:val="00E65E5C"/>
    <w:rsid w:val="00E662A2"/>
    <w:rsid w:val="00E74B19"/>
    <w:rsid w:val="00E7712E"/>
    <w:rsid w:val="00E7780B"/>
    <w:rsid w:val="00E82764"/>
    <w:rsid w:val="00E851CC"/>
    <w:rsid w:val="00E862E2"/>
    <w:rsid w:val="00E9360C"/>
    <w:rsid w:val="00E96057"/>
    <w:rsid w:val="00E96516"/>
    <w:rsid w:val="00EB09B7"/>
    <w:rsid w:val="00EB16FD"/>
    <w:rsid w:val="00EB3E2A"/>
    <w:rsid w:val="00EB7C38"/>
    <w:rsid w:val="00EC075D"/>
    <w:rsid w:val="00EC18F2"/>
    <w:rsid w:val="00EC3A94"/>
    <w:rsid w:val="00EC7C20"/>
    <w:rsid w:val="00ED29E6"/>
    <w:rsid w:val="00ED3410"/>
    <w:rsid w:val="00ED47BA"/>
    <w:rsid w:val="00ED4D51"/>
    <w:rsid w:val="00ED5460"/>
    <w:rsid w:val="00ED6F73"/>
    <w:rsid w:val="00EE38E1"/>
    <w:rsid w:val="00EE4DB4"/>
    <w:rsid w:val="00EE62A8"/>
    <w:rsid w:val="00EE7D7C"/>
    <w:rsid w:val="00EF023B"/>
    <w:rsid w:val="00EF4B0E"/>
    <w:rsid w:val="00EF567A"/>
    <w:rsid w:val="00F00A41"/>
    <w:rsid w:val="00F02713"/>
    <w:rsid w:val="00F04E40"/>
    <w:rsid w:val="00F133F9"/>
    <w:rsid w:val="00F142C4"/>
    <w:rsid w:val="00F17896"/>
    <w:rsid w:val="00F20091"/>
    <w:rsid w:val="00F20C91"/>
    <w:rsid w:val="00F23C0C"/>
    <w:rsid w:val="00F2552E"/>
    <w:rsid w:val="00F25D98"/>
    <w:rsid w:val="00F279C0"/>
    <w:rsid w:val="00F300FB"/>
    <w:rsid w:val="00F303F7"/>
    <w:rsid w:val="00F33EAB"/>
    <w:rsid w:val="00F34EB1"/>
    <w:rsid w:val="00F35A9E"/>
    <w:rsid w:val="00F42DEC"/>
    <w:rsid w:val="00F47ABF"/>
    <w:rsid w:val="00F47BFD"/>
    <w:rsid w:val="00F54E9C"/>
    <w:rsid w:val="00F57061"/>
    <w:rsid w:val="00F636BD"/>
    <w:rsid w:val="00F63762"/>
    <w:rsid w:val="00F6568E"/>
    <w:rsid w:val="00F66B28"/>
    <w:rsid w:val="00F7290C"/>
    <w:rsid w:val="00F81B7C"/>
    <w:rsid w:val="00F8326E"/>
    <w:rsid w:val="00F84423"/>
    <w:rsid w:val="00F848A9"/>
    <w:rsid w:val="00F86532"/>
    <w:rsid w:val="00F9111C"/>
    <w:rsid w:val="00F963FD"/>
    <w:rsid w:val="00FA0933"/>
    <w:rsid w:val="00FA0E45"/>
    <w:rsid w:val="00FA0FCA"/>
    <w:rsid w:val="00FA29EB"/>
    <w:rsid w:val="00FA31C5"/>
    <w:rsid w:val="00FA3784"/>
    <w:rsid w:val="00FA3912"/>
    <w:rsid w:val="00FB5A56"/>
    <w:rsid w:val="00FB6386"/>
    <w:rsid w:val="00FC0C7E"/>
    <w:rsid w:val="00FC34F0"/>
    <w:rsid w:val="00FC40F2"/>
    <w:rsid w:val="00FC7390"/>
    <w:rsid w:val="00FD005A"/>
    <w:rsid w:val="00FD0750"/>
    <w:rsid w:val="00FD4602"/>
    <w:rsid w:val="00FE1E52"/>
    <w:rsid w:val="00FE2168"/>
    <w:rsid w:val="00FE26E3"/>
    <w:rsid w:val="00FE2DEE"/>
    <w:rsid w:val="00FE4E36"/>
    <w:rsid w:val="00FE7340"/>
    <w:rsid w:val="00FE7BDA"/>
    <w:rsid w:val="00FE7DBC"/>
    <w:rsid w:val="00FF7BB8"/>
    <w:rsid w:val="2B1D509C"/>
    <w:rsid w:val="60FB6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FAC3E"/>
  <w15:docId w15:val="{ECE97D01-A734-4382-A806-601B6DD7C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link w:val="DocumentMapChar"/>
    <w:pPr>
      <w:shd w:val="clear" w:color="auto" w:fill="000080"/>
    </w:pPr>
    <w:rPr>
      <w:rFonts w:ascii="Tahoma" w:hAnsi="Tahoma" w:cs="Tahoma"/>
    </w:rPr>
  </w:style>
  <w:style w:type="paragraph" w:styleId="BodyText">
    <w:name w:val="Body Text"/>
    <w:basedOn w:val="Normal"/>
    <w:link w:val="BodyTextChar"/>
    <w:unhideWhenUsed/>
    <w:qFormat/>
    <w:pPr>
      <w:spacing w:after="120"/>
    </w:p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qFormat/>
    <w:rPr>
      <w:b/>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qFormat/>
    <w:rPr>
      <w:b/>
      <w:position w:val="6"/>
      <w:sz w:val="16"/>
    </w:rPr>
  </w:style>
  <w:style w:type="table" w:styleId="TableGrid">
    <w:name w:val="Table Grid"/>
    <w:basedOn w:val="TableNormal"/>
    <w:uiPriority w:val="39"/>
    <w:rPr>
      <w:rFonts w:ascii="Calibri" w:eastAsia="Calibri" w:hAnsi="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rPr>
      <w:rFonts w:ascii="Arial" w:eastAsiaTheme="minorEastAsia" w:hAnsi="Arial"/>
      <w:sz w:val="24"/>
      <w:lang w:val="en-GB"/>
    </w:rPr>
  </w:style>
  <w:style w:type="character" w:customStyle="1" w:styleId="B1Char">
    <w:name w:val="B1 Char"/>
    <w:link w:val="B1"/>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paragraph" w:customStyle="1" w:styleId="Revision1">
    <w:name w:val="Revision1"/>
    <w:hidden/>
    <w:uiPriority w:val="99"/>
    <w:semiHidden/>
    <w:qFormat/>
    <w:rPr>
      <w:rFonts w:eastAsiaTheme="minorEastAsia"/>
      <w:lang w:val="en-GB"/>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FChar">
    <w:name w:val="TF Char"/>
    <w:rPr>
      <w:rFonts w:ascii="Arial" w:eastAsia="Times New Roman" w:hAnsi="Arial"/>
      <w:b/>
    </w:rPr>
  </w:style>
  <w:style w:type="paragraph" w:customStyle="1" w:styleId="NormalArial">
    <w:name w:val="Normal + Arial"/>
    <w:basedOn w:val="Normal"/>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Normal"/>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3Char">
    <w:name w:val="B3 Char"/>
    <w:link w:val="B3"/>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Normal"/>
    <w:pPr>
      <w:overflowPunct w:val="0"/>
      <w:autoSpaceDE w:val="0"/>
      <w:autoSpaceDN w:val="0"/>
      <w:adjustRightInd w:val="0"/>
      <w:textAlignment w:val="baseline"/>
    </w:pPr>
    <w:rPr>
      <w:i/>
      <w:color w:val="0000FF"/>
      <w:lang w:eastAsia="en-GB"/>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B1Char1">
    <w:name w:val="B1 Char1"/>
    <w:qFormat/>
    <w:rPr>
      <w:rFonts w:ascii="Times New Roman" w:hAnsi="Times New Roman"/>
      <w:lang w:eastAsia="en-US"/>
    </w:rPr>
  </w:style>
  <w:style w:type="character" w:customStyle="1" w:styleId="TALCar">
    <w:name w:val="TAL Car"/>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rPr>
      <w:rFonts w:ascii="Arial" w:hAnsi="Arial"/>
      <w:sz w:val="36"/>
      <w:lang w:val="en-GB" w:eastAsia="en-US"/>
    </w:rPr>
  </w:style>
  <w:style w:type="character" w:customStyle="1" w:styleId="B1Zchn">
    <w:name w:val="B1 Zchn"/>
    <w:rPr>
      <w:rFonts w:ascii="Times New Roman" w:eastAsia="Times New Roman" w:hAnsi="Times New Roman" w:cs="Times New Roman"/>
      <w:sz w:val="20"/>
      <w:szCs w:val="20"/>
    </w:rPr>
  </w:style>
  <w:style w:type="paragraph" w:customStyle="1" w:styleId="a">
    <w:name w:val="a"/>
    <w:basedOn w:val="CRCoverPage"/>
    <w:pPr>
      <w:tabs>
        <w:tab w:val="left" w:pos="1985"/>
      </w:tabs>
    </w:pPr>
    <w:rPr>
      <w:rFonts w:cs="Arial"/>
      <w:b/>
      <w:bCs/>
      <w:color w:val="000000"/>
      <w:sz w:val="24"/>
      <w:szCs w:val="24"/>
      <w:lang w:val="en-US"/>
    </w:rPr>
  </w:style>
  <w:style w:type="character" w:customStyle="1" w:styleId="BodyTextChar">
    <w:name w:val="Body Text Char"/>
    <w:basedOn w:val="DefaultParagraphFont"/>
    <w:link w:val="BodyText"/>
    <w:rPr>
      <w:rFonts w:ascii="Times New Roman" w:hAnsi="Times New Roman"/>
      <w:lang w:val="en-GB" w:eastAsia="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rPr>
      <w:rFonts w:ascii="Arial" w:hAnsi="Arial"/>
      <w:b/>
      <w:lang w:val="en-GB" w:eastAsia="en-GB"/>
    </w:rPr>
  </w:style>
  <w:style w:type="paragraph" w:customStyle="1" w:styleId="Discussion">
    <w:name w:val="Discussion"/>
    <w:basedOn w:val="Normal"/>
    <w:qFormat/>
    <w:pPr>
      <w:spacing w:after="160"/>
    </w:pPr>
    <w:rPr>
      <w:rFonts w:ascii="Arial" w:eastAsia="Calibri" w:hAnsi="Arial" w:cs="Arial"/>
      <w:sz w:val="22"/>
      <w:szCs w:val="22"/>
      <w:lang w:val="sv-SE"/>
    </w:rPr>
  </w:style>
  <w:style w:type="paragraph" w:customStyle="1" w:styleId="Reference">
    <w:name w:val="Reference"/>
    <w:basedOn w:val="BodyText"/>
    <w:pPr>
      <w:numPr>
        <w:numId w:val="1"/>
      </w:numPr>
      <w:jc w:val="both"/>
    </w:pPr>
    <w:rPr>
      <w:rFonts w:ascii="Arial" w:eastAsia="Calibri" w:hAnsi="Arial"/>
      <w:sz w:val="22"/>
      <w:szCs w:val="22"/>
      <w:lang w:val="sv-SE" w:eastAsia="zh-CN"/>
    </w:rPr>
  </w:style>
  <w:style w:type="paragraph" w:styleId="ListParagraph">
    <w:name w:val="List Paragraph"/>
    <w:basedOn w:val="Normal"/>
    <w:link w:val="ListParagraphChar"/>
    <w:uiPriority w:val="34"/>
    <w:qFormat/>
    <w:pPr>
      <w:spacing w:after="160"/>
      <w:ind w:left="720"/>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Proposal">
    <w:name w:val="Proposal"/>
    <w:basedOn w:val="BodyText"/>
    <w:pPr>
      <w:tabs>
        <w:tab w:val="left" w:pos="1701"/>
        <w:tab w:val="left" w:pos="2155"/>
      </w:tabs>
      <w:ind w:left="2155" w:hanging="1304"/>
      <w:jc w:val="both"/>
    </w:pPr>
    <w:rPr>
      <w:rFonts w:ascii="Arial" w:eastAsia="Calibri" w:hAnsi="Arial"/>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617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02B8-B1E7-455C-B161-55685F0FCAA7}">
  <ds:schemaRefs/>
</ds:datastoreItem>
</file>

<file path=customXml/itemProps2.xml><?xml version="1.0" encoding="utf-8"?>
<ds:datastoreItem xmlns:ds="http://schemas.openxmlformats.org/officeDocument/2006/customXml" ds:itemID="{86E96218-5DEE-4CA0-A1DF-0C12764B5AB6}">
  <ds:schemaRefs/>
</ds:datastoreItem>
</file>

<file path=customXml/itemProps3.xml><?xml version="1.0" encoding="utf-8"?>
<ds:datastoreItem xmlns:ds="http://schemas.openxmlformats.org/officeDocument/2006/customXml" ds:itemID="{4E6EFE85-4798-4648-A009-2A2BF0A5B86F}">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6C71EA-13B8-4E66-8C11-51C414C35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Ericsson User</cp:lastModifiedBy>
  <cp:revision>2</cp:revision>
  <cp:lastPrinted>1900-12-31T16:00:00Z</cp:lastPrinted>
  <dcterms:created xsi:type="dcterms:W3CDTF">2020-02-28T00:04:00Z</dcterms:created>
  <dcterms:modified xsi:type="dcterms:W3CDTF">2020-02-28T00:04:00Z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E:\3GPP meeting\RAN3\107\inbox\CB # 32_Email032-MDT_inactiveUEs\DraftR3-2001135_Email032-MDT_inactiveUEs_V00_CMCC_hw.docx</vt:lpwstr>
  </property>
  <property fmtid="{D5CDD505-2E9C-101B-9397-08002B2CF9AE}" pid="23" name="KSOProductBuildVer">
    <vt:lpwstr>2052-10.8.2.7027</vt:lpwstr>
  </property>
</Properties>
</file>