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5656B55B" w:rsidR="00CD4C7B" w:rsidRPr="00B266B0" w:rsidRDefault="003A41EF" w:rsidP="00CD4C7B">
      <w:pPr>
        <w:pStyle w:val="Header"/>
        <w:tabs>
          <w:tab w:val="right" w:pos="9639"/>
        </w:tabs>
        <w:rPr>
          <w:bCs/>
          <w:i/>
          <w:noProof w:val="0"/>
          <w:sz w:val="24"/>
          <w:szCs w:val="24"/>
        </w:rPr>
      </w:pPr>
      <w:r w:rsidRPr="008D5CC1">
        <w:rPr>
          <w:bCs/>
          <w:noProof w:val="0"/>
          <w:sz w:val="24"/>
          <w:szCs w:val="24"/>
        </w:rPr>
        <w:t>3GPP TSG-RAN WG</w:t>
      </w:r>
      <w:r w:rsidR="002D431F" w:rsidRPr="008D5CC1">
        <w:rPr>
          <w:bCs/>
          <w:noProof w:val="0"/>
          <w:sz w:val="24"/>
          <w:szCs w:val="24"/>
        </w:rPr>
        <w:t>3</w:t>
      </w:r>
      <w:r w:rsidRPr="008D5CC1">
        <w:rPr>
          <w:bCs/>
          <w:noProof w:val="0"/>
          <w:sz w:val="24"/>
          <w:szCs w:val="24"/>
        </w:rPr>
        <w:t xml:space="preserve"> Meeting </w:t>
      </w:r>
      <w:r w:rsidR="00F941DF" w:rsidRPr="008D5CC1">
        <w:rPr>
          <w:bCs/>
          <w:noProof w:val="0"/>
          <w:sz w:val="24"/>
          <w:szCs w:val="24"/>
        </w:rPr>
        <w:t>#</w:t>
      </w:r>
      <w:r w:rsidR="007C2DD0" w:rsidRPr="008D5CC1">
        <w:rPr>
          <w:bCs/>
          <w:noProof w:val="0"/>
          <w:sz w:val="24"/>
          <w:szCs w:val="24"/>
        </w:rPr>
        <w:t>10</w:t>
      </w:r>
      <w:r w:rsidR="00483B67">
        <w:rPr>
          <w:bCs/>
          <w:noProof w:val="0"/>
          <w:sz w:val="24"/>
          <w:szCs w:val="24"/>
        </w:rPr>
        <w:t>6</w:t>
      </w:r>
      <w:r w:rsidR="00CD4C7B" w:rsidRPr="008D5CC1">
        <w:rPr>
          <w:bCs/>
          <w:noProof w:val="0"/>
          <w:sz w:val="24"/>
          <w:szCs w:val="24"/>
        </w:rPr>
        <w:tab/>
      </w:r>
      <w:r w:rsidR="00CD4C7B" w:rsidRPr="008D5CC1">
        <w:rPr>
          <w:rFonts w:hint="eastAsia"/>
          <w:bCs/>
          <w:noProof w:val="0"/>
          <w:sz w:val="24"/>
          <w:szCs w:val="24"/>
        </w:rPr>
        <w:t>R</w:t>
      </w:r>
      <w:r w:rsidR="00A92F24" w:rsidRPr="008D5CC1">
        <w:rPr>
          <w:bCs/>
          <w:noProof w:val="0"/>
          <w:sz w:val="24"/>
          <w:szCs w:val="24"/>
        </w:rPr>
        <w:t>3</w:t>
      </w:r>
      <w:r w:rsidR="00CD4C7B" w:rsidRPr="008D5CC1">
        <w:rPr>
          <w:rFonts w:hint="eastAsia"/>
          <w:bCs/>
          <w:noProof w:val="0"/>
          <w:sz w:val="24"/>
          <w:szCs w:val="24"/>
        </w:rPr>
        <w:t>-</w:t>
      </w:r>
      <w:r w:rsidR="00DF23D0" w:rsidRPr="001B2CEF">
        <w:rPr>
          <w:bCs/>
          <w:noProof w:val="0"/>
          <w:sz w:val="24"/>
          <w:szCs w:val="24"/>
        </w:rPr>
        <w:t>19</w:t>
      </w:r>
      <w:r w:rsidR="00DF23D0">
        <w:rPr>
          <w:bCs/>
          <w:noProof w:val="0"/>
          <w:sz w:val="24"/>
          <w:szCs w:val="24"/>
        </w:rPr>
        <w:t>6839</w:t>
      </w:r>
    </w:p>
    <w:p w14:paraId="231362B2" w14:textId="66ED6052" w:rsidR="00CD4C7B" w:rsidRPr="00465587" w:rsidRDefault="0009282C" w:rsidP="00CD4C7B">
      <w:pPr>
        <w:pStyle w:val="Header"/>
        <w:tabs>
          <w:tab w:val="right" w:pos="9639"/>
        </w:tabs>
        <w:rPr>
          <w:rFonts w:eastAsia="SimSun"/>
          <w:bCs/>
          <w:sz w:val="24"/>
          <w:szCs w:val="24"/>
          <w:lang w:eastAsia="zh-CN"/>
        </w:rPr>
      </w:pPr>
      <w:r>
        <w:rPr>
          <w:rFonts w:eastAsia="SimSun"/>
          <w:noProof w:val="0"/>
          <w:sz w:val="24"/>
          <w:szCs w:val="24"/>
          <w:lang w:val="en-US" w:eastAsia="zh-CN"/>
        </w:rPr>
        <w:t>Reno</w:t>
      </w:r>
      <w:r w:rsidR="000D7FC7" w:rsidRPr="00AD4BCF">
        <w:rPr>
          <w:rFonts w:eastAsia="SimSun"/>
          <w:noProof w:val="0"/>
          <w:sz w:val="24"/>
          <w:szCs w:val="24"/>
          <w:lang w:val="en-US" w:eastAsia="zh-CN"/>
        </w:rPr>
        <w:t xml:space="preserve">, </w:t>
      </w:r>
      <w:r>
        <w:rPr>
          <w:rFonts w:eastAsia="SimSun"/>
          <w:noProof w:val="0"/>
          <w:sz w:val="24"/>
          <w:szCs w:val="24"/>
          <w:lang w:val="en-US" w:eastAsia="zh-CN"/>
        </w:rPr>
        <w:t>US</w:t>
      </w:r>
      <w:r w:rsidR="000D7FC7" w:rsidRPr="00AD4BCF">
        <w:rPr>
          <w:rFonts w:eastAsia="SimSun"/>
          <w:noProof w:val="0"/>
          <w:sz w:val="24"/>
          <w:szCs w:val="24"/>
          <w:lang w:val="en-US" w:eastAsia="zh-CN"/>
        </w:rPr>
        <w:t xml:space="preserve">, </w:t>
      </w:r>
      <w:r w:rsidR="00483B67">
        <w:rPr>
          <w:rFonts w:eastAsia="SimSun"/>
          <w:noProof w:val="0"/>
          <w:sz w:val="24"/>
          <w:szCs w:val="24"/>
          <w:lang w:val="en-US" w:eastAsia="zh-CN"/>
        </w:rPr>
        <w:t>18</w:t>
      </w:r>
      <w:r w:rsidR="000D7FC7">
        <w:rPr>
          <w:rFonts w:eastAsia="SimSun"/>
          <w:noProof w:val="0"/>
          <w:sz w:val="24"/>
          <w:szCs w:val="24"/>
          <w:lang w:val="en-US" w:eastAsia="zh-CN"/>
        </w:rPr>
        <w:t xml:space="preserve"> – </w:t>
      </w:r>
      <w:r w:rsidR="00483B67">
        <w:rPr>
          <w:rFonts w:eastAsia="SimSun"/>
          <w:noProof w:val="0"/>
          <w:sz w:val="24"/>
          <w:szCs w:val="24"/>
          <w:lang w:val="en-US" w:eastAsia="zh-CN"/>
        </w:rPr>
        <w:t>22</w:t>
      </w:r>
      <w:r w:rsidR="000D7FC7" w:rsidRPr="00AD4BCF">
        <w:rPr>
          <w:rFonts w:eastAsia="SimSun"/>
          <w:noProof w:val="0"/>
          <w:sz w:val="24"/>
          <w:szCs w:val="24"/>
          <w:lang w:val="en-US" w:eastAsia="zh-CN"/>
        </w:rPr>
        <w:t xml:space="preserve"> </w:t>
      </w:r>
      <w:proofErr w:type="gramStart"/>
      <w:r w:rsidR="00483B67">
        <w:rPr>
          <w:rFonts w:eastAsia="SimSun"/>
          <w:noProof w:val="0"/>
          <w:sz w:val="24"/>
          <w:szCs w:val="24"/>
          <w:lang w:val="en-US" w:eastAsia="zh-CN"/>
        </w:rPr>
        <w:t>November</w:t>
      </w:r>
      <w:r w:rsidR="000D7FC7">
        <w:rPr>
          <w:rFonts w:eastAsia="SimSun"/>
          <w:noProof w:val="0"/>
          <w:sz w:val="24"/>
          <w:szCs w:val="24"/>
          <w:lang w:val="en-US" w:eastAsia="zh-CN"/>
        </w:rPr>
        <w:t>,</w:t>
      </w:r>
      <w:proofErr w:type="gramEnd"/>
      <w:r w:rsidR="000D7FC7" w:rsidRPr="00465587">
        <w:rPr>
          <w:rFonts w:eastAsia="SimSun"/>
          <w:bCs/>
          <w:sz w:val="24"/>
          <w:szCs w:val="24"/>
          <w:lang w:eastAsia="zh-CN"/>
        </w:rPr>
        <w:t xml:space="preserve"> </w:t>
      </w:r>
      <w:r w:rsidR="00465587" w:rsidRPr="00465587">
        <w:rPr>
          <w:rFonts w:eastAsia="SimSun"/>
          <w:bCs/>
          <w:sz w:val="24"/>
          <w:szCs w:val="24"/>
          <w:lang w:eastAsia="zh-CN"/>
        </w:rPr>
        <w:t>2019</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363BD485" w:rsidR="00CD4C7B" w:rsidRPr="00B266B0" w:rsidRDefault="00CD4C7B" w:rsidP="00CD4C7B">
      <w:pPr>
        <w:pStyle w:val="CRCoverPage"/>
        <w:tabs>
          <w:tab w:val="left" w:pos="1985"/>
        </w:tabs>
        <w:rPr>
          <w:rFonts w:cs="Arial"/>
          <w:b/>
          <w:bCs/>
          <w:sz w:val="24"/>
          <w:lang w:eastAsia="ja-JP"/>
        </w:rPr>
      </w:pPr>
      <w:r w:rsidRPr="008D5CC1">
        <w:rPr>
          <w:rFonts w:cs="Arial"/>
          <w:b/>
          <w:bCs/>
          <w:sz w:val="24"/>
        </w:rPr>
        <w:t>Agenda item:</w:t>
      </w:r>
      <w:r w:rsidRPr="008D5CC1">
        <w:rPr>
          <w:rFonts w:cs="Arial"/>
          <w:b/>
          <w:bCs/>
          <w:sz w:val="24"/>
        </w:rPr>
        <w:tab/>
      </w:r>
      <w:r w:rsidR="00483B67">
        <w:rPr>
          <w:rFonts w:cs="Arial"/>
          <w:b/>
          <w:bCs/>
          <w:sz w:val="24"/>
        </w:rPr>
        <w:t>10.2.1.3</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7B0C909D"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83B67">
        <w:rPr>
          <w:rFonts w:ascii="Arial" w:hAnsi="Arial" w:cs="Arial"/>
          <w:b/>
          <w:bCs/>
          <w:sz w:val="24"/>
        </w:rPr>
        <w:t xml:space="preserve">MRO for </w:t>
      </w:r>
      <w:r w:rsidR="0009282C" w:rsidRPr="0009282C">
        <w:rPr>
          <w:rFonts w:ascii="Arial" w:hAnsi="Arial" w:cs="Arial"/>
          <w:b/>
          <w:bCs/>
          <w:sz w:val="24"/>
        </w:rPr>
        <w:t xml:space="preserve">SN change </w:t>
      </w:r>
      <w:r w:rsidR="00947B32">
        <w:rPr>
          <w:rFonts w:ascii="Arial" w:hAnsi="Arial" w:cs="Arial"/>
          <w:b/>
          <w:bCs/>
          <w:sz w:val="24"/>
        </w:rPr>
        <w:t>f</w:t>
      </w:r>
      <w:r w:rsidR="0009282C" w:rsidRPr="0009282C">
        <w:rPr>
          <w:rFonts w:ascii="Arial" w:hAnsi="Arial" w:cs="Arial"/>
          <w:b/>
          <w:bCs/>
          <w:sz w:val="24"/>
        </w:rPr>
        <w:t>ailure</w:t>
      </w:r>
      <w:r w:rsidR="00483B67">
        <w:rPr>
          <w:rFonts w:ascii="Arial" w:hAnsi="Arial" w:cs="Arial"/>
          <w:b/>
          <w:bCs/>
          <w:sz w:val="24"/>
        </w:rPr>
        <w:t xml:space="preserve"> </w:t>
      </w:r>
    </w:p>
    <w:p w14:paraId="7DF86DB4" w14:textId="2CFAA365" w:rsidR="00CD4C7B" w:rsidRPr="001B2CEF" w:rsidRDefault="00CD4C7B" w:rsidP="00CD4C7B">
      <w:pPr>
        <w:tabs>
          <w:tab w:val="left" w:pos="1985"/>
        </w:tabs>
        <w:rPr>
          <w:rFonts w:ascii="Arial" w:hAnsi="Arial" w:cs="Arial"/>
          <w:b/>
          <w:bCs/>
          <w:sz w:val="24"/>
          <w:lang w:val="en-US"/>
        </w:rPr>
      </w:pPr>
      <w:r w:rsidRPr="001B2CEF">
        <w:rPr>
          <w:rFonts w:ascii="Arial" w:hAnsi="Arial" w:cs="Arial"/>
          <w:b/>
          <w:bCs/>
          <w:sz w:val="24"/>
          <w:lang w:val="en-US"/>
        </w:rPr>
        <w:t>Document for:</w:t>
      </w:r>
      <w:r w:rsidRPr="001B2CEF">
        <w:rPr>
          <w:rFonts w:ascii="Arial" w:hAnsi="Arial" w:cs="Arial"/>
          <w:b/>
          <w:bCs/>
          <w:sz w:val="24"/>
          <w:lang w:val="en-US"/>
        </w:rPr>
        <w:tab/>
      </w:r>
      <w:r w:rsidR="001B2CEF">
        <w:rPr>
          <w:rFonts w:ascii="Arial" w:hAnsi="Arial" w:cs="Arial"/>
          <w:b/>
          <w:bCs/>
          <w:sz w:val="24"/>
          <w:lang w:val="en-US"/>
        </w:rPr>
        <w:t>Discussion and Decision</w:t>
      </w:r>
    </w:p>
    <w:p w14:paraId="3E959691" w14:textId="77777777" w:rsidR="00CD4C7B" w:rsidRPr="001B2CEF" w:rsidRDefault="00CD4C7B" w:rsidP="00CD4C7B">
      <w:pPr>
        <w:pStyle w:val="Heading1"/>
        <w:rPr>
          <w:lang w:val="en-US"/>
        </w:rPr>
      </w:pPr>
      <w:r w:rsidRPr="001B2CEF">
        <w:rPr>
          <w:lang w:val="en-US"/>
        </w:rPr>
        <w:t>1</w:t>
      </w:r>
      <w:r w:rsidRPr="001B2CEF">
        <w:rPr>
          <w:lang w:val="en-US"/>
        </w:rPr>
        <w:tab/>
      </w:r>
      <w:r w:rsidR="0056573F" w:rsidRPr="001B2CEF">
        <w:rPr>
          <w:lang w:val="en-US"/>
        </w:rPr>
        <w:t>Introduction</w:t>
      </w:r>
    </w:p>
    <w:p w14:paraId="554B24BC" w14:textId="04142CD8" w:rsidR="00FB3F65" w:rsidRDefault="001B2CEF" w:rsidP="009B0817">
      <w:r>
        <w:t>T</w:t>
      </w:r>
      <w:r w:rsidR="008705DD">
        <w:t>his contribution</w:t>
      </w:r>
      <w:r w:rsidR="003159B1">
        <w:t xml:space="preserve"> discusses</w:t>
      </w:r>
      <w:r w:rsidR="009B0817">
        <w:t xml:space="preserve"> </w:t>
      </w:r>
      <w:r w:rsidR="00483B67">
        <w:t>Mobility Robustness Optimisation for the SN change failure.</w:t>
      </w:r>
      <w:r w:rsidR="003159B1">
        <w:t xml:space="preserve"> </w:t>
      </w:r>
    </w:p>
    <w:p w14:paraId="127ACA6D" w14:textId="334F5CE8" w:rsidR="00CD4C7B" w:rsidRDefault="00CD4C7B" w:rsidP="00CD4C7B">
      <w:pPr>
        <w:pStyle w:val="Heading1"/>
      </w:pPr>
      <w:r w:rsidRPr="006E13D1">
        <w:t>2</w:t>
      </w:r>
      <w:r w:rsidRPr="006E13D1">
        <w:tab/>
      </w:r>
      <w:r w:rsidR="0087075F">
        <w:t>Discussion</w:t>
      </w:r>
    </w:p>
    <w:p w14:paraId="251BC565" w14:textId="2D771C92" w:rsidR="00A7150A" w:rsidRDefault="00BD1457" w:rsidP="00B42613">
      <w:pPr>
        <w:rPr>
          <w:color w:val="000000"/>
        </w:rPr>
      </w:pPr>
      <w:r>
        <w:t xml:space="preserve">In </w:t>
      </w:r>
      <w:r w:rsidR="001B4B2B">
        <w:t xml:space="preserve">TR 37.816 </w:t>
      </w:r>
      <w:r>
        <w:t xml:space="preserve">[1] </w:t>
      </w:r>
      <w:r w:rsidR="00D836DA">
        <w:t>it is state</w:t>
      </w:r>
      <w:r w:rsidR="007B03AA">
        <w:t>d</w:t>
      </w:r>
      <w:r w:rsidR="00D836DA">
        <w:t xml:space="preserve"> </w:t>
      </w:r>
      <w:r w:rsidR="00D836DA" w:rsidRPr="00F51E69">
        <w:rPr>
          <w:color w:val="000000"/>
        </w:rPr>
        <w:t>the RLF Indication and HO Report procedures can be reused</w:t>
      </w:r>
      <w:r w:rsidR="00E06308">
        <w:rPr>
          <w:color w:val="000000"/>
        </w:rPr>
        <w:t xml:space="preserve"> for MRO of the SN change failure. T</w:t>
      </w:r>
      <w:r w:rsidR="00D836DA" w:rsidRPr="00F51E69">
        <w:rPr>
          <w:rFonts w:hint="eastAsia"/>
          <w:color w:val="000000"/>
        </w:rPr>
        <w:t xml:space="preserve">he corresponding messages may be </w:t>
      </w:r>
      <w:r w:rsidR="00D836DA" w:rsidRPr="00F51E69">
        <w:rPr>
          <w:color w:val="000000"/>
        </w:rPr>
        <w:t>signalled</w:t>
      </w:r>
      <w:r w:rsidR="00D836DA" w:rsidRPr="00F51E69">
        <w:rPr>
          <w:rFonts w:hint="eastAsia"/>
          <w:color w:val="000000"/>
        </w:rPr>
        <w:t xml:space="preserve"> between the MN and SN, and/or among the involved SNs</w:t>
      </w:r>
      <w:r w:rsidR="00D836DA" w:rsidRPr="00F51E69">
        <w:rPr>
          <w:color w:val="000000"/>
        </w:rPr>
        <w:t>.</w:t>
      </w:r>
    </w:p>
    <w:p w14:paraId="79BFD837" w14:textId="0356A557" w:rsidR="008B0452" w:rsidRDefault="00B22D19" w:rsidP="00B42613">
      <w:pPr>
        <w:rPr>
          <w:color w:val="000000"/>
        </w:rPr>
      </w:pPr>
      <w:r>
        <w:rPr>
          <w:color w:val="000000"/>
        </w:rPr>
        <w:t>T</w:t>
      </w:r>
      <w:r w:rsidR="00D836DA">
        <w:rPr>
          <w:color w:val="000000"/>
        </w:rPr>
        <w:t xml:space="preserve">he following observations </w:t>
      </w:r>
      <w:r w:rsidR="008B0452">
        <w:rPr>
          <w:color w:val="000000"/>
        </w:rPr>
        <w:t xml:space="preserve">taken from [2] </w:t>
      </w:r>
      <w:proofErr w:type="gramStart"/>
      <w:r>
        <w:rPr>
          <w:color w:val="000000"/>
        </w:rPr>
        <w:t>have to</w:t>
      </w:r>
      <w:proofErr w:type="gramEnd"/>
      <w:r>
        <w:rPr>
          <w:color w:val="000000"/>
        </w:rPr>
        <w:t xml:space="preserve"> be considered</w:t>
      </w:r>
      <w:r w:rsidR="008B0452">
        <w:rPr>
          <w:color w:val="000000"/>
        </w:rPr>
        <w:t>:</w:t>
      </w:r>
    </w:p>
    <w:p w14:paraId="511BA7DB" w14:textId="2D036B14" w:rsidR="008B0452" w:rsidRPr="008B0452" w:rsidRDefault="008B0452" w:rsidP="008B0452">
      <w:pPr>
        <w:pStyle w:val="ListParagraph"/>
        <w:numPr>
          <w:ilvl w:val="0"/>
          <w:numId w:val="11"/>
        </w:numPr>
        <w:rPr>
          <w:color w:val="000000"/>
        </w:rPr>
      </w:pPr>
      <w:r w:rsidRPr="00986A8F">
        <w:t>Upon SCG failure the UE suspends SCG transmissions for all radio bearers and reports the SCG Failure Information to the MN, instead of triggering re-establishment.</w:t>
      </w:r>
    </w:p>
    <w:p w14:paraId="5B4A9894" w14:textId="2F09DAB3" w:rsidR="008B0452" w:rsidRDefault="008B0452" w:rsidP="008B0452">
      <w:pPr>
        <w:pStyle w:val="ListParagraph"/>
        <w:numPr>
          <w:ilvl w:val="0"/>
          <w:numId w:val="11"/>
        </w:numPr>
      </w:pPr>
      <w:r w:rsidRPr="00986A8F">
        <w:t xml:space="preserve">In all SCG failure cases, the UE maintains the current measurement configurations from both the MN and the </w:t>
      </w:r>
      <w:proofErr w:type="gramStart"/>
      <w:r w:rsidRPr="00986A8F">
        <w:t>SN</w:t>
      </w:r>
      <w:proofErr w:type="gramEnd"/>
      <w:r w:rsidRPr="00986A8F">
        <w:t xml:space="preserve"> and the UE continues measurements based on configuration from the MN and the SN if possible. The SN measurements configured to be routed via the MN will continue to be reported after the SCG failure.</w:t>
      </w:r>
    </w:p>
    <w:p w14:paraId="2817C252" w14:textId="273E31F2" w:rsidR="008B0452" w:rsidRPr="00986A8F" w:rsidRDefault="008B0452" w:rsidP="008B0452">
      <w:pPr>
        <w:pStyle w:val="ListParagraph"/>
        <w:numPr>
          <w:ilvl w:val="0"/>
          <w:numId w:val="11"/>
        </w:numPr>
      </w:pPr>
      <w:r w:rsidRPr="00986A8F">
        <w:t xml:space="preserve">The UE includes in the </w:t>
      </w:r>
      <w:r w:rsidRPr="008B0452">
        <w:rPr>
          <w:i/>
        </w:rPr>
        <w:t>SCG Failure Information</w:t>
      </w:r>
      <w:r w:rsidRPr="00986A8F">
        <w:t xml:space="preserve"> message the measurement results available according to current measurement configuration of both the MN and the SN.</w:t>
      </w:r>
      <w:r>
        <w:t xml:space="preserve"> </w:t>
      </w:r>
      <w:r w:rsidRPr="00986A8F">
        <w:t xml:space="preserve">The MN handles the </w:t>
      </w:r>
      <w:r w:rsidRPr="008B0452">
        <w:rPr>
          <w:i/>
        </w:rPr>
        <w:t>SCG Failure Information</w:t>
      </w:r>
      <w:r w:rsidRPr="00986A8F">
        <w:t xml:space="preserve"> message and may decide to keep, change, or release the SN/SCG.</w:t>
      </w:r>
    </w:p>
    <w:p w14:paraId="2E9AC376" w14:textId="77777777" w:rsidR="00B22D19" w:rsidRDefault="00C669B4" w:rsidP="00B42613">
      <w:r>
        <w:t xml:space="preserve">In contrast to </w:t>
      </w:r>
      <w:r w:rsidR="004A2E45">
        <w:t xml:space="preserve">MCG failure or single connectivity failure scenarios, </w:t>
      </w:r>
      <w:r w:rsidR="00464B16">
        <w:t>in case of</w:t>
      </w:r>
      <w:r w:rsidR="004A2E45">
        <w:t xml:space="preserve"> SCG failure </w:t>
      </w:r>
      <w:r w:rsidR="00A46F00">
        <w:t xml:space="preserve">the UE </w:t>
      </w:r>
      <w:r w:rsidR="004A2E45">
        <w:t>remains</w:t>
      </w:r>
      <w:r w:rsidR="00AC011B">
        <w:t xml:space="preserve"> connected with the MN and the MN receives the SCG Failure Information containing the UE’s measurements up to the moment of sending </w:t>
      </w:r>
      <w:r w:rsidR="004A2E45">
        <w:t>this</w:t>
      </w:r>
      <w:r w:rsidR="00E06308">
        <w:t xml:space="preserve"> message</w:t>
      </w:r>
      <w:r w:rsidR="00AC011B">
        <w:t>.</w:t>
      </w:r>
    </w:p>
    <w:p w14:paraId="4A37B263" w14:textId="77777777" w:rsidR="00B22D19" w:rsidRDefault="00B22D19" w:rsidP="00B42613">
      <w:r>
        <w:t>For MRO analysis we have two alternatives:</w:t>
      </w:r>
    </w:p>
    <w:p w14:paraId="4CED065C" w14:textId="2E119F79" w:rsidR="00B22D19" w:rsidRDefault="00B22D19" w:rsidP="00B42613">
      <w:r>
        <w:t xml:space="preserve">In section 2.1 we discuss the situation when the MRO analysis is </w:t>
      </w:r>
      <w:r w:rsidR="006D3739">
        <w:t>done</w:t>
      </w:r>
      <w:r>
        <w:t xml:space="preserve"> at the MN.</w:t>
      </w:r>
    </w:p>
    <w:p w14:paraId="6FD58E56" w14:textId="5A4413AE" w:rsidR="00B22F4C" w:rsidRDefault="00B22D19" w:rsidP="00B42613">
      <w:r>
        <w:t>In section 2.2 we discuss the situation when the MRO analysis is done at the SN.</w:t>
      </w:r>
    </w:p>
    <w:p w14:paraId="359D1D74" w14:textId="77777777" w:rsidR="00B22F4C" w:rsidRDefault="00B22F4C" w:rsidP="00B42613"/>
    <w:p w14:paraId="0226C9AA" w14:textId="77777777" w:rsidR="00B22F4C" w:rsidRDefault="00B22F4C" w:rsidP="00BE3E98">
      <w:pPr>
        <w:pStyle w:val="Heading2"/>
      </w:pPr>
      <w:r>
        <w:t>2.1</w:t>
      </w:r>
      <w:r>
        <w:tab/>
        <w:t>MRO analysis is performed at the MN</w:t>
      </w:r>
    </w:p>
    <w:p w14:paraId="334E55D8" w14:textId="00B3F2A0" w:rsidR="00AC011B" w:rsidRDefault="00B22F4C" w:rsidP="00B42613">
      <w:r>
        <w:t>Remaining connected with the UE</w:t>
      </w:r>
      <w:r w:rsidR="00656713">
        <w:t xml:space="preserve"> enables the MN to perform MRO root cause analysis</w:t>
      </w:r>
      <w:r w:rsidR="007B03AA">
        <w:t xml:space="preserve"> </w:t>
      </w:r>
      <w:r w:rsidR="00E06308">
        <w:t>after SN change f</w:t>
      </w:r>
      <w:r w:rsidR="007B03AA">
        <w:t>a</w:t>
      </w:r>
      <w:r w:rsidR="00E06308">
        <w:t>ilures. This is</w:t>
      </w:r>
      <w:r w:rsidR="007B03AA">
        <w:t xml:space="preserve"> shown in the example flow below in Figure 1:</w:t>
      </w:r>
    </w:p>
    <w:p w14:paraId="087CBAAF" w14:textId="4455FB76" w:rsidR="00A8444D" w:rsidRDefault="00B22F4C" w:rsidP="006848DE">
      <w:r w:rsidRPr="00B22F4C">
        <w:rPr>
          <w:noProof/>
        </w:rPr>
        <w:lastRenderedPageBreak/>
        <w:drawing>
          <wp:inline distT="0" distB="0" distL="0" distR="0" wp14:anchorId="75FD4D1B" wp14:editId="29812EFC">
            <wp:extent cx="5469148" cy="791242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74421" cy="7920052"/>
                    </a:xfrm>
                    <a:prstGeom prst="rect">
                      <a:avLst/>
                    </a:prstGeom>
                    <a:noFill/>
                    <a:ln>
                      <a:noFill/>
                    </a:ln>
                  </pic:spPr>
                </pic:pic>
              </a:graphicData>
            </a:graphic>
          </wp:inline>
        </w:drawing>
      </w:r>
    </w:p>
    <w:p w14:paraId="539B018F" w14:textId="2446EB95" w:rsidR="00A8444D" w:rsidRDefault="00A8444D" w:rsidP="00A8444D">
      <w:pPr>
        <w:jc w:val="center"/>
      </w:pPr>
      <w:r>
        <w:t>Figure 1: MRO handling for the SN Change failure while a SN initiated SN change is ongoing</w:t>
      </w:r>
    </w:p>
    <w:p w14:paraId="174F2700" w14:textId="263AA8FA" w:rsidR="00E52ADD" w:rsidRDefault="00E845E0" w:rsidP="006848DE">
      <w:pPr>
        <w:rPr>
          <w:color w:val="000000"/>
        </w:rPr>
      </w:pPr>
      <w:r>
        <w:t xml:space="preserve">The example flows </w:t>
      </w:r>
      <w:r w:rsidR="00E52ADD">
        <w:t xml:space="preserve">below </w:t>
      </w:r>
      <w:r w:rsidR="007B03AA">
        <w:t xml:space="preserve">in Figure 2 </w:t>
      </w:r>
      <w:r w:rsidR="00E52ADD">
        <w:t xml:space="preserve">show the cases </w:t>
      </w:r>
      <w:r w:rsidR="007B03AA">
        <w:t xml:space="preserve">when </w:t>
      </w:r>
      <w:r w:rsidR="00E52ADD" w:rsidRPr="00F51E69">
        <w:rPr>
          <w:color w:val="000000"/>
        </w:rPr>
        <w:t>SCG failure occurs shortly after a successful SN change</w:t>
      </w:r>
      <w:r w:rsidR="00E52ADD">
        <w:rPr>
          <w:color w:val="000000"/>
        </w:rPr>
        <w:t xml:space="preserve"> (SN change too early or to wrong cell):</w:t>
      </w:r>
    </w:p>
    <w:p w14:paraId="2794D5C4" w14:textId="5EBDE1EB" w:rsidR="00E52ADD" w:rsidRDefault="005072D1" w:rsidP="006848DE">
      <w:pPr>
        <w:rPr>
          <w:color w:val="000000"/>
        </w:rPr>
      </w:pPr>
      <w:r w:rsidRPr="005072D1">
        <w:rPr>
          <w:noProof/>
        </w:rPr>
        <w:lastRenderedPageBreak/>
        <w:drawing>
          <wp:inline distT="0" distB="0" distL="0" distR="0" wp14:anchorId="435EDFEF" wp14:editId="3530F16B">
            <wp:extent cx="5512280" cy="5746127"/>
            <wp:effectExtent l="0" t="0" r="0" b="698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14907" cy="5748866"/>
                    </a:xfrm>
                    <a:prstGeom prst="rect">
                      <a:avLst/>
                    </a:prstGeom>
                    <a:noFill/>
                    <a:ln>
                      <a:noFill/>
                    </a:ln>
                  </pic:spPr>
                </pic:pic>
              </a:graphicData>
            </a:graphic>
          </wp:inline>
        </w:drawing>
      </w:r>
    </w:p>
    <w:p w14:paraId="7DF5ADBF" w14:textId="15690C20" w:rsidR="00A8444D" w:rsidRDefault="00F118BB" w:rsidP="00F118BB">
      <w:pPr>
        <w:jc w:val="center"/>
      </w:pPr>
      <w:r>
        <w:rPr>
          <w:color w:val="000000"/>
        </w:rPr>
        <w:t xml:space="preserve">Figure 2: </w:t>
      </w:r>
      <w:r>
        <w:t>MRO handling for the SN Change failure shortly after a successfully completed SN initiated SN change</w:t>
      </w:r>
    </w:p>
    <w:p w14:paraId="7A02EE5B" w14:textId="45DE4EF5" w:rsidR="005072D1" w:rsidRPr="00E52ADD" w:rsidRDefault="007B6492" w:rsidP="00BE3E98">
      <w:r>
        <w:rPr>
          <w:color w:val="000000"/>
        </w:rPr>
        <w:t xml:space="preserve">Figure 3 below shows MRO handling for the case of a SCG failure that occurs after the UE has already stayed for a long period of time in the cell of the SN (SN change too late). </w:t>
      </w:r>
      <w:r w:rsidR="005072D1" w:rsidRPr="005072D1">
        <w:t xml:space="preserve">To avoid </w:t>
      </w:r>
      <w:r w:rsidRPr="005072D1">
        <w:t>ambiguities,</w:t>
      </w:r>
      <w:r w:rsidR="005072D1" w:rsidRPr="005072D1">
        <w:t xml:space="preserve"> it is assumed that </w:t>
      </w:r>
      <w:r>
        <w:t>“</w:t>
      </w:r>
      <w:r w:rsidR="005072D1" w:rsidRPr="005072D1">
        <w:t>long time after successful handover</w:t>
      </w:r>
      <w:r>
        <w:t>”</w:t>
      </w:r>
      <w:r w:rsidR="005072D1" w:rsidRPr="005072D1">
        <w:t xml:space="preserve"> starts </w:t>
      </w:r>
      <w:r w:rsidRPr="005072D1">
        <w:t>immediately</w:t>
      </w:r>
      <w:r w:rsidR="005072D1" w:rsidRPr="005072D1">
        <w:t xml:space="preserve"> after </w:t>
      </w:r>
      <w:r>
        <w:t>“</w:t>
      </w:r>
      <w:r w:rsidR="005072D1" w:rsidRPr="005072D1">
        <w:t>short time after successful handover</w:t>
      </w:r>
      <w:r>
        <w:t>”</w:t>
      </w:r>
      <w:r w:rsidR="005072D1" w:rsidRPr="005072D1">
        <w:t xml:space="preserve"> </w:t>
      </w:r>
      <w:r>
        <w:t xml:space="preserve">has </w:t>
      </w:r>
      <w:r w:rsidR="005072D1" w:rsidRPr="005072D1">
        <w:t>expire</w:t>
      </w:r>
      <w:r>
        <w:t>d</w:t>
      </w:r>
      <w:r w:rsidR="005072D1" w:rsidRPr="005072D1">
        <w:t xml:space="preserve">. </w:t>
      </w:r>
      <w:r>
        <w:t>Also, f</w:t>
      </w:r>
      <w:r w:rsidR="005072D1" w:rsidRPr="005072D1">
        <w:t xml:space="preserve">or MRO </w:t>
      </w:r>
      <w:r>
        <w:t xml:space="preserve">the </w:t>
      </w:r>
      <w:r w:rsidR="005072D1" w:rsidRPr="005072D1">
        <w:t xml:space="preserve">source and target roles of </w:t>
      </w:r>
      <w:r>
        <w:t xml:space="preserve">a </w:t>
      </w:r>
      <w:r w:rsidR="005072D1" w:rsidRPr="005072D1">
        <w:t>previous</w:t>
      </w:r>
      <w:r>
        <w:t xml:space="preserve">ly successfully performed </w:t>
      </w:r>
      <w:r w:rsidR="005072D1" w:rsidRPr="005072D1">
        <w:t xml:space="preserve">handover are no longer </w:t>
      </w:r>
      <w:r>
        <w:t xml:space="preserve">of </w:t>
      </w:r>
      <w:r w:rsidR="005072D1" w:rsidRPr="005072D1">
        <w:t>significan</w:t>
      </w:r>
      <w:r>
        <w:t xml:space="preserve">ce. Therefore T-SN is </w:t>
      </w:r>
      <w:r w:rsidR="005072D1" w:rsidRPr="005072D1">
        <w:t>renamed to SN</w:t>
      </w:r>
      <w:r>
        <w:t>2</w:t>
      </w:r>
      <w:r w:rsidR="005072D1" w:rsidRPr="005072D1">
        <w:t xml:space="preserve"> and SN</w:t>
      </w:r>
      <w:r>
        <w:t>1 may be any other SN</w:t>
      </w:r>
      <w:r w:rsidR="005072D1" w:rsidRPr="005072D1">
        <w:t>.</w:t>
      </w:r>
      <w:r>
        <w:t xml:space="preserve"> </w:t>
      </w:r>
      <w:r w:rsidR="005072D1" w:rsidRPr="005072D1">
        <w:t xml:space="preserve">For MRO this is the same condition as after addition of a SN without a </w:t>
      </w:r>
      <w:r w:rsidRPr="005072D1">
        <w:t>preceding</w:t>
      </w:r>
      <w:r w:rsidR="005072D1" w:rsidRPr="005072D1">
        <w:t xml:space="preserve"> SN change.</w:t>
      </w:r>
    </w:p>
    <w:p w14:paraId="6C288A85" w14:textId="5B701B74" w:rsidR="00F118BB" w:rsidRDefault="008E669D" w:rsidP="00C6240E">
      <w:r w:rsidRPr="008E669D">
        <w:rPr>
          <w:noProof/>
        </w:rPr>
        <w:lastRenderedPageBreak/>
        <w:drawing>
          <wp:inline distT="0" distB="0" distL="0" distR="0" wp14:anchorId="260E8458" wp14:editId="7ACA274C">
            <wp:extent cx="5641676" cy="7583873"/>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647313" cy="7591451"/>
                    </a:xfrm>
                    <a:prstGeom prst="rect">
                      <a:avLst/>
                    </a:prstGeom>
                    <a:noFill/>
                    <a:ln>
                      <a:noFill/>
                    </a:ln>
                  </pic:spPr>
                </pic:pic>
              </a:graphicData>
            </a:graphic>
          </wp:inline>
        </w:drawing>
      </w:r>
    </w:p>
    <w:p w14:paraId="4DB8EF94" w14:textId="4083C78C" w:rsidR="00F118BB" w:rsidRDefault="00F118BB" w:rsidP="00A37318">
      <w:pPr>
        <w:jc w:val="center"/>
      </w:pPr>
      <w:r>
        <w:t>Figure 3:</w:t>
      </w:r>
      <w:r w:rsidRPr="00F118BB">
        <w:t xml:space="preserve"> </w:t>
      </w:r>
      <w:r>
        <w:t>MRO handling for the SN Change failure after already staying for a long time in a cell</w:t>
      </w:r>
    </w:p>
    <w:p w14:paraId="1A8B2A57" w14:textId="1DC04584" w:rsidR="008E669D" w:rsidRDefault="008E669D">
      <w:pPr>
        <w:spacing w:after="0"/>
      </w:pPr>
      <w:r>
        <w:br w:type="page"/>
      </w:r>
    </w:p>
    <w:p w14:paraId="74378C93" w14:textId="77777777" w:rsidR="008E669D" w:rsidRDefault="008E669D" w:rsidP="00A37318">
      <w:pPr>
        <w:jc w:val="center"/>
      </w:pPr>
    </w:p>
    <w:p w14:paraId="2DCD29F5" w14:textId="33713DFC" w:rsidR="008E669D" w:rsidRDefault="008E669D" w:rsidP="008E669D">
      <w:pPr>
        <w:pStyle w:val="Heading2"/>
      </w:pPr>
      <w:r>
        <w:t>2.</w:t>
      </w:r>
      <w:r w:rsidR="00DC38E9">
        <w:t>2</w:t>
      </w:r>
      <w:r>
        <w:tab/>
        <w:t>MRO analysis is performed at the SNs</w:t>
      </w:r>
    </w:p>
    <w:p w14:paraId="7BDB0E4B" w14:textId="1A63CB1C" w:rsidR="008E669D" w:rsidRDefault="008E669D" w:rsidP="009A5FEE">
      <w:r>
        <w:t xml:space="preserve">In this section the same failure situations are handled as in the previous section. The difference is that the MRO root cause analysis is left to the SNs. There is one exception for the too late SN change. In this situation both MN and SN may have to optimize their thresholds for SN change, because </w:t>
      </w:r>
      <w:proofErr w:type="gramStart"/>
      <w:r>
        <w:t>actually both</w:t>
      </w:r>
      <w:proofErr w:type="gramEnd"/>
      <w:r>
        <w:t xml:space="preserve"> failed to initiate the SN change</w:t>
      </w:r>
      <w:r w:rsidR="0087717C">
        <w:t xml:space="preserve"> (at least if the problem was not a coverage problem)</w:t>
      </w:r>
      <w:r>
        <w:t>.</w:t>
      </w:r>
    </w:p>
    <w:p w14:paraId="7D2FE53D" w14:textId="0FF7B525" w:rsidR="008E669D" w:rsidRPr="008E669D" w:rsidRDefault="008E669D" w:rsidP="00BE3E98">
      <w:r>
        <w:lastRenderedPageBreak/>
        <w:t xml:space="preserve"> </w:t>
      </w:r>
      <w:r w:rsidR="009A5FEE" w:rsidRPr="009A5FEE">
        <w:rPr>
          <w:noProof/>
        </w:rPr>
        <w:drawing>
          <wp:inline distT="0" distB="0" distL="0" distR="0" wp14:anchorId="0E348128" wp14:editId="091D0235">
            <wp:extent cx="5808625" cy="819509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809881" cy="8196867"/>
                    </a:xfrm>
                    <a:prstGeom prst="rect">
                      <a:avLst/>
                    </a:prstGeom>
                    <a:noFill/>
                    <a:ln>
                      <a:noFill/>
                    </a:ln>
                  </pic:spPr>
                </pic:pic>
              </a:graphicData>
            </a:graphic>
          </wp:inline>
        </w:drawing>
      </w:r>
    </w:p>
    <w:p w14:paraId="4FD61CE3" w14:textId="15A76657" w:rsidR="009A5FEE" w:rsidRDefault="009A5FEE" w:rsidP="00C6240E">
      <w:r>
        <w:t xml:space="preserve">Figure 4: MRO handling for the SN Change failure while a SN initiated SN change is ongoing </w:t>
      </w:r>
    </w:p>
    <w:p w14:paraId="64851F91" w14:textId="1F13B9FB" w:rsidR="00046A8A" w:rsidRDefault="00046A8A" w:rsidP="00C6240E">
      <w:r>
        <w:t xml:space="preserve">The following Figure </w:t>
      </w:r>
      <w:r w:rsidR="00D77A9A">
        <w:t>5</w:t>
      </w:r>
      <w:r>
        <w:t xml:space="preserve"> shows a SN change too early failure situation with </w:t>
      </w:r>
      <w:r w:rsidR="00D77A9A">
        <w:t xml:space="preserve">MRO analysis in the SNs. The MN just forwards the measurements to the current SN using the “SN Failure Indication” message. This current SN is the T-SN of a preceding SN Change and, because the SN failure happened a short time after the successful handover, the T-SN </w:t>
      </w:r>
      <w:r w:rsidR="00D77A9A">
        <w:lastRenderedPageBreak/>
        <w:t xml:space="preserve">again forwards the measurements to the S-SN using the Handover Report message. The S-SN performs the MRO root cause analysis and may adjust the parameters accordingly. </w:t>
      </w:r>
    </w:p>
    <w:p w14:paraId="6FABC221" w14:textId="010D31B5" w:rsidR="00046A8A" w:rsidRDefault="00046A8A" w:rsidP="00C6240E">
      <w:r w:rsidRPr="00046A8A">
        <w:rPr>
          <w:noProof/>
        </w:rPr>
        <w:drawing>
          <wp:inline distT="0" distB="0" distL="0" distR="0" wp14:anchorId="65AC78E7" wp14:editId="607F1FAB">
            <wp:extent cx="6122035" cy="6626860"/>
            <wp:effectExtent l="0" t="0" r="0" b="254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2035" cy="6626860"/>
                    </a:xfrm>
                    <a:prstGeom prst="rect">
                      <a:avLst/>
                    </a:prstGeom>
                    <a:noFill/>
                    <a:ln>
                      <a:noFill/>
                    </a:ln>
                  </pic:spPr>
                </pic:pic>
              </a:graphicData>
            </a:graphic>
          </wp:inline>
        </w:drawing>
      </w:r>
    </w:p>
    <w:p w14:paraId="7BD3F2F5" w14:textId="1CF7104C" w:rsidR="00D77A9A" w:rsidRDefault="00D77A9A" w:rsidP="00D77A9A">
      <w:pPr>
        <w:jc w:val="center"/>
      </w:pPr>
      <w:r>
        <w:rPr>
          <w:color w:val="000000"/>
        </w:rPr>
        <w:t xml:space="preserve">Figure 5: </w:t>
      </w:r>
      <w:r>
        <w:t>MRO handling for the SN Change failure shortly after a successfully completed SN initiated SN change</w:t>
      </w:r>
    </w:p>
    <w:p w14:paraId="7292083A" w14:textId="343EFFD2" w:rsidR="00D77A9A" w:rsidRDefault="00D77A9A" w:rsidP="00C6240E">
      <w:r>
        <w:t xml:space="preserve">Figure 6 below shows the situation of a SN change failure after a long time of a preceding SN change. This is the same situation as after freshly adding a SN without having performed and preceding SN change. The MN </w:t>
      </w:r>
      <w:r w:rsidR="00DC38E9">
        <w:t xml:space="preserve">forwards the measurement results using the SN Failure indication message, but different to the previous example in case of a too late SN change occurred at the SN both MN and SN should perform </w:t>
      </w:r>
      <w:proofErr w:type="gramStart"/>
      <w:r w:rsidR="00DC38E9">
        <w:t>a</w:t>
      </w:r>
      <w:proofErr w:type="gramEnd"/>
      <w:r w:rsidR="00DC38E9">
        <w:t xml:space="preserve"> MRO root cause analysis because each node failed to initiate the SN change (at least if it is not caused by a coverage problem).</w:t>
      </w:r>
    </w:p>
    <w:p w14:paraId="6FE8D79B" w14:textId="17BFB352" w:rsidR="00DC38E9" w:rsidRDefault="00DC38E9" w:rsidP="00C6240E">
      <w:r w:rsidRPr="00DC38E9">
        <w:rPr>
          <w:noProof/>
        </w:rPr>
        <w:lastRenderedPageBreak/>
        <w:drawing>
          <wp:inline distT="0" distB="0" distL="0" distR="0" wp14:anchorId="3AC02FA7" wp14:editId="7E313E4C">
            <wp:extent cx="5744428" cy="8393502"/>
            <wp:effectExtent l="0" t="0" r="0" b="762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746603" cy="8396680"/>
                    </a:xfrm>
                    <a:prstGeom prst="rect">
                      <a:avLst/>
                    </a:prstGeom>
                    <a:noFill/>
                    <a:ln>
                      <a:noFill/>
                    </a:ln>
                  </pic:spPr>
                </pic:pic>
              </a:graphicData>
            </a:graphic>
          </wp:inline>
        </w:drawing>
      </w:r>
    </w:p>
    <w:p w14:paraId="7E421E68" w14:textId="067D4767" w:rsidR="00DC38E9" w:rsidRDefault="00DC38E9" w:rsidP="00DC38E9">
      <w:pPr>
        <w:jc w:val="center"/>
      </w:pPr>
      <w:r>
        <w:t>Figure 6:</w:t>
      </w:r>
      <w:r w:rsidRPr="00F118BB">
        <w:t xml:space="preserve"> </w:t>
      </w:r>
      <w:r>
        <w:t>MRO handling for the SN Change failure after already staying for a long time in a cell</w:t>
      </w:r>
    </w:p>
    <w:p w14:paraId="1B4B3260" w14:textId="77777777" w:rsidR="001400A7" w:rsidRDefault="001400A7" w:rsidP="00C6240E"/>
    <w:p w14:paraId="08A4AE94" w14:textId="0D744BDE" w:rsidR="001400A7" w:rsidRDefault="001400A7" w:rsidP="001400A7">
      <w:pPr>
        <w:pStyle w:val="Heading2"/>
      </w:pPr>
      <w:r>
        <w:lastRenderedPageBreak/>
        <w:t>2.3</w:t>
      </w:r>
      <w:r>
        <w:tab/>
        <w:t>Conclusions</w:t>
      </w:r>
    </w:p>
    <w:p w14:paraId="2D1DBCBB" w14:textId="3D665EAF" w:rsidR="00C6240E" w:rsidRDefault="00C6240E" w:rsidP="00C6240E">
      <w:r>
        <w:t>The followi</w:t>
      </w:r>
      <w:bookmarkStart w:id="0" w:name="_GoBack"/>
      <w:bookmarkEnd w:id="0"/>
      <w:r>
        <w:t>ng conclusions can be made</w:t>
      </w:r>
      <w:r w:rsidR="00A8444D">
        <w:t xml:space="preserve"> for MRO handling of the SN change failure</w:t>
      </w:r>
      <w:r>
        <w:t>:</w:t>
      </w:r>
    </w:p>
    <w:p w14:paraId="239D6BB0" w14:textId="2262F0CA" w:rsidR="00E06308" w:rsidRDefault="00E06308" w:rsidP="00C6240E">
      <w:r>
        <w:t>Due to the fact of receiving SGC failure information from the UE and due to knowing about previously successfully completed SN changes the MN is already in the position to perform MRO root cause analysis for the SN change failure:</w:t>
      </w:r>
    </w:p>
    <w:p w14:paraId="68DE239A" w14:textId="0F6B54B5" w:rsidR="00C6240E" w:rsidRDefault="00C6240E" w:rsidP="00E06308">
      <w:pPr>
        <w:pStyle w:val="ListParagraph"/>
        <w:numPr>
          <w:ilvl w:val="0"/>
          <w:numId w:val="12"/>
        </w:numPr>
      </w:pPr>
      <w:r>
        <w:t xml:space="preserve">In case of a MN initiated SN change neither an RLF Indication message nor a HO Report </w:t>
      </w:r>
      <w:r w:rsidR="00E236C7">
        <w:t xml:space="preserve">like </w:t>
      </w:r>
      <w:r>
        <w:t>message are needed.</w:t>
      </w:r>
    </w:p>
    <w:p w14:paraId="55E6FB66" w14:textId="4DFEDC30" w:rsidR="008D0387" w:rsidRDefault="00C6240E" w:rsidP="00E06308">
      <w:pPr>
        <w:pStyle w:val="ListParagraph"/>
        <w:numPr>
          <w:ilvl w:val="0"/>
          <w:numId w:val="12"/>
        </w:numPr>
      </w:pPr>
      <w:r>
        <w:t xml:space="preserve">In case </w:t>
      </w:r>
      <w:r w:rsidR="00E06308">
        <w:t xml:space="preserve">of </w:t>
      </w:r>
      <w:r>
        <w:t xml:space="preserve">SN initiated SN change </w:t>
      </w:r>
      <w:r w:rsidR="001F2AAA">
        <w:t xml:space="preserve">or </w:t>
      </w:r>
      <w:r w:rsidR="00E236C7">
        <w:t xml:space="preserve">missing of a necessary SN change </w:t>
      </w:r>
      <w:r>
        <w:t xml:space="preserve">the </w:t>
      </w:r>
      <w:r w:rsidR="008D0387">
        <w:t>signalling is different depending MRO analysis is done at the MN or is done at the SNs</w:t>
      </w:r>
    </w:p>
    <w:p w14:paraId="2D08CAB3" w14:textId="4182254C" w:rsidR="00C6240E" w:rsidRDefault="008D0387" w:rsidP="00047D1E">
      <w:pPr>
        <w:pStyle w:val="ListParagraph"/>
        <w:numPr>
          <w:ilvl w:val="1"/>
          <w:numId w:val="12"/>
        </w:numPr>
      </w:pPr>
      <w:r>
        <w:t xml:space="preserve">In case the MRO analysis is done by the MN the </w:t>
      </w:r>
      <w:r w:rsidR="007B03AA">
        <w:t xml:space="preserve">MN </w:t>
      </w:r>
      <w:r>
        <w:t xml:space="preserve">identifies the SN which may needs to optimize the parameters for SN change </w:t>
      </w:r>
      <w:r w:rsidR="00C6240E">
        <w:t xml:space="preserve">using a Handover Report </w:t>
      </w:r>
      <w:r w:rsidR="00E236C7">
        <w:t xml:space="preserve">like </w:t>
      </w:r>
      <w:r w:rsidR="00C6240E">
        <w:t>message.</w:t>
      </w:r>
      <w:r w:rsidR="00A4159B">
        <w:t xml:space="preserve"> The SN may ignore the MRO root cause provided by the Handover Report message and may use the received measurements to perform MRO root cause analysis.</w:t>
      </w:r>
    </w:p>
    <w:p w14:paraId="271D4DB5" w14:textId="50628DDE" w:rsidR="00963422" w:rsidRDefault="008D0387" w:rsidP="00047D1E">
      <w:pPr>
        <w:pStyle w:val="ListParagraph"/>
        <w:numPr>
          <w:ilvl w:val="1"/>
          <w:numId w:val="12"/>
        </w:numPr>
      </w:pPr>
      <w:r>
        <w:t xml:space="preserve">In case the MRO analysis is done by the SNs the MN forwards the measurements to the currently serving SN using a SN Failure Indication. This indicates </w:t>
      </w:r>
      <w:r w:rsidR="00963422">
        <w:t>to the SN to perform root cause analysis.</w:t>
      </w:r>
      <w:r w:rsidR="00963422">
        <w:br/>
        <w:t>I</w:t>
      </w:r>
      <w:r w:rsidR="00A4159B">
        <w:t>f</w:t>
      </w:r>
      <w:r w:rsidR="00963422">
        <w:t xml:space="preserve"> the SN node receiving the SN Failure Indication recognizes that there was a successful SN Change </w:t>
      </w:r>
      <w:r w:rsidR="00A4159B">
        <w:t xml:space="preserve">a </w:t>
      </w:r>
      <w:r w:rsidR="00963422">
        <w:t>short time ago then it forwards the measurements to the source SN for MRO root cause analysis and parameter optimization</w:t>
      </w:r>
      <w:r w:rsidR="00A4159B">
        <w:t xml:space="preserve"> using a Handover Report message</w:t>
      </w:r>
      <w:r w:rsidR="00963422">
        <w:t>.</w:t>
      </w:r>
      <w:r w:rsidR="00A4159B">
        <w:t xml:space="preserve"> If the Handover Report message contains MRO root cause the S-SN may ignore it and may use the </w:t>
      </w:r>
      <w:r w:rsidR="004A052E">
        <w:t xml:space="preserve">forwarded </w:t>
      </w:r>
      <w:r w:rsidR="00A4159B">
        <w:t xml:space="preserve">measurements to perform </w:t>
      </w:r>
      <w:r w:rsidR="004A052E">
        <w:t>a</w:t>
      </w:r>
      <w:r w:rsidR="00AE7B71">
        <w:t>n</w:t>
      </w:r>
      <w:r w:rsidR="004A052E">
        <w:t xml:space="preserve"> MRO </w:t>
      </w:r>
      <w:r w:rsidR="00A4159B">
        <w:t>root cause analysis.</w:t>
      </w:r>
    </w:p>
    <w:p w14:paraId="54A2B418" w14:textId="68C49F51" w:rsidR="008D0387" w:rsidRDefault="00963422" w:rsidP="00963422">
      <w:pPr>
        <w:pStyle w:val="ListParagraph"/>
        <w:numPr>
          <w:ilvl w:val="0"/>
          <w:numId w:val="12"/>
        </w:numPr>
      </w:pPr>
      <w:r>
        <w:t xml:space="preserve">The </w:t>
      </w:r>
      <w:r w:rsidR="004A052E">
        <w:t>two concepts 2a and 2b may be used simultaneously. Receiving a SN Failure indication always indicates that a</w:t>
      </w:r>
      <w:r w:rsidR="00AC536D">
        <w:t>n</w:t>
      </w:r>
      <w:r w:rsidR="004A052E">
        <w:t xml:space="preserve"> MRO root cause analysis has to be made by SNs. The MN doesn’t need to determine </w:t>
      </w:r>
      <w:r w:rsidR="00AC536D">
        <w:t xml:space="preserve">to </w:t>
      </w:r>
      <w:r w:rsidR="004A052E">
        <w:t>which SN (source or target)</w:t>
      </w:r>
      <w:r w:rsidR="00AC536D">
        <w:t xml:space="preserve"> it has to send the message. The MN just sends it to the SN that is currently serving the UE. On the other hand, if the MN provides a root cause analysis and provides it within Handover Report to the SN the SN, if capable to perform MRO root cause analysis, is not obliged to use the MRO root cause provided by the MN but may use the result of its own MRO root cause analysis based on the forwarded measurement results. </w:t>
      </w:r>
    </w:p>
    <w:p w14:paraId="2E7655F8" w14:textId="77777777" w:rsidR="001400A7" w:rsidRDefault="001400A7" w:rsidP="00E06308">
      <w:pPr>
        <w:pStyle w:val="ListParagraph"/>
        <w:numPr>
          <w:ilvl w:val="0"/>
          <w:numId w:val="12"/>
        </w:numPr>
      </w:pPr>
    </w:p>
    <w:p w14:paraId="43A12B72" w14:textId="6863D82D" w:rsidR="00CD4C7B" w:rsidRPr="006E13D1" w:rsidRDefault="00B42613" w:rsidP="00CD4C7B">
      <w:pPr>
        <w:pStyle w:val="Heading1"/>
      </w:pPr>
      <w:r>
        <w:t>3</w:t>
      </w:r>
      <w:r w:rsidR="00CD4C7B" w:rsidRPr="006E13D1">
        <w:tab/>
      </w:r>
      <w:r w:rsidR="00E236C7">
        <w:t>Proposals</w:t>
      </w:r>
    </w:p>
    <w:p w14:paraId="4FF4CB55" w14:textId="4B67DD07" w:rsidR="00AA70D5" w:rsidRDefault="00AC536D" w:rsidP="00AA70D5">
      <w:r>
        <w:t xml:space="preserve">Following </w:t>
      </w:r>
      <w:r w:rsidR="00AE7B71">
        <w:t>conclusion 3, that it is possible to support both the concepts 2a (MN performs</w:t>
      </w:r>
      <w:r w:rsidR="001A3B08">
        <w:t xml:space="preserve"> provides MRO root cause and forwards </w:t>
      </w:r>
      <w:proofErr w:type="gramStart"/>
      <w:r w:rsidR="001A3B08">
        <w:t>measurements)</w:t>
      </w:r>
      <w:r w:rsidR="00AE7B71">
        <w:t xml:space="preserve">  and</w:t>
      </w:r>
      <w:proofErr w:type="gramEnd"/>
      <w:r w:rsidR="00AE7B71">
        <w:t xml:space="preserve"> 2b </w:t>
      </w:r>
      <w:r w:rsidR="001A3B08">
        <w:t xml:space="preserve">(MN just forwards the </w:t>
      </w:r>
      <w:proofErr w:type="spellStart"/>
      <w:r w:rsidR="001A3B08">
        <w:t>measurments</w:t>
      </w:r>
      <w:proofErr w:type="spellEnd"/>
      <w:r w:rsidR="001A3B08">
        <w:t xml:space="preserve"> to the currently serving SN) w</w:t>
      </w:r>
      <w:r w:rsidR="007E7C7B">
        <w:t>e have the following proposal</w:t>
      </w:r>
      <w:r w:rsidR="007B03AA">
        <w:t>s</w:t>
      </w:r>
      <w:r w:rsidR="001A3B08">
        <w:t>:</w:t>
      </w:r>
      <w:r w:rsidR="007E7C7B">
        <w:t>:</w:t>
      </w:r>
    </w:p>
    <w:p w14:paraId="6D66C974" w14:textId="45E789ED" w:rsidR="007674F1" w:rsidRDefault="007674F1" w:rsidP="007674F1">
      <w:pPr>
        <w:rPr>
          <w:b/>
        </w:rPr>
      </w:pPr>
      <w:r w:rsidRPr="00A052CE">
        <w:rPr>
          <w:b/>
        </w:rPr>
        <w:t>Proposal</w:t>
      </w:r>
      <w:r w:rsidR="00E236C7">
        <w:rPr>
          <w:b/>
        </w:rPr>
        <w:t xml:space="preserve"> 1</w:t>
      </w:r>
      <w:r w:rsidRPr="00A052CE">
        <w:rPr>
          <w:b/>
        </w:rPr>
        <w:t xml:space="preserve">: </w:t>
      </w:r>
      <w:r w:rsidR="00E236C7">
        <w:rPr>
          <w:b/>
        </w:rPr>
        <w:t>A</w:t>
      </w:r>
      <w:r w:rsidR="007B03AA">
        <w:rPr>
          <w:b/>
        </w:rPr>
        <w:t>n</w:t>
      </w:r>
      <w:r w:rsidR="00E236C7">
        <w:rPr>
          <w:b/>
        </w:rPr>
        <w:t xml:space="preserve"> RLF Indication like message </w:t>
      </w:r>
      <w:r w:rsidR="00AE7B71">
        <w:rPr>
          <w:b/>
        </w:rPr>
        <w:t xml:space="preserve">e.g. SN Failure Indication </w:t>
      </w:r>
      <w:proofErr w:type="gramStart"/>
      <w:r w:rsidR="00E236C7">
        <w:rPr>
          <w:b/>
        </w:rPr>
        <w:t xml:space="preserve">is  </w:t>
      </w:r>
      <w:proofErr w:type="spellStart"/>
      <w:r w:rsidR="00AE7B71">
        <w:rPr>
          <w:b/>
        </w:rPr>
        <w:t>is</w:t>
      </w:r>
      <w:proofErr w:type="spellEnd"/>
      <w:proofErr w:type="gramEnd"/>
      <w:r w:rsidR="00AE7B71">
        <w:rPr>
          <w:b/>
        </w:rPr>
        <w:t xml:space="preserve"> </w:t>
      </w:r>
      <w:r w:rsidR="00E236C7">
        <w:rPr>
          <w:b/>
        </w:rPr>
        <w:t xml:space="preserve">needed </w:t>
      </w:r>
      <w:r w:rsidR="00AE7B71">
        <w:rPr>
          <w:b/>
        </w:rPr>
        <w:t xml:space="preserve">for scenarios where the MN does not perform MRO root cause analysis after </w:t>
      </w:r>
      <w:r w:rsidR="00047D1E">
        <w:rPr>
          <w:b/>
        </w:rPr>
        <w:t xml:space="preserve">or while </w:t>
      </w:r>
      <w:r w:rsidR="00AE7B71">
        <w:rPr>
          <w:b/>
        </w:rPr>
        <w:t>SN</w:t>
      </w:r>
      <w:r w:rsidR="00047D1E">
        <w:rPr>
          <w:b/>
        </w:rPr>
        <w:t xml:space="preserve"> initiated SN change and just forwards the received measurements to the currently serving SN</w:t>
      </w:r>
      <w:r w:rsidR="001F5590">
        <w:rPr>
          <w:b/>
        </w:rPr>
        <w:t>.</w:t>
      </w:r>
    </w:p>
    <w:p w14:paraId="2C017C94" w14:textId="5EA33212" w:rsidR="00047D1E" w:rsidRDefault="00E236C7" w:rsidP="007674F1">
      <w:pPr>
        <w:rPr>
          <w:b/>
        </w:rPr>
      </w:pPr>
      <w:r>
        <w:rPr>
          <w:b/>
        </w:rPr>
        <w:t>Proposal 2: Introduce a H</w:t>
      </w:r>
      <w:r w:rsidR="00047D1E">
        <w:rPr>
          <w:b/>
        </w:rPr>
        <w:t>andover</w:t>
      </w:r>
      <w:r>
        <w:rPr>
          <w:b/>
        </w:rPr>
        <w:t xml:space="preserve"> Report like message from MN to SN for </w:t>
      </w:r>
      <w:r w:rsidR="007B03AA">
        <w:rPr>
          <w:b/>
        </w:rPr>
        <w:t>optimizing the triggers of the SN initiated SN Change.</w:t>
      </w:r>
    </w:p>
    <w:p w14:paraId="5CCC8015" w14:textId="5955B939" w:rsidR="00E236C7" w:rsidRDefault="00047D1E" w:rsidP="007674F1">
      <w:pPr>
        <w:rPr>
          <w:b/>
        </w:rPr>
      </w:pPr>
      <w:r>
        <w:rPr>
          <w:b/>
        </w:rPr>
        <w:t xml:space="preserve">Proposal 3: A SN receiving a Handover Report like message providing </w:t>
      </w:r>
      <w:proofErr w:type="gramStart"/>
      <w:r>
        <w:rPr>
          <w:b/>
        </w:rPr>
        <w:t>a</w:t>
      </w:r>
      <w:proofErr w:type="gramEnd"/>
      <w:r>
        <w:rPr>
          <w:b/>
        </w:rPr>
        <w:t xml:space="preserve"> MRO root cause may, if capable, ignore that parameter and use the provided measurements to perform MRO root cause analysis.</w:t>
      </w:r>
    </w:p>
    <w:p w14:paraId="08E2B043" w14:textId="72BE4A46" w:rsidR="00BD1457" w:rsidRPr="006E13D1" w:rsidRDefault="00BD1457" w:rsidP="00BD1457">
      <w:pPr>
        <w:pStyle w:val="Heading1"/>
      </w:pPr>
      <w:r>
        <w:t>4</w:t>
      </w:r>
      <w:r w:rsidRPr="006E13D1">
        <w:tab/>
      </w:r>
      <w:r>
        <w:t>Refere</w:t>
      </w:r>
      <w:r w:rsidR="00D836DA">
        <w:t>nces</w:t>
      </w:r>
    </w:p>
    <w:p w14:paraId="7B90B9A7" w14:textId="614BA027" w:rsidR="00BD1457" w:rsidRDefault="00D836DA" w:rsidP="00BD1457">
      <w:r>
        <w:t>[1]</w:t>
      </w:r>
      <w:r>
        <w:tab/>
      </w:r>
      <w:r>
        <w:tab/>
        <w:t>TR 37.816 Study on RAN centric data collection and utilization for LTE and NR</w:t>
      </w:r>
    </w:p>
    <w:p w14:paraId="0989DCA7" w14:textId="0898E862" w:rsidR="00BD1457" w:rsidRPr="009A3AA4" w:rsidRDefault="00D836DA" w:rsidP="007674F1">
      <w:r>
        <w:t>[2]</w:t>
      </w:r>
      <w:r>
        <w:tab/>
      </w:r>
      <w:r>
        <w:tab/>
        <w:t>TS 37.340 E-UTRA and NR Multi-connectivity, Stage 2</w:t>
      </w:r>
    </w:p>
    <w:sectPr w:rsidR="00BD1457" w:rsidRPr="009A3AA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2F1382" w14:textId="77777777" w:rsidR="00CB3121" w:rsidRDefault="00CB3121">
      <w:r>
        <w:separator/>
      </w:r>
    </w:p>
  </w:endnote>
  <w:endnote w:type="continuationSeparator" w:id="0">
    <w:p w14:paraId="4DCD6E4D" w14:textId="77777777" w:rsidR="00CB3121" w:rsidRDefault="00CB31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07DCDD" w14:textId="77777777" w:rsidR="00CB3121" w:rsidRDefault="00CB3121">
      <w:r>
        <w:separator/>
      </w:r>
    </w:p>
  </w:footnote>
  <w:footnote w:type="continuationSeparator" w:id="0">
    <w:p w14:paraId="38765489" w14:textId="77777777" w:rsidR="00CB3121" w:rsidRDefault="00CB31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A44AB0"/>
    <w:multiLevelType w:val="hybridMultilevel"/>
    <w:tmpl w:val="0CA218C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DB1BD5"/>
    <w:multiLevelType w:val="hybridMultilevel"/>
    <w:tmpl w:val="BE2AD9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9B51C82"/>
    <w:multiLevelType w:val="hybridMultilevel"/>
    <w:tmpl w:val="CAC0D06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F2111F2"/>
    <w:multiLevelType w:val="hybridMultilevel"/>
    <w:tmpl w:val="589236F8"/>
    <w:lvl w:ilvl="0" w:tplc="58D8C818">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AB262F8"/>
    <w:multiLevelType w:val="multilevel"/>
    <w:tmpl w:val="4AB262F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5F7C5D63"/>
    <w:multiLevelType w:val="multilevel"/>
    <w:tmpl w:val="5F7C5D63"/>
    <w:lvl w:ilvl="0">
      <w:start w:val="1"/>
      <w:numFmt w:val="decimal"/>
      <w:lvlText w:val="%1"/>
      <w:lvlJc w:val="left"/>
      <w:pPr>
        <w:ind w:left="432" w:hanging="432"/>
      </w:pPr>
    </w:lvl>
    <w:lvl w:ilvl="1">
      <w:start w:val="1"/>
      <w:numFmt w:val="decimal"/>
      <w:lvlText w:val="%1.%2"/>
      <w:lvlJc w:val="left"/>
      <w:pPr>
        <w:ind w:left="576" w:hanging="576"/>
      </w:pPr>
      <w:rPr>
        <w:sz w:val="32"/>
        <w:szCs w:val="3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69384ADF"/>
    <w:multiLevelType w:val="hybridMultilevel"/>
    <w:tmpl w:val="44D0408C"/>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6C2D3C40"/>
    <w:multiLevelType w:val="hybridMultilevel"/>
    <w:tmpl w:val="2E3E53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6"/>
  </w:num>
  <w:num w:numId="6">
    <w:abstractNumId w:val="8"/>
  </w:num>
  <w:num w:numId="7">
    <w:abstractNumId w:val="7"/>
  </w:num>
  <w:num w:numId="8">
    <w:abstractNumId w:val="10"/>
  </w:num>
  <w:num w:numId="9">
    <w:abstractNumId w:val="2"/>
  </w:num>
  <w:num w:numId="10">
    <w:abstractNumId w:val="5"/>
  </w:num>
  <w:num w:numId="11">
    <w:abstractNumId w:val="3"/>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5C3"/>
    <w:rsid w:val="0000558D"/>
    <w:rsid w:val="00033397"/>
    <w:rsid w:val="00040095"/>
    <w:rsid w:val="00046A8A"/>
    <w:rsid w:val="00047D1E"/>
    <w:rsid w:val="00080512"/>
    <w:rsid w:val="00090468"/>
    <w:rsid w:val="0009282C"/>
    <w:rsid w:val="000A083D"/>
    <w:rsid w:val="000B7BCF"/>
    <w:rsid w:val="000C522B"/>
    <w:rsid w:val="000D58AB"/>
    <w:rsid w:val="000D7FC7"/>
    <w:rsid w:val="000E10E0"/>
    <w:rsid w:val="000E5737"/>
    <w:rsid w:val="000F4EE6"/>
    <w:rsid w:val="00101615"/>
    <w:rsid w:val="00112F1A"/>
    <w:rsid w:val="001226BD"/>
    <w:rsid w:val="001400A7"/>
    <w:rsid w:val="00145075"/>
    <w:rsid w:val="001741A0"/>
    <w:rsid w:val="00175FA0"/>
    <w:rsid w:val="001817DF"/>
    <w:rsid w:val="00194CD0"/>
    <w:rsid w:val="00197CE2"/>
    <w:rsid w:val="001A3B08"/>
    <w:rsid w:val="001B2CEF"/>
    <w:rsid w:val="001B49C9"/>
    <w:rsid w:val="001B4B2B"/>
    <w:rsid w:val="001C0188"/>
    <w:rsid w:val="001C4F79"/>
    <w:rsid w:val="001C59FA"/>
    <w:rsid w:val="001F168B"/>
    <w:rsid w:val="001F2AAA"/>
    <w:rsid w:val="001F48E3"/>
    <w:rsid w:val="001F5590"/>
    <w:rsid w:val="001F7831"/>
    <w:rsid w:val="00201573"/>
    <w:rsid w:val="00202F2C"/>
    <w:rsid w:val="00204045"/>
    <w:rsid w:val="0020712B"/>
    <w:rsid w:val="002106D4"/>
    <w:rsid w:val="00225986"/>
    <w:rsid w:val="0022606D"/>
    <w:rsid w:val="00231728"/>
    <w:rsid w:val="00232332"/>
    <w:rsid w:val="002610D8"/>
    <w:rsid w:val="00263FF8"/>
    <w:rsid w:val="0027475F"/>
    <w:rsid w:val="002747EC"/>
    <w:rsid w:val="002768B6"/>
    <w:rsid w:val="002855BF"/>
    <w:rsid w:val="0029124B"/>
    <w:rsid w:val="002A579B"/>
    <w:rsid w:val="002C20EA"/>
    <w:rsid w:val="002D431F"/>
    <w:rsid w:val="002F0D22"/>
    <w:rsid w:val="00300889"/>
    <w:rsid w:val="003050D7"/>
    <w:rsid w:val="00306ED5"/>
    <w:rsid w:val="003159B1"/>
    <w:rsid w:val="003172DC"/>
    <w:rsid w:val="00325AE3"/>
    <w:rsid w:val="00326069"/>
    <w:rsid w:val="00344D89"/>
    <w:rsid w:val="0035462D"/>
    <w:rsid w:val="00356825"/>
    <w:rsid w:val="00364B41"/>
    <w:rsid w:val="00365AEF"/>
    <w:rsid w:val="00367E55"/>
    <w:rsid w:val="00367F01"/>
    <w:rsid w:val="00384473"/>
    <w:rsid w:val="003A22B2"/>
    <w:rsid w:val="003A41EF"/>
    <w:rsid w:val="003A500A"/>
    <w:rsid w:val="003B40AD"/>
    <w:rsid w:val="003C4E37"/>
    <w:rsid w:val="003D6E2D"/>
    <w:rsid w:val="003E16BE"/>
    <w:rsid w:val="003F4E28"/>
    <w:rsid w:val="004006E8"/>
    <w:rsid w:val="00401855"/>
    <w:rsid w:val="00415E5F"/>
    <w:rsid w:val="00464B16"/>
    <w:rsid w:val="00465587"/>
    <w:rsid w:val="0047279B"/>
    <w:rsid w:val="00477455"/>
    <w:rsid w:val="00483B67"/>
    <w:rsid w:val="00492A30"/>
    <w:rsid w:val="004A052E"/>
    <w:rsid w:val="004A1F7B"/>
    <w:rsid w:val="004A2E45"/>
    <w:rsid w:val="004B4C8D"/>
    <w:rsid w:val="004B5B47"/>
    <w:rsid w:val="004C44D2"/>
    <w:rsid w:val="004D3578"/>
    <w:rsid w:val="004D380D"/>
    <w:rsid w:val="004E213A"/>
    <w:rsid w:val="004F284E"/>
    <w:rsid w:val="00501A94"/>
    <w:rsid w:val="00503171"/>
    <w:rsid w:val="00506C28"/>
    <w:rsid w:val="005072D1"/>
    <w:rsid w:val="0053221A"/>
    <w:rsid w:val="00534DA0"/>
    <w:rsid w:val="00543E6C"/>
    <w:rsid w:val="00551F66"/>
    <w:rsid w:val="00555845"/>
    <w:rsid w:val="00560F1A"/>
    <w:rsid w:val="00565087"/>
    <w:rsid w:val="0056573F"/>
    <w:rsid w:val="005B27A7"/>
    <w:rsid w:val="005E3C16"/>
    <w:rsid w:val="00600BF5"/>
    <w:rsid w:val="00604466"/>
    <w:rsid w:val="00611566"/>
    <w:rsid w:val="00634440"/>
    <w:rsid w:val="00640953"/>
    <w:rsid w:val="00646D99"/>
    <w:rsid w:val="00656713"/>
    <w:rsid w:val="00656910"/>
    <w:rsid w:val="006705D0"/>
    <w:rsid w:val="00672837"/>
    <w:rsid w:val="006848DE"/>
    <w:rsid w:val="0069605C"/>
    <w:rsid w:val="006B36D6"/>
    <w:rsid w:val="006C66D8"/>
    <w:rsid w:val="006D1BCE"/>
    <w:rsid w:val="006D1E24"/>
    <w:rsid w:val="006D3739"/>
    <w:rsid w:val="006E1417"/>
    <w:rsid w:val="006F6A2C"/>
    <w:rsid w:val="00710201"/>
    <w:rsid w:val="007342B5"/>
    <w:rsid w:val="00734A5B"/>
    <w:rsid w:val="00744E76"/>
    <w:rsid w:val="00750D9F"/>
    <w:rsid w:val="00757D40"/>
    <w:rsid w:val="007674F1"/>
    <w:rsid w:val="0077247C"/>
    <w:rsid w:val="00781F0F"/>
    <w:rsid w:val="0078727C"/>
    <w:rsid w:val="0079049D"/>
    <w:rsid w:val="00790687"/>
    <w:rsid w:val="00793DC5"/>
    <w:rsid w:val="007B03AA"/>
    <w:rsid w:val="007B18D8"/>
    <w:rsid w:val="007B6492"/>
    <w:rsid w:val="007C095F"/>
    <w:rsid w:val="007C227E"/>
    <w:rsid w:val="007C2DD0"/>
    <w:rsid w:val="007D3893"/>
    <w:rsid w:val="007E7C7B"/>
    <w:rsid w:val="008028A4"/>
    <w:rsid w:val="00813245"/>
    <w:rsid w:val="00822548"/>
    <w:rsid w:val="008262AC"/>
    <w:rsid w:val="0082694A"/>
    <w:rsid w:val="00831DBE"/>
    <w:rsid w:val="00851D33"/>
    <w:rsid w:val="008558F8"/>
    <w:rsid w:val="008705DD"/>
    <w:rsid w:val="0087075F"/>
    <w:rsid w:val="008768CA"/>
    <w:rsid w:val="0087717C"/>
    <w:rsid w:val="00877EF9"/>
    <w:rsid w:val="00880559"/>
    <w:rsid w:val="00887130"/>
    <w:rsid w:val="008903E3"/>
    <w:rsid w:val="00896F2E"/>
    <w:rsid w:val="008A5C89"/>
    <w:rsid w:val="008B0452"/>
    <w:rsid w:val="008B5306"/>
    <w:rsid w:val="008B6358"/>
    <w:rsid w:val="008D0387"/>
    <w:rsid w:val="008D2E4D"/>
    <w:rsid w:val="008D5CC1"/>
    <w:rsid w:val="008E669D"/>
    <w:rsid w:val="008F0B00"/>
    <w:rsid w:val="008F396F"/>
    <w:rsid w:val="009005FA"/>
    <w:rsid w:val="0090271F"/>
    <w:rsid w:val="00902DB9"/>
    <w:rsid w:val="0090466A"/>
    <w:rsid w:val="00924263"/>
    <w:rsid w:val="00936071"/>
    <w:rsid w:val="00940212"/>
    <w:rsid w:val="00942EC2"/>
    <w:rsid w:val="00947B32"/>
    <w:rsid w:val="00961B32"/>
    <w:rsid w:val="00962509"/>
    <w:rsid w:val="00963422"/>
    <w:rsid w:val="00970DB3"/>
    <w:rsid w:val="009739AF"/>
    <w:rsid w:val="00974BB0"/>
    <w:rsid w:val="009A0AF3"/>
    <w:rsid w:val="009A32F1"/>
    <w:rsid w:val="009A3AA4"/>
    <w:rsid w:val="009A5FEE"/>
    <w:rsid w:val="009B07CD"/>
    <w:rsid w:val="009B0817"/>
    <w:rsid w:val="009B57B5"/>
    <w:rsid w:val="009C19E9"/>
    <w:rsid w:val="009C2E06"/>
    <w:rsid w:val="009D74A6"/>
    <w:rsid w:val="00A052CE"/>
    <w:rsid w:val="00A10F02"/>
    <w:rsid w:val="00A204CA"/>
    <w:rsid w:val="00A37318"/>
    <w:rsid w:val="00A4159B"/>
    <w:rsid w:val="00A46092"/>
    <w:rsid w:val="00A46F00"/>
    <w:rsid w:val="00A53724"/>
    <w:rsid w:val="00A53E01"/>
    <w:rsid w:val="00A55F75"/>
    <w:rsid w:val="00A7150A"/>
    <w:rsid w:val="00A82346"/>
    <w:rsid w:val="00A8444D"/>
    <w:rsid w:val="00A92753"/>
    <w:rsid w:val="00A92F24"/>
    <w:rsid w:val="00A9671C"/>
    <w:rsid w:val="00AA1553"/>
    <w:rsid w:val="00AA70D5"/>
    <w:rsid w:val="00AC011B"/>
    <w:rsid w:val="00AC536D"/>
    <w:rsid w:val="00AD4735"/>
    <w:rsid w:val="00AE595F"/>
    <w:rsid w:val="00AE7B71"/>
    <w:rsid w:val="00B002A8"/>
    <w:rsid w:val="00B05380"/>
    <w:rsid w:val="00B05962"/>
    <w:rsid w:val="00B15449"/>
    <w:rsid w:val="00B17D66"/>
    <w:rsid w:val="00B17DBC"/>
    <w:rsid w:val="00B2219D"/>
    <w:rsid w:val="00B22D19"/>
    <w:rsid w:val="00B22F4C"/>
    <w:rsid w:val="00B26A92"/>
    <w:rsid w:val="00B27303"/>
    <w:rsid w:val="00B32142"/>
    <w:rsid w:val="00B42613"/>
    <w:rsid w:val="00B44783"/>
    <w:rsid w:val="00B47FD1"/>
    <w:rsid w:val="00B500A3"/>
    <w:rsid w:val="00B516BB"/>
    <w:rsid w:val="00B62363"/>
    <w:rsid w:val="00B84DB2"/>
    <w:rsid w:val="00BA38CD"/>
    <w:rsid w:val="00BA4443"/>
    <w:rsid w:val="00BC3555"/>
    <w:rsid w:val="00BD1457"/>
    <w:rsid w:val="00BE3E98"/>
    <w:rsid w:val="00BF1B58"/>
    <w:rsid w:val="00C03274"/>
    <w:rsid w:val="00C12B51"/>
    <w:rsid w:val="00C21F41"/>
    <w:rsid w:val="00C24650"/>
    <w:rsid w:val="00C25465"/>
    <w:rsid w:val="00C33079"/>
    <w:rsid w:val="00C541A7"/>
    <w:rsid w:val="00C6240E"/>
    <w:rsid w:val="00C63F23"/>
    <w:rsid w:val="00C6576D"/>
    <w:rsid w:val="00C669B4"/>
    <w:rsid w:val="00C71E03"/>
    <w:rsid w:val="00C83A13"/>
    <w:rsid w:val="00C84B95"/>
    <w:rsid w:val="00C9068C"/>
    <w:rsid w:val="00C92967"/>
    <w:rsid w:val="00CA0B28"/>
    <w:rsid w:val="00CA3D0C"/>
    <w:rsid w:val="00CA654B"/>
    <w:rsid w:val="00CB105E"/>
    <w:rsid w:val="00CB3121"/>
    <w:rsid w:val="00CB72B8"/>
    <w:rsid w:val="00CC0DD1"/>
    <w:rsid w:val="00CD4C7B"/>
    <w:rsid w:val="00CF0DE8"/>
    <w:rsid w:val="00CF635B"/>
    <w:rsid w:val="00D023FD"/>
    <w:rsid w:val="00D13487"/>
    <w:rsid w:val="00D23B2C"/>
    <w:rsid w:val="00D2490C"/>
    <w:rsid w:val="00D24E90"/>
    <w:rsid w:val="00D33BE3"/>
    <w:rsid w:val="00D350C2"/>
    <w:rsid w:val="00D3792D"/>
    <w:rsid w:val="00D37988"/>
    <w:rsid w:val="00D55E47"/>
    <w:rsid w:val="00D61991"/>
    <w:rsid w:val="00D62E19"/>
    <w:rsid w:val="00D67CD1"/>
    <w:rsid w:val="00D72EFE"/>
    <w:rsid w:val="00D738D6"/>
    <w:rsid w:val="00D77A9A"/>
    <w:rsid w:val="00D80795"/>
    <w:rsid w:val="00D836DA"/>
    <w:rsid w:val="00D854BE"/>
    <w:rsid w:val="00D87E00"/>
    <w:rsid w:val="00D90B56"/>
    <w:rsid w:val="00D9134D"/>
    <w:rsid w:val="00D96D11"/>
    <w:rsid w:val="00DA7A03"/>
    <w:rsid w:val="00DB0DB8"/>
    <w:rsid w:val="00DB1818"/>
    <w:rsid w:val="00DC309B"/>
    <w:rsid w:val="00DC38E9"/>
    <w:rsid w:val="00DC4DA2"/>
    <w:rsid w:val="00DC4E25"/>
    <w:rsid w:val="00DF23D0"/>
    <w:rsid w:val="00E06308"/>
    <w:rsid w:val="00E20B99"/>
    <w:rsid w:val="00E236C7"/>
    <w:rsid w:val="00E26168"/>
    <w:rsid w:val="00E35AE0"/>
    <w:rsid w:val="00E46C08"/>
    <w:rsid w:val="00E471CF"/>
    <w:rsid w:val="00E51FFF"/>
    <w:rsid w:val="00E52ADD"/>
    <w:rsid w:val="00E62835"/>
    <w:rsid w:val="00E70D05"/>
    <w:rsid w:val="00E77645"/>
    <w:rsid w:val="00E83697"/>
    <w:rsid w:val="00E845E0"/>
    <w:rsid w:val="00E87090"/>
    <w:rsid w:val="00EB338B"/>
    <w:rsid w:val="00EC4A25"/>
    <w:rsid w:val="00ED0095"/>
    <w:rsid w:val="00ED2B77"/>
    <w:rsid w:val="00F025A2"/>
    <w:rsid w:val="00F02BAF"/>
    <w:rsid w:val="00F07388"/>
    <w:rsid w:val="00F07417"/>
    <w:rsid w:val="00F1091F"/>
    <w:rsid w:val="00F118BB"/>
    <w:rsid w:val="00F14C2F"/>
    <w:rsid w:val="00F15F66"/>
    <w:rsid w:val="00F200BA"/>
    <w:rsid w:val="00F2026E"/>
    <w:rsid w:val="00F2210A"/>
    <w:rsid w:val="00F37743"/>
    <w:rsid w:val="00F54A3D"/>
    <w:rsid w:val="00F54CB0"/>
    <w:rsid w:val="00F653B8"/>
    <w:rsid w:val="00F65CF6"/>
    <w:rsid w:val="00F71B89"/>
    <w:rsid w:val="00F7353C"/>
    <w:rsid w:val="00F76F8F"/>
    <w:rsid w:val="00F83CF4"/>
    <w:rsid w:val="00F941DF"/>
    <w:rsid w:val="00FA1266"/>
    <w:rsid w:val="00FB2AFE"/>
    <w:rsid w:val="00FB36FA"/>
    <w:rsid w:val="00FB3E4E"/>
    <w:rsid w:val="00FB3F65"/>
    <w:rsid w:val="00FB7899"/>
    <w:rsid w:val="00FC1192"/>
    <w:rsid w:val="00FC6AF8"/>
    <w:rsid w:val="00FE251B"/>
    <w:rsid w:val="00FE300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B2Char">
    <w:name w:val="B2 Char"/>
    <w:link w:val="B2"/>
    <w:rsid w:val="009739AF"/>
    <w:rPr>
      <w:lang w:eastAsia="en-US"/>
    </w:rPr>
  </w:style>
  <w:style w:type="character" w:styleId="FollowedHyperlink">
    <w:name w:val="FollowedHyperlink"/>
    <w:basedOn w:val="DefaultParagraphFont"/>
    <w:rsid w:val="00822548"/>
    <w:rPr>
      <w:color w:val="954F72" w:themeColor="followedHyperlink"/>
      <w:u w:val="single"/>
    </w:rPr>
  </w:style>
  <w:style w:type="character" w:styleId="UnresolvedMention">
    <w:name w:val="Unresolved Mention"/>
    <w:basedOn w:val="DefaultParagraphFont"/>
    <w:rsid w:val="00822548"/>
    <w:rPr>
      <w:color w:val="605E5C"/>
      <w:shd w:val="clear" w:color="auto" w:fill="E1DFDD"/>
    </w:rPr>
  </w:style>
  <w:style w:type="table" w:styleId="TableGrid">
    <w:name w:val="Table Grid"/>
    <w:basedOn w:val="TableNormal"/>
    <w:rsid w:val="00C63F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C63F23"/>
    <w:pPr>
      <w:overflowPunct w:val="0"/>
      <w:autoSpaceDE w:val="0"/>
      <w:autoSpaceDN w:val="0"/>
      <w:adjustRightInd w:val="0"/>
      <w:spacing w:line="276" w:lineRule="auto"/>
      <w:textAlignment w:val="baseline"/>
    </w:pPr>
    <w:rPr>
      <w:lang w:eastAsia="en-GB"/>
    </w:rPr>
  </w:style>
  <w:style w:type="character" w:customStyle="1" w:styleId="BodyTextChar">
    <w:name w:val="Body Text Char"/>
    <w:basedOn w:val="DefaultParagraphFont"/>
    <w:link w:val="BodyText"/>
    <w:qFormat/>
    <w:rsid w:val="00C63F23"/>
  </w:style>
  <w:style w:type="paragraph" w:styleId="Caption">
    <w:name w:val="caption"/>
    <w:basedOn w:val="Normal"/>
    <w:next w:val="Normal"/>
    <w:unhideWhenUsed/>
    <w:qFormat/>
    <w:rsid w:val="00B500A3"/>
    <w:pPr>
      <w:spacing w:after="200"/>
    </w:pPr>
    <w:rPr>
      <w:i/>
      <w:iCs/>
      <w:color w:val="44546A" w:themeColor="text2"/>
      <w:sz w:val="18"/>
      <w:szCs w:val="18"/>
    </w:rPr>
  </w:style>
  <w:style w:type="paragraph" w:styleId="ListParagraph">
    <w:name w:val="List Paragraph"/>
    <w:basedOn w:val="Normal"/>
    <w:uiPriority w:val="34"/>
    <w:qFormat/>
    <w:rsid w:val="00BF1B58"/>
    <w:pPr>
      <w:ind w:left="720"/>
      <w:contextualSpacing/>
    </w:pPr>
  </w:style>
  <w:style w:type="character" w:styleId="CommentReference">
    <w:name w:val="annotation reference"/>
    <w:basedOn w:val="DefaultParagraphFont"/>
    <w:rsid w:val="007674F1"/>
    <w:rPr>
      <w:sz w:val="16"/>
      <w:szCs w:val="16"/>
    </w:rPr>
  </w:style>
  <w:style w:type="paragraph" w:styleId="CommentText">
    <w:name w:val="annotation text"/>
    <w:basedOn w:val="Normal"/>
    <w:link w:val="CommentTextChar"/>
    <w:rsid w:val="007674F1"/>
  </w:style>
  <w:style w:type="character" w:customStyle="1" w:styleId="CommentTextChar">
    <w:name w:val="Comment Text Char"/>
    <w:basedOn w:val="DefaultParagraphFont"/>
    <w:link w:val="CommentText"/>
    <w:rsid w:val="007674F1"/>
    <w:rPr>
      <w:lang w:eastAsia="en-US"/>
    </w:rPr>
  </w:style>
  <w:style w:type="paragraph" w:styleId="CommentSubject">
    <w:name w:val="annotation subject"/>
    <w:basedOn w:val="CommentText"/>
    <w:next w:val="CommentText"/>
    <w:link w:val="CommentSubjectChar"/>
    <w:rsid w:val="007674F1"/>
    <w:rPr>
      <w:b/>
      <w:bCs/>
    </w:rPr>
  </w:style>
  <w:style w:type="character" w:customStyle="1" w:styleId="CommentSubjectChar">
    <w:name w:val="Comment Subject Char"/>
    <w:basedOn w:val="CommentTextChar"/>
    <w:link w:val="CommentSubject"/>
    <w:rsid w:val="007674F1"/>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11871756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41282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image" Target="media/image6.w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wmf"/><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w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124D262ABF3014B92361692F3EA03D0" ma:contentTypeVersion="5" ma:contentTypeDescription="Create a new document." ma:contentTypeScope="" ma:versionID="31e4e2664f087d56d8311c3cab0205ea">
  <xsd:schema xmlns:xsd="http://www.w3.org/2001/XMLSchema" xmlns:xs="http://www.w3.org/2001/XMLSchema" xmlns:p="http://schemas.microsoft.com/office/2006/metadata/properties" xmlns:ns2="71c5aaf6-e6ce-465b-b873-5148d2a4c105" xmlns:ns3="0221206f-e176-4a34-be1c-be3ecc5bbb01" xmlns:ns4="http://schemas.microsoft.com/sharepoint/v4" xmlns:ns5="3b34c8f0-1ef5-4d1e-bb66-517ce7fe7356" targetNamespace="http://schemas.microsoft.com/office/2006/metadata/properties" ma:root="true" ma:fieldsID="f3b443f65ff72bd6724fd523f9504966" ns2:_="" ns3:_="" ns4:_="" ns5:_="">
    <xsd:import namespace="71c5aaf6-e6ce-465b-b873-5148d2a4c105"/>
    <xsd:import namespace="0221206f-e176-4a34-be1c-be3ecc5bbb01"/>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221206f-e176-4a34-be1c-be3ecc5bbb0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HideFromDelve xmlns="71c5aaf6-e6ce-465b-b873-5148d2a4c105">false</HideFromDelve>
    <_dlc_DocId xmlns="71c5aaf6-e6ce-465b-b873-5148d2a4c105">5AIRPNAIUNRU-1083777305-698</_dlc_DocId>
    <_dlc_DocIdUrl xmlns="71c5aaf6-e6ce-465b-b873-5148d2a4c105">
      <Url>https://nokia.sharepoint.com/sites/c5g/projects/flexiaccess/_layouts/15/DocIdRedir.aspx?ID=5AIRPNAIUNRU-1083777305-698</Url>
      <Description>5AIRPNAIUNRU-1083777305-698</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4D5ADF-0A81-4C41-B04B-EEC171417A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221206f-e176-4a34-be1c-be3ecc5bbb01"/>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8F05A3-59E5-48F9-B38D-9E40CCD6F88C}">
  <ds:schemaRefs>
    <ds:schemaRef ds:uri="Microsoft.SharePoint.Taxonomy.ContentTypeSync"/>
  </ds:schemaRefs>
</ds:datastoreItem>
</file>

<file path=customXml/itemProps3.xml><?xml version="1.0" encoding="utf-8"?>
<ds:datastoreItem xmlns:ds="http://schemas.openxmlformats.org/officeDocument/2006/customXml" ds:itemID="{B886FA52-180E-473A-B6A3-134375BF43B0}">
  <ds:schemaRefs>
    <ds:schemaRef ds:uri="http://schemas.microsoft.com/sharepoint/events"/>
  </ds:schemaRefs>
</ds:datastoreItem>
</file>

<file path=customXml/itemProps4.xml><?xml version="1.0" encoding="utf-8"?>
<ds:datastoreItem xmlns:ds="http://schemas.openxmlformats.org/officeDocument/2006/customXml" ds:itemID="{A345C44F-2B3E-4DE4-85A6-58A3423A5FE7}">
  <ds:schemaRefs>
    <ds:schemaRef ds:uri="http://schemas.microsoft.com/sharepoint/v3/contenttype/forms"/>
  </ds:schemaRefs>
</ds:datastoreItem>
</file>

<file path=customXml/itemProps5.xml><?xml version="1.0" encoding="utf-8"?>
<ds:datastoreItem xmlns:ds="http://schemas.openxmlformats.org/officeDocument/2006/customXml" ds:itemID="{C4EA0A2C-6F63-4D31-94AB-97D8834AC4A6}">
  <ds:schemaRefs>
    <ds:schemaRef ds:uri="http://schemas.microsoft.com/office/2006/metadata/properties"/>
    <ds:schemaRef ds:uri="http://schemas.microsoft.com/office/infopath/2007/PartnerControls"/>
    <ds:schemaRef ds:uri="http://schemas.microsoft.com/sharepoint/v4"/>
    <ds:schemaRef ds:uri="71c5aaf6-e6ce-465b-b873-5148d2a4c105"/>
  </ds:schemaRefs>
</ds:datastoreItem>
</file>

<file path=customXml/itemProps6.xml><?xml version="1.0" encoding="utf-8"?>
<ds:datastoreItem xmlns:ds="http://schemas.openxmlformats.org/officeDocument/2006/customXml" ds:itemID="{49A0A89F-A476-40A2-A148-9D6781FC28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1236</Words>
  <Characters>6799</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8019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2019-11-04T15:20:00Z</dcterms:created>
  <dcterms:modified xsi:type="dcterms:W3CDTF">2019-11-09T00:16:00Z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0x0101002124D262ABF3014B92361692F3EA03D0</vt:lpwstr>
  </property>
  <property fmtid="{D5CDD505-2E9C-101B-9397-08002B2CF9AE}" pid="3" name="_dlc_DocIdItemGuid">
    <vt:lpwstr>1cc5bf5e-7ef0-44c3-9a5f-90b117cedcc6</vt:lpwstr>
  </property>
</Properties>
</file>