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597" w:rsidRDefault="005D3A12">
      <w:pPr>
        <w:pStyle w:val="3GPPHeader"/>
        <w:spacing w:after="60"/>
        <w:rPr>
          <w:sz w:val="32"/>
          <w:szCs w:val="32"/>
          <w:highlight w:val="yellow"/>
        </w:rPr>
      </w:pPr>
      <w:r w:rsidRPr="00CE0424">
        <w:t>3GPP TSG-RAN WG</w:t>
      </w:r>
      <w:r>
        <w:t>2</w:t>
      </w:r>
      <w:r w:rsidRPr="00CE0424">
        <w:t xml:space="preserve"> #</w:t>
      </w:r>
      <w:r>
        <w:t>AH1807</w:t>
      </w:r>
      <w:r w:rsidR="000154AB">
        <w:tab/>
      </w:r>
      <w:proofErr w:type="spellStart"/>
      <w:r w:rsidR="000154AB">
        <w:rPr>
          <w:sz w:val="32"/>
          <w:szCs w:val="32"/>
        </w:rPr>
        <w:t>Tdoc</w:t>
      </w:r>
      <w:proofErr w:type="spellEnd"/>
      <w:r w:rsidR="000154AB">
        <w:rPr>
          <w:sz w:val="32"/>
          <w:szCs w:val="32"/>
        </w:rPr>
        <w:t xml:space="preserve"> </w:t>
      </w:r>
      <w:r w:rsidR="00A32B68" w:rsidRPr="00A32B68">
        <w:rPr>
          <w:sz w:val="32"/>
          <w:szCs w:val="32"/>
        </w:rPr>
        <w:t>R2-1810195</w:t>
      </w:r>
    </w:p>
    <w:p w:rsidR="00A85597" w:rsidRDefault="005D3A12">
      <w:pPr>
        <w:pStyle w:val="3GPPHeader"/>
        <w:rPr>
          <w:rFonts w:eastAsia="Malgun Gothic"/>
          <w:bCs/>
          <w:lang w:eastAsia="ko-KR"/>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tab/>
      </w:r>
      <w:bookmarkStart w:id="0" w:name="_GoBack"/>
      <w:bookmarkEnd w:id="0"/>
    </w:p>
    <w:p w:rsidR="00A85597" w:rsidRDefault="00A85597">
      <w:pPr>
        <w:pStyle w:val="3GPPHeader"/>
      </w:pPr>
    </w:p>
    <w:p w:rsidR="00A85597" w:rsidRDefault="000154AB">
      <w:pPr>
        <w:pStyle w:val="3GPPHeader"/>
      </w:pPr>
      <w:r>
        <w:t>Agenda Item:</w:t>
      </w:r>
      <w:r>
        <w:tab/>
      </w:r>
      <w:r w:rsidR="00A42F1A">
        <w:t>10.4.2.3</w:t>
      </w:r>
    </w:p>
    <w:p w:rsidR="00A85597" w:rsidRDefault="000154AB">
      <w:pPr>
        <w:pStyle w:val="3GPPHeader"/>
      </w:pPr>
      <w:r>
        <w:t>Source:</w:t>
      </w:r>
      <w:r>
        <w:tab/>
        <w:t>Ericsson</w:t>
      </w:r>
    </w:p>
    <w:p w:rsidR="00A85597" w:rsidRDefault="000154AB">
      <w:pPr>
        <w:pStyle w:val="3GPPHeader"/>
      </w:pPr>
      <w:r>
        <w:t>Title:</w:t>
      </w:r>
      <w:r>
        <w:tab/>
        <w:t xml:space="preserve">Email discussion </w:t>
      </w:r>
      <w:r w:rsidR="00A32B68">
        <w:t>Summary</w:t>
      </w:r>
      <w:r w:rsidR="00B94FE4">
        <w:t xml:space="preserve"> report on </w:t>
      </w:r>
      <w:bookmarkStart w:id="1" w:name="_Hlk514829972"/>
      <w:r>
        <w:t>Inter-system intra-LTE HO [102#</w:t>
      </w:r>
      <w:proofErr w:type="gramStart"/>
      <w:r>
        <w:t>66][</w:t>
      </w:r>
      <w:proofErr w:type="gramEnd"/>
      <w:r>
        <w:t>LTE/5GC]</w:t>
      </w:r>
    </w:p>
    <w:bookmarkEnd w:id="1"/>
    <w:p w:rsidR="00A85597" w:rsidRDefault="000154AB">
      <w:pPr>
        <w:pStyle w:val="3GPPHeader"/>
      </w:pPr>
      <w:r>
        <w:t>Document for:</w:t>
      </w:r>
      <w:r>
        <w:tab/>
        <w:t>Discussion, Decision</w:t>
      </w:r>
    </w:p>
    <w:p w:rsidR="00A85597" w:rsidRDefault="000154AB">
      <w:pPr>
        <w:pStyle w:val="Heading1"/>
      </w:pPr>
      <w:r>
        <w:t>Introduction</w:t>
      </w:r>
    </w:p>
    <w:p w:rsidR="00A85597" w:rsidRDefault="000154AB">
      <w:pPr>
        <w:ind w:right="283"/>
      </w:pPr>
      <w:r>
        <w:t xml:space="preserve">In </w:t>
      </w:r>
      <w:r>
        <w:rPr>
          <w:rFonts w:hint="eastAsia"/>
        </w:rPr>
        <w:t>RAN2</w:t>
      </w:r>
      <w:r>
        <w:t xml:space="preserve">#101, the following agreements were made pertaining to support of larger 5G-S-TMSI in LTE connected to 5GC [1]. </w:t>
      </w:r>
    </w:p>
    <w:p w:rsidR="00A85597" w:rsidRDefault="000154AB">
      <w:pPr>
        <w:rPr>
          <w:rFonts w:cs="Arial"/>
        </w:rPr>
      </w:pPr>
      <w:r>
        <w:rPr>
          <w:rFonts w:cs="Arial"/>
        </w:rPr>
        <w:t xml:space="preserve">For the handover case of LTE inter-RAT inter-system, it was agreed in RAN2#99bis that </w:t>
      </w:r>
      <w:r>
        <w:rPr>
          <w:rFonts w:cs="Arial"/>
        </w:rPr>
        <w:fldChar w:fldCharType="begin"/>
      </w:r>
      <w:r>
        <w:rPr>
          <w:rFonts w:cs="Arial"/>
        </w:rPr>
        <w:instrText xml:space="preserve"> REF _Ref510700928 \r \h </w:instrText>
      </w:r>
      <w:r>
        <w:rPr>
          <w:rFonts w:cs="Arial"/>
        </w:rPr>
      </w:r>
      <w:r>
        <w:rPr>
          <w:rFonts w:cs="Arial"/>
        </w:rPr>
        <w:fldChar w:fldCharType="separate"/>
      </w:r>
      <w:r>
        <w:rPr>
          <w:rFonts w:cs="Arial"/>
        </w:rPr>
        <w:t>[1]</w:t>
      </w:r>
      <w:r>
        <w:rPr>
          <w:rFonts w:cs="Arial"/>
        </w:rPr>
        <w:fldChar w:fldCharType="end"/>
      </w:r>
      <w:r>
        <w:rPr>
          <w:rFonts w:cs="Arial"/>
        </w:rPr>
        <w:t>:</w:t>
      </w:r>
    </w:p>
    <w:p w:rsidR="00A85597" w:rsidRDefault="000154A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Agreements:</w:t>
      </w:r>
    </w:p>
    <w:p w:rsidR="00A85597" w:rsidRDefault="000154A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1</w:t>
      </w:r>
      <w:r>
        <w:rPr>
          <w:rFonts w:ascii="Arial" w:hAnsi="Arial" w:cs="Arial"/>
          <w:sz w:val="20"/>
          <w:szCs w:val="20"/>
        </w:rPr>
        <w:tab/>
        <w:t xml:space="preserve">RAN2 understand that the source </w:t>
      </w:r>
      <w:proofErr w:type="spellStart"/>
      <w:r>
        <w:rPr>
          <w:rFonts w:ascii="Arial" w:hAnsi="Arial" w:cs="Arial"/>
          <w:sz w:val="20"/>
          <w:szCs w:val="20"/>
        </w:rPr>
        <w:t>eNB</w:t>
      </w:r>
      <w:proofErr w:type="spellEnd"/>
      <w:r>
        <w:rPr>
          <w:rFonts w:ascii="Arial" w:hAnsi="Arial" w:cs="Arial"/>
          <w:sz w:val="20"/>
          <w:szCs w:val="20"/>
        </w:rPr>
        <w:t>/ng-</w:t>
      </w:r>
      <w:proofErr w:type="spellStart"/>
      <w:r>
        <w:rPr>
          <w:rFonts w:ascii="Arial" w:hAnsi="Arial" w:cs="Arial"/>
          <w:sz w:val="20"/>
          <w:szCs w:val="20"/>
        </w:rPr>
        <w:t>eNB</w:t>
      </w:r>
      <w:proofErr w:type="spellEnd"/>
      <w:r>
        <w:rPr>
          <w:rFonts w:ascii="Arial" w:hAnsi="Arial" w:cs="Arial"/>
          <w:sz w:val="20"/>
          <w:szCs w:val="20"/>
        </w:rPr>
        <w:t xml:space="preserve"> decides handover procedure to trigger (e.g. via the same CN type or to the other CN type)</w:t>
      </w:r>
    </w:p>
    <w:p w:rsidR="00A85597" w:rsidRDefault="000154A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2</w:t>
      </w:r>
      <w:r>
        <w:rPr>
          <w:rFonts w:ascii="Arial" w:hAnsi="Arial" w:cs="Arial"/>
          <w:sz w:val="20"/>
          <w:szCs w:val="20"/>
        </w:rPr>
        <w:tab/>
        <w:t xml:space="preserve">UE </w:t>
      </w:r>
      <w:proofErr w:type="gramStart"/>
      <w:r>
        <w:rPr>
          <w:rFonts w:ascii="Arial" w:hAnsi="Arial" w:cs="Arial"/>
          <w:sz w:val="20"/>
          <w:szCs w:val="20"/>
        </w:rPr>
        <w:t>has to</w:t>
      </w:r>
      <w:proofErr w:type="gramEnd"/>
      <w:r>
        <w:rPr>
          <w:rFonts w:ascii="Arial" w:hAnsi="Arial" w:cs="Arial"/>
          <w:sz w:val="20"/>
          <w:szCs w:val="20"/>
        </w:rPr>
        <w:t xml:space="preserve"> know the target CN type from the handover command during intra-LTE inter-system HO, intra-LTE intra-system HO</w:t>
      </w:r>
    </w:p>
    <w:p w:rsidR="00A85597" w:rsidRDefault="000154A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FFS: Stage 3 detail whether this is an explicit indication or can be inferred from other information.</w:t>
      </w:r>
    </w:p>
    <w:p w:rsidR="00A85597" w:rsidRDefault="00A85597"/>
    <w:p w:rsidR="00A85597" w:rsidRDefault="000154AB">
      <w:pPr>
        <w:rPr>
          <w:rFonts w:cs="Arial"/>
        </w:rPr>
      </w:pPr>
      <w:r>
        <w:rPr>
          <w:rFonts w:cs="Arial"/>
        </w:rPr>
        <w:t xml:space="preserve">During RAN2#101 it was agreed that </w:t>
      </w:r>
      <w:r>
        <w:rPr>
          <w:rFonts w:cs="Arial"/>
        </w:rPr>
        <w:fldChar w:fldCharType="begin"/>
      </w:r>
      <w:r>
        <w:rPr>
          <w:rFonts w:cs="Arial"/>
        </w:rPr>
        <w:instrText xml:space="preserve"> REF _Ref510700901 \r \h </w:instrText>
      </w:r>
      <w:r>
        <w:rPr>
          <w:rFonts w:cs="Arial"/>
        </w:rPr>
      </w:r>
      <w:r>
        <w:rPr>
          <w:rFonts w:cs="Arial"/>
        </w:rPr>
        <w:fldChar w:fldCharType="separate"/>
      </w:r>
      <w:r>
        <w:rPr>
          <w:rFonts w:cs="Arial"/>
        </w:rPr>
        <w:t>[2]</w:t>
      </w:r>
      <w:r>
        <w:rPr>
          <w:rFonts w:cs="Arial"/>
        </w:rPr>
        <w:fldChar w:fldCharType="end"/>
      </w:r>
      <w:r>
        <w:rPr>
          <w:rFonts w:cs="Arial"/>
        </w:rPr>
        <w:t>:</w:t>
      </w:r>
    </w:p>
    <w:p w:rsidR="00A85597" w:rsidRDefault="000154AB">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Arial"/>
          <w:lang w:eastAsia="en-GB"/>
        </w:rPr>
      </w:pPr>
      <w:r>
        <w:rPr>
          <w:rFonts w:eastAsia="MS Mincho" w:cs="Arial"/>
          <w:lang w:eastAsia="en-GB"/>
        </w:rPr>
        <w:t>4</w:t>
      </w:r>
      <w:r>
        <w:rPr>
          <w:rFonts w:eastAsia="MS Mincho" w:cs="Arial"/>
          <w:lang w:eastAsia="en-GB"/>
        </w:rPr>
        <w:tab/>
        <w:t xml:space="preserve">Security procedures for inter-system handover to E-UTRA/EPC should follow legacy inter-RAT handover procedures i.e. be configured with 36.331 </w:t>
      </w:r>
      <w:proofErr w:type="spellStart"/>
      <w:r>
        <w:rPr>
          <w:rFonts w:eastAsia="MS Mincho" w:cs="Arial"/>
          <w:lang w:eastAsia="en-GB"/>
        </w:rPr>
        <w:t>SecurityConfigHO</w:t>
      </w:r>
      <w:proofErr w:type="spellEnd"/>
      <w:r>
        <w:rPr>
          <w:rFonts w:eastAsia="MS Mincho" w:cs="Arial"/>
          <w:lang w:eastAsia="en-GB"/>
        </w:rPr>
        <w:t>.</w:t>
      </w:r>
    </w:p>
    <w:p w:rsidR="00A85597" w:rsidRDefault="00A85597">
      <w:pPr>
        <w:ind w:right="283"/>
        <w:rPr>
          <w:lang w:val="en-GB"/>
        </w:rPr>
      </w:pPr>
    </w:p>
    <w:p w:rsidR="00A85597" w:rsidRDefault="00A42F1A">
      <w:pPr>
        <w:pStyle w:val="MediumGrid1-Accent21"/>
        <w:spacing w:after="120"/>
        <w:ind w:left="0"/>
        <w:contextualSpacing w:val="0"/>
        <w:rPr>
          <w:lang w:val="en-US"/>
        </w:rPr>
      </w:pPr>
      <w:r>
        <w:rPr>
          <w:lang w:val="en-US"/>
        </w:rPr>
        <w:t>An</w:t>
      </w:r>
      <w:r w:rsidR="000154AB">
        <w:rPr>
          <w:rFonts w:hint="eastAsia"/>
          <w:lang w:val="en-US"/>
        </w:rPr>
        <w:t xml:space="preserve"> </w:t>
      </w:r>
      <w:r w:rsidR="000154AB">
        <w:rPr>
          <w:lang w:val="en-US"/>
        </w:rPr>
        <w:t>offline</w:t>
      </w:r>
      <w:r w:rsidR="000154AB">
        <w:rPr>
          <w:rFonts w:hint="eastAsia"/>
          <w:lang w:val="en-US"/>
        </w:rPr>
        <w:t xml:space="preserve"> discussion</w:t>
      </w:r>
      <w:r w:rsidR="000154AB">
        <w:rPr>
          <w:lang w:val="en-US"/>
        </w:rPr>
        <w:t xml:space="preserve"> #29 was held during RAN2#102 Busan meeting to understand the best approach available to signal the inter-system intra-LTE HO while conveying the CN indication as agreed earlier. </w:t>
      </w:r>
    </w:p>
    <w:p w:rsidR="00A85597" w:rsidRDefault="000154AB">
      <w:pPr>
        <w:spacing w:after="120"/>
      </w:pPr>
      <w:r>
        <w:t xml:space="preserve">Two options were discussed to support inter system mobility between E-UTRA cells </w:t>
      </w:r>
      <w:proofErr w:type="gramStart"/>
      <w:r>
        <w:t>and also</w:t>
      </w:r>
      <w:proofErr w:type="gramEnd"/>
      <w:r>
        <w:t xml:space="preserve"> indicating the CN to the UE during handover. </w:t>
      </w:r>
    </w:p>
    <w:p w:rsidR="00A85597" w:rsidRDefault="00A85597">
      <w:pPr>
        <w:spacing w:after="120"/>
      </w:pPr>
    </w:p>
    <w:p w:rsidR="00A85597" w:rsidRDefault="000154AB">
      <w:pPr>
        <w:spacing w:after="120"/>
        <w:rPr>
          <w:b/>
        </w:rPr>
      </w:pPr>
      <w:r>
        <w:rPr>
          <w:b/>
        </w:rPr>
        <w:t xml:space="preserve">Option 1: </w:t>
      </w:r>
      <w:r>
        <w:t xml:space="preserve">Use </w:t>
      </w:r>
      <w:proofErr w:type="spellStart"/>
      <w:r>
        <w:t>mobiltyfromEUTRACommand</w:t>
      </w:r>
      <w:proofErr w:type="spellEnd"/>
    </w:p>
    <w:p w:rsidR="00A85597" w:rsidRDefault="000154AB">
      <w:pPr>
        <w:spacing w:after="120"/>
        <w:rPr>
          <w:b/>
        </w:rPr>
      </w:pPr>
      <w:r>
        <w:rPr>
          <w:b/>
        </w:rPr>
        <w:t xml:space="preserve">Option 2: </w:t>
      </w:r>
      <w:r>
        <w:t>Use full configuration</w:t>
      </w:r>
      <w:r>
        <w:rPr>
          <w:b/>
        </w:rPr>
        <w:t xml:space="preserve"> </w:t>
      </w:r>
    </w:p>
    <w:p w:rsidR="00A85597" w:rsidRDefault="00A85597">
      <w:pPr>
        <w:pStyle w:val="MediumGrid1-Accent21"/>
        <w:spacing w:after="120"/>
        <w:ind w:left="0"/>
        <w:contextualSpacing w:val="0"/>
        <w:rPr>
          <w:lang w:val="en-US"/>
        </w:rPr>
      </w:pPr>
    </w:p>
    <w:p w:rsidR="00A85597" w:rsidRDefault="000154AB">
      <w:r>
        <w:t xml:space="preserve">It was highlighted by HTC that there is an asymmetric exchange of NAS security parameters between 5GS and EPC since the NAS security parameters are only exchanged in HO command from EPC to 5GC but not the other way </w:t>
      </w:r>
      <w:proofErr w:type="gramStart"/>
      <w:r>
        <w:t>round</w:t>
      </w:r>
      <w:proofErr w:type="gramEnd"/>
      <w:r>
        <w:t xml:space="preserve">. </w:t>
      </w:r>
    </w:p>
    <w:p w:rsidR="00A85597" w:rsidRDefault="000154AB">
      <w:r>
        <w:lastRenderedPageBreak/>
        <w:t xml:space="preserve">An email discussion [2] was assigned to discuss the potential solution for signaling inter system handover while considering the asymmetric exchange of NAS security parameters. </w:t>
      </w:r>
    </w:p>
    <w:p w:rsidR="00A85597" w:rsidRPr="00B94FE4" w:rsidRDefault="00A85597">
      <w:pPr>
        <w:pStyle w:val="ComeBack"/>
        <w:numPr>
          <w:ilvl w:val="0"/>
          <w:numId w:val="0"/>
        </w:numPr>
        <w:overflowPunct/>
        <w:autoSpaceDE/>
        <w:autoSpaceDN/>
        <w:adjustRightInd/>
        <w:ind w:left="1622" w:hanging="1055"/>
        <w:textAlignment w:val="auto"/>
        <w:rPr>
          <w:lang w:val="en-US"/>
        </w:rPr>
      </w:pPr>
      <w:bookmarkStart w:id="2" w:name="_Hlk514829905"/>
    </w:p>
    <w:bookmarkEnd w:id="2"/>
    <w:p w:rsidR="00A85597" w:rsidRPr="00B94FE4" w:rsidRDefault="000154AB">
      <w:pPr>
        <w:pStyle w:val="ComeBack"/>
        <w:rPr>
          <w:lang w:val="en-US"/>
        </w:rPr>
      </w:pPr>
      <w:r w:rsidRPr="00B94FE4">
        <w:rPr>
          <w:lang w:val="en-US"/>
        </w:rPr>
        <w:t>[102#</w:t>
      </w:r>
      <w:proofErr w:type="gramStart"/>
      <w:r>
        <w:rPr>
          <w:lang w:val="sv-SE"/>
        </w:rPr>
        <w:t>66</w:t>
      </w:r>
      <w:r w:rsidRPr="00B94FE4">
        <w:rPr>
          <w:lang w:val="en-US"/>
        </w:rPr>
        <w:t>][</w:t>
      </w:r>
      <w:proofErr w:type="gramEnd"/>
      <w:r w:rsidRPr="00B94FE4">
        <w:rPr>
          <w:lang w:val="en-US"/>
        </w:rPr>
        <w:t>NR and LTE/5GC] inter system handover (Ericsson)</w:t>
      </w:r>
    </w:p>
    <w:p w:rsidR="00A85597" w:rsidRDefault="000154AB">
      <w:pPr>
        <w:pStyle w:val="EmailDiscussion2"/>
      </w:pPr>
      <w:r>
        <w:tab/>
        <w:t>Email discussion with scope as described in R2-1809120. Can also identify questions that need to be asked to other groups.</w:t>
      </w:r>
    </w:p>
    <w:p w:rsidR="00A85597" w:rsidRDefault="000154AB">
      <w:pPr>
        <w:pStyle w:val="EmailDiscussion2"/>
      </w:pPr>
      <w:r>
        <w:tab/>
        <w:t>Intended outcome: Report to next meeting (ad hoc)</w:t>
      </w:r>
    </w:p>
    <w:p w:rsidR="00A85597" w:rsidRDefault="000154AB" w:rsidP="009852B8">
      <w:pPr>
        <w:pStyle w:val="EmailDiscussion2"/>
        <w:rPr>
          <w:lang w:val="en-GB"/>
        </w:rPr>
      </w:pPr>
      <w:r>
        <w:tab/>
        <w:t xml:space="preserve">Deadline:  Thursday 2018-06-14 </w:t>
      </w:r>
    </w:p>
    <w:p w:rsidR="00A85597" w:rsidRDefault="000154AB">
      <w:pPr>
        <w:pStyle w:val="Heading1"/>
      </w:pPr>
      <w:r>
        <w:t>Discussion</w:t>
      </w:r>
    </w:p>
    <w:p w:rsidR="00A85597" w:rsidRDefault="000154AB">
      <w:pPr>
        <w:spacing w:after="120"/>
      </w:pPr>
      <w:r>
        <w:t xml:space="preserve">During the online discussion, two options were discussed to support inter system mobility between E-UTRA cells </w:t>
      </w:r>
      <w:r w:rsidR="00262D0C">
        <w:t>while</w:t>
      </w:r>
      <w:r>
        <w:t xml:space="preserve"> indicating the CN to the UE during handover. </w:t>
      </w:r>
    </w:p>
    <w:p w:rsidR="009852B8" w:rsidRDefault="009852B8">
      <w:pPr>
        <w:spacing w:after="120"/>
      </w:pPr>
    </w:p>
    <w:p w:rsidR="00A85597" w:rsidRDefault="000154AB">
      <w:pPr>
        <w:spacing w:after="120"/>
        <w:rPr>
          <w:b/>
        </w:rPr>
      </w:pPr>
      <w:r>
        <w:rPr>
          <w:b/>
        </w:rPr>
        <w:t xml:space="preserve">Option 1: </w:t>
      </w:r>
      <w:r>
        <w:t xml:space="preserve">Use </w:t>
      </w:r>
      <w:proofErr w:type="spellStart"/>
      <w:r>
        <w:t>mobiltyfromEUTRACommand</w:t>
      </w:r>
      <w:proofErr w:type="spellEnd"/>
    </w:p>
    <w:p w:rsidR="00A85597" w:rsidRDefault="000154AB">
      <w:pPr>
        <w:spacing w:after="120"/>
        <w:rPr>
          <w:b/>
        </w:rPr>
      </w:pPr>
      <w:r>
        <w:rPr>
          <w:b/>
        </w:rPr>
        <w:t xml:space="preserve">Option 2: </w:t>
      </w:r>
      <w:r>
        <w:t>Use full configuration</w:t>
      </w:r>
      <w:r>
        <w:rPr>
          <w:b/>
        </w:rPr>
        <w:t xml:space="preserve"> </w:t>
      </w:r>
    </w:p>
    <w:p w:rsidR="00A85597" w:rsidRDefault="00A85597">
      <w:pPr>
        <w:spacing w:after="120"/>
      </w:pPr>
    </w:p>
    <w:p w:rsidR="00A85597" w:rsidRDefault="000154AB">
      <w:pPr>
        <w:spacing w:after="120"/>
      </w:pPr>
      <w:r>
        <w:t xml:space="preserve">Text Proposals for both </w:t>
      </w:r>
      <w:r w:rsidR="00262D0C">
        <w:t>Approaches</w:t>
      </w:r>
      <w:r>
        <w:t xml:space="preserve"> </w:t>
      </w:r>
      <w:r w:rsidR="00A42F1A">
        <w:t>were discussed</w:t>
      </w:r>
      <w:r>
        <w:t xml:space="preserve"> including a possibility to</w:t>
      </w:r>
    </w:p>
    <w:p w:rsidR="00A85597" w:rsidRDefault="000154AB">
      <w:pPr>
        <w:pStyle w:val="ListParagraph"/>
        <w:numPr>
          <w:ilvl w:val="0"/>
          <w:numId w:val="12"/>
        </w:numPr>
        <w:spacing w:after="120"/>
      </w:pPr>
      <w:r>
        <w:t xml:space="preserve">implicitly indicate the CN to the UE.  </w:t>
      </w:r>
    </w:p>
    <w:p w:rsidR="00A85597" w:rsidRDefault="000154AB">
      <w:pPr>
        <w:pStyle w:val="ListParagraph"/>
        <w:numPr>
          <w:ilvl w:val="0"/>
          <w:numId w:val="12"/>
        </w:numPr>
        <w:spacing w:after="120"/>
      </w:pPr>
      <w:r>
        <w:t>asymmetric exchange of NAS security parameters</w:t>
      </w:r>
    </w:p>
    <w:p w:rsidR="00A85597" w:rsidRDefault="00A85597">
      <w:pPr>
        <w:spacing w:after="120"/>
        <w:rPr>
          <w:b/>
        </w:rPr>
      </w:pPr>
    </w:p>
    <w:p w:rsidR="00A85597" w:rsidRDefault="000154AB">
      <w:pPr>
        <w:pStyle w:val="Heading2"/>
      </w:pPr>
      <w:r>
        <w:t>CN Indication to the UE</w:t>
      </w:r>
    </w:p>
    <w:p w:rsidR="00A85597" w:rsidRDefault="000154AB">
      <w:pPr>
        <w:spacing w:after="120"/>
      </w:pPr>
      <w:r>
        <w:t xml:space="preserve">Both Approach provide an option to implicitly indicate the CN to the UE. </w:t>
      </w:r>
    </w:p>
    <w:p w:rsidR="00A85597" w:rsidRDefault="00A85597">
      <w:pPr>
        <w:spacing w:after="120"/>
      </w:pPr>
    </w:p>
    <w:p w:rsidR="00A85597" w:rsidRDefault="000154AB">
      <w:pPr>
        <w:pStyle w:val="Observation"/>
      </w:pPr>
      <w:bookmarkStart w:id="3" w:name="_Toc514986326"/>
      <w:bookmarkStart w:id="4" w:name="_Toc514964249"/>
      <w:bookmarkStart w:id="5" w:name="_Toc514986559"/>
      <w:bookmarkStart w:id="6" w:name="_Toc516185859"/>
      <w:bookmarkStart w:id="7" w:name="_Toc516185885"/>
      <w:bookmarkStart w:id="8" w:name="_Toc517363900"/>
      <w:r>
        <w:t>Both Approach provide an option to implicitly indicate the CN to the UE.</w:t>
      </w:r>
      <w:bookmarkEnd w:id="3"/>
      <w:bookmarkEnd w:id="4"/>
      <w:bookmarkEnd w:id="5"/>
      <w:bookmarkEnd w:id="6"/>
      <w:bookmarkEnd w:id="7"/>
      <w:bookmarkEnd w:id="8"/>
      <w:r>
        <w:t xml:space="preserve"> </w:t>
      </w:r>
    </w:p>
    <w:p w:rsidR="00A85597" w:rsidRDefault="00A85597">
      <w:pPr>
        <w:spacing w:after="120"/>
      </w:pPr>
    </w:p>
    <w:p w:rsidR="00A85597" w:rsidRDefault="000154AB">
      <w:pPr>
        <w:pStyle w:val="Heading2"/>
      </w:pPr>
      <w:r>
        <w:t xml:space="preserve">Forward Compatible with inter system mobility to NR from E-UTRA: </w:t>
      </w:r>
    </w:p>
    <w:p w:rsidR="00A85597" w:rsidRDefault="00262D0C">
      <w:pPr>
        <w:rPr>
          <w:rFonts w:ascii="Calibri" w:hAnsi="Calibri"/>
        </w:rPr>
      </w:pPr>
      <w:r>
        <w:rPr>
          <w:rFonts w:ascii="Calibri" w:hAnsi="Calibri"/>
        </w:rPr>
        <w:t>O</w:t>
      </w:r>
      <w:r w:rsidR="000154AB">
        <w:rPr>
          <w:rFonts w:ascii="Calibri" w:hAnsi="Calibri"/>
        </w:rPr>
        <w:t xml:space="preserve">ption 1 is also consistent with support for inter RAT inter system HO (E-UTRA - NR) that we have not discussed yet. Option 1 needs to be adopted anyways for inter RAT scenario and it would be much nicer to have an upgradable solution already from intra EUTRA scenario. </w:t>
      </w:r>
    </w:p>
    <w:p w:rsidR="00A85597" w:rsidRDefault="00A85597">
      <w:pPr>
        <w:rPr>
          <w:rFonts w:ascii="Calibri" w:eastAsia="Gulim" w:hAnsi="Calibri" w:cs="Calibri"/>
        </w:rPr>
      </w:pPr>
    </w:p>
    <w:p w:rsidR="00A85597" w:rsidRDefault="00262D0C">
      <w:pPr>
        <w:pStyle w:val="Observation"/>
      </w:pPr>
      <w:bookmarkStart w:id="9" w:name="_Toc514986327"/>
      <w:bookmarkStart w:id="10" w:name="_Toc514964250"/>
      <w:bookmarkStart w:id="11" w:name="_Toc514986560"/>
      <w:bookmarkStart w:id="12" w:name="_Toc516185886"/>
      <w:bookmarkStart w:id="13" w:name="_Toc516185860"/>
      <w:bookmarkStart w:id="14" w:name="_Toc517363901"/>
      <w:r>
        <w:t>O</w:t>
      </w:r>
      <w:r w:rsidR="000154AB">
        <w:t>ption 1 is consistent with support for inter RAT inter system HO (E-UTRA - NR)</w:t>
      </w:r>
      <w:bookmarkEnd w:id="9"/>
      <w:bookmarkEnd w:id="10"/>
      <w:bookmarkEnd w:id="11"/>
      <w:bookmarkEnd w:id="12"/>
      <w:bookmarkEnd w:id="13"/>
      <w:bookmarkEnd w:id="14"/>
    </w:p>
    <w:p w:rsidR="00A85597" w:rsidRDefault="00A85597">
      <w:pPr>
        <w:spacing w:after="120"/>
        <w:rPr>
          <w:b/>
        </w:rPr>
      </w:pPr>
    </w:p>
    <w:p w:rsidR="00A85597" w:rsidRDefault="000154AB">
      <w:pPr>
        <w:pStyle w:val="Heading2"/>
      </w:pPr>
      <w:r>
        <w:lastRenderedPageBreak/>
        <w:t>Asymmetric Security Parameters exchange</w:t>
      </w:r>
    </w:p>
    <w:p w:rsidR="00A85597" w:rsidRDefault="000154AB">
      <w:bookmarkStart w:id="15" w:name="_Hlk514986557"/>
      <w:r>
        <w:t xml:space="preserve">Based on the text in 33.501, there is </w:t>
      </w:r>
      <w:bookmarkStart w:id="16" w:name="_Hlk516185884"/>
      <w:r>
        <w:t xml:space="preserve">an asymmetric exchange of NAS security parameters between 5GS and EPC </w:t>
      </w:r>
      <w:bookmarkEnd w:id="16"/>
      <w:r>
        <w:t xml:space="preserve">since the NAS security parameters are only exchanged in HO command from EPC to 5GC but not the other way </w:t>
      </w:r>
      <w:proofErr w:type="gramStart"/>
      <w:r>
        <w:t>round</w:t>
      </w:r>
      <w:proofErr w:type="gramEnd"/>
      <w:r>
        <w:t xml:space="preserve">. </w:t>
      </w:r>
    </w:p>
    <w:bookmarkEnd w:id="15"/>
    <w:p w:rsidR="00A85597" w:rsidRDefault="000154AB">
      <w:pPr>
        <w:rPr>
          <w:rFonts w:ascii="Times New Roman" w:eastAsia="Times New Roman" w:hAnsi="Times New Roman" w:cs="Times New Roman"/>
          <w:i/>
          <w:sz w:val="20"/>
          <w:szCs w:val="20"/>
        </w:rPr>
      </w:pPr>
      <w:r>
        <w:rPr>
          <w:i/>
        </w:rPr>
        <w:t>“The source AMF shall select the EPS NAS algorithms identifiers (it has stored) to be used in the target MME at interworking handover to EPS, for encryption and integrity protection.”</w:t>
      </w:r>
    </w:p>
    <w:p w:rsidR="00A85597" w:rsidRPr="00B94FE4" w:rsidRDefault="000154AB">
      <w:pPr>
        <w:pStyle w:val="NO"/>
        <w:rPr>
          <w:i/>
          <w:lang w:val="en-US"/>
        </w:rPr>
      </w:pPr>
      <w:r w:rsidRPr="00B94FE4">
        <w:rPr>
          <w:b/>
          <w:i/>
          <w:lang w:val="en-US"/>
        </w:rPr>
        <w:t xml:space="preserve">NOTE </w:t>
      </w:r>
      <w:r>
        <w:rPr>
          <w:b/>
          <w:i/>
          <w:lang w:val="en-GB"/>
        </w:rPr>
        <w:t>2</w:t>
      </w:r>
      <w:r w:rsidRPr="00B94FE4">
        <w:rPr>
          <w:b/>
          <w:i/>
          <w:lang w:val="en-US"/>
        </w:rPr>
        <w:t>:</w:t>
      </w:r>
      <w:r w:rsidRPr="00B94FE4">
        <w:rPr>
          <w:i/>
          <w:lang w:val="en-US"/>
        </w:rPr>
        <w:t xml:space="preserve"> A legacy target MME is expecting to receive the selected EPS NAS algorithms identifiers over N26 from the source AMF as the target MME </w:t>
      </w:r>
      <w:proofErr w:type="spellStart"/>
      <w:r w:rsidRPr="00B94FE4">
        <w:rPr>
          <w:i/>
          <w:lang w:val="en-US"/>
        </w:rPr>
        <w:t>belives</w:t>
      </w:r>
      <w:proofErr w:type="spellEnd"/>
      <w:r w:rsidRPr="00B94FE4">
        <w:rPr>
          <w:i/>
          <w:lang w:val="en-US"/>
        </w:rPr>
        <w:t xml:space="preserve">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rsidR="00A85597" w:rsidRPr="00B94FE4" w:rsidRDefault="00A85597">
      <w:pPr>
        <w:pStyle w:val="NO"/>
        <w:rPr>
          <w:i/>
          <w:lang w:val="en-US"/>
        </w:rPr>
      </w:pPr>
    </w:p>
    <w:p w:rsidR="00A85597" w:rsidRDefault="000154AB">
      <w:pPr>
        <w:pStyle w:val="Observation"/>
      </w:pPr>
      <w:bookmarkStart w:id="17" w:name="_Toc514986328"/>
      <w:bookmarkStart w:id="18" w:name="_Toc516185887"/>
      <w:bookmarkStart w:id="19" w:name="_Toc516185861"/>
      <w:bookmarkStart w:id="20" w:name="_Toc514986561"/>
      <w:bookmarkStart w:id="21" w:name="_Toc517363902"/>
      <w:r>
        <w:t xml:space="preserve">Based on the text in 33.501, there is an asymmetric exchange of NAS security parameters between 5GS and EPC since the NAS security parameters are only exchanged in HO command from EPC to 5GC but not the other way </w:t>
      </w:r>
      <w:proofErr w:type="gramStart"/>
      <w:r>
        <w:t>round</w:t>
      </w:r>
      <w:proofErr w:type="gramEnd"/>
      <w:r>
        <w:t>.</w:t>
      </w:r>
      <w:bookmarkEnd w:id="17"/>
      <w:bookmarkEnd w:id="18"/>
      <w:bookmarkEnd w:id="19"/>
      <w:bookmarkEnd w:id="20"/>
      <w:bookmarkEnd w:id="21"/>
      <w:r>
        <w:t xml:space="preserve"> </w:t>
      </w:r>
    </w:p>
    <w:p w:rsidR="001F3EB9" w:rsidRDefault="000154AB">
      <w:pPr>
        <w:spacing w:after="120"/>
      </w:pPr>
      <w:r>
        <w:t xml:space="preserve">Both the </w:t>
      </w:r>
      <w:r w:rsidR="00262D0C">
        <w:t>options</w:t>
      </w:r>
      <w:r>
        <w:t xml:space="preserve"> support asymmetric exchange of NAS security parameters between 5GS and EPC.</w:t>
      </w:r>
    </w:p>
    <w:p w:rsidR="001F3EB9" w:rsidRDefault="001F3EB9" w:rsidP="001F3EB9">
      <w:pPr>
        <w:pStyle w:val="Heading2"/>
      </w:pPr>
      <w:r>
        <w:t xml:space="preserve">Handover to/from Legacy </w:t>
      </w:r>
      <w:proofErr w:type="spellStart"/>
      <w:r>
        <w:t>eNB</w:t>
      </w:r>
      <w:proofErr w:type="spellEnd"/>
    </w:p>
    <w:p w:rsidR="001F3EB9" w:rsidRPr="00B74C8F" w:rsidRDefault="001F3EB9" w:rsidP="001F3EB9">
      <w:pPr>
        <w:autoSpaceDE w:val="0"/>
        <w:autoSpaceDN w:val="0"/>
        <w:spacing w:after="200" w:line="276" w:lineRule="auto"/>
      </w:pPr>
      <w:r>
        <w:t>There was a concern shown by Sony that w</w:t>
      </w:r>
      <w:r w:rsidRPr="00B74C8F">
        <w:t xml:space="preserve">e should be careful if the solution could work with the legacy </w:t>
      </w:r>
      <w:proofErr w:type="spellStart"/>
      <w:r w:rsidRPr="00B74C8F">
        <w:t>eNB</w:t>
      </w:r>
      <w:proofErr w:type="spellEnd"/>
      <w:r w:rsidRPr="00B74C8F">
        <w:t xml:space="preserve"> for intra LTE case. I</w:t>
      </w:r>
      <w:r>
        <w:t xml:space="preserve">t not possible to support inter system HO with legacy </w:t>
      </w:r>
      <w:proofErr w:type="spellStart"/>
      <w:r>
        <w:t>eNB</w:t>
      </w:r>
      <w:proofErr w:type="spellEnd"/>
      <w:r>
        <w:t xml:space="preserve"> in a symmetric manner without upgrade of legacy </w:t>
      </w:r>
      <w:proofErr w:type="spellStart"/>
      <w:r>
        <w:t>eNB</w:t>
      </w:r>
      <w:proofErr w:type="spellEnd"/>
      <w:r>
        <w:t xml:space="preserve"> since we have the agreement: </w:t>
      </w:r>
    </w:p>
    <w:p w:rsidR="001F3EB9" w:rsidRDefault="001F3EB9" w:rsidP="001F3EB9">
      <w:pPr>
        <w:numPr>
          <w:ilvl w:val="1"/>
          <w:numId w:val="15"/>
        </w:numPr>
        <w:spacing w:line="252" w:lineRule="auto"/>
        <w:rPr>
          <w:rFonts w:eastAsia="Times New Roman"/>
        </w:rPr>
      </w:pPr>
      <w:r>
        <w:rPr>
          <w:rFonts w:eastAsia="Times New Roman"/>
          <w:lang w:val="en-GB"/>
        </w:rPr>
        <w:t xml:space="preserve">RAN2 understand that the source </w:t>
      </w:r>
      <w:proofErr w:type="spellStart"/>
      <w:r>
        <w:rPr>
          <w:rFonts w:eastAsia="Times New Roman"/>
          <w:lang w:val="en-GB"/>
        </w:rPr>
        <w:t>eNB</w:t>
      </w:r>
      <w:proofErr w:type="spellEnd"/>
      <w:r>
        <w:rPr>
          <w:rFonts w:eastAsia="Times New Roman"/>
          <w:lang w:val="en-GB"/>
        </w:rPr>
        <w:t>/ng-</w:t>
      </w:r>
      <w:proofErr w:type="spellStart"/>
      <w:r>
        <w:rPr>
          <w:rFonts w:eastAsia="Times New Roman"/>
          <w:lang w:val="en-GB"/>
        </w:rPr>
        <w:t>eNB</w:t>
      </w:r>
      <w:proofErr w:type="spellEnd"/>
      <w:r>
        <w:rPr>
          <w:rFonts w:eastAsia="Times New Roman"/>
          <w:lang w:val="en-GB"/>
        </w:rPr>
        <w:t xml:space="preserve"> decides handover procedure to trigger (e.g. via the same CN type or to the other CN type)</w:t>
      </w:r>
    </w:p>
    <w:p w:rsidR="001F3EB9" w:rsidRDefault="001F3EB9" w:rsidP="001F3EB9">
      <w:pPr>
        <w:spacing w:line="252" w:lineRule="auto"/>
      </w:pPr>
      <w:r>
        <w:t xml:space="preserve">Source RAN node should be aware about 5GC if it needs to select the handover procedure. Since legacy </w:t>
      </w:r>
      <w:proofErr w:type="spellStart"/>
      <w:r>
        <w:t>eNB</w:t>
      </w:r>
      <w:proofErr w:type="spellEnd"/>
      <w:r>
        <w:t xml:space="preserve"> is not aware about 5GC, it would not be able to handle this trigger during inter system handover from legacy </w:t>
      </w:r>
      <w:proofErr w:type="spellStart"/>
      <w:r>
        <w:t>eNB</w:t>
      </w:r>
      <w:proofErr w:type="spellEnd"/>
      <w:r>
        <w:t xml:space="preserve"> to NG-RAN node. </w:t>
      </w:r>
    </w:p>
    <w:p w:rsidR="001F3EB9" w:rsidRDefault="001F3EB9" w:rsidP="001F3EB9">
      <w:pPr>
        <w:spacing w:line="252" w:lineRule="auto"/>
      </w:pPr>
      <w:proofErr w:type="gramStart"/>
      <w:r>
        <w:t>Also</w:t>
      </w:r>
      <w:proofErr w:type="gramEnd"/>
      <w:r>
        <w:t xml:space="preserve"> from deployment point of view, it would not be common to have legacy </w:t>
      </w:r>
      <w:proofErr w:type="spellStart"/>
      <w:r>
        <w:t>eNB</w:t>
      </w:r>
      <w:proofErr w:type="spellEnd"/>
      <w:r>
        <w:t xml:space="preserve"> and ng-</w:t>
      </w:r>
      <w:proofErr w:type="spellStart"/>
      <w:r>
        <w:t>eNB</w:t>
      </w:r>
      <w:proofErr w:type="spellEnd"/>
      <w:r>
        <w:t xml:space="preserve"> coexisting/ng-</w:t>
      </w:r>
      <w:proofErr w:type="spellStart"/>
      <w:r>
        <w:t>eNB</w:t>
      </w:r>
      <w:proofErr w:type="spellEnd"/>
      <w:r>
        <w:t xml:space="preserve"> deployed in a spotty manner. </w:t>
      </w:r>
    </w:p>
    <w:p w:rsidR="001F3EB9" w:rsidRDefault="001F3EB9" w:rsidP="001F3EB9">
      <w:pPr>
        <w:spacing w:line="252" w:lineRule="auto"/>
      </w:pPr>
      <w:r>
        <w:t xml:space="preserve">Thus, none of options 1 or 2 would be able to support Handover from legacy </w:t>
      </w:r>
      <w:proofErr w:type="spellStart"/>
      <w:r>
        <w:t>eNB</w:t>
      </w:r>
      <w:proofErr w:type="spellEnd"/>
      <w:r>
        <w:t xml:space="preserve"> to a 5GC connected </w:t>
      </w:r>
      <w:proofErr w:type="spellStart"/>
      <w:r>
        <w:t>eNB</w:t>
      </w:r>
      <w:proofErr w:type="spellEnd"/>
      <w:r>
        <w:t xml:space="preserve">. </w:t>
      </w:r>
    </w:p>
    <w:p w:rsidR="00B94FE4" w:rsidRDefault="00B94FE4" w:rsidP="00B94FE4">
      <w:pPr>
        <w:spacing w:line="252" w:lineRule="auto"/>
      </w:pPr>
    </w:p>
    <w:p w:rsidR="00A85597" w:rsidRDefault="00B94FE4" w:rsidP="00B94FE4">
      <w:pPr>
        <w:pStyle w:val="Observation"/>
      </w:pPr>
      <w:bookmarkStart w:id="22" w:name="_Toc517363903"/>
      <w:r>
        <w:rPr>
          <w:lang w:val="en-GB"/>
        </w:rPr>
        <w:t>I</w:t>
      </w:r>
      <w:r>
        <w:t xml:space="preserve">t not possible to support inter system HO with legacy </w:t>
      </w:r>
      <w:proofErr w:type="spellStart"/>
      <w:r>
        <w:t>eNB</w:t>
      </w:r>
      <w:proofErr w:type="spellEnd"/>
      <w:r>
        <w:t xml:space="preserve"> in a symmetric manner without upgrade of legacy </w:t>
      </w:r>
      <w:proofErr w:type="spellStart"/>
      <w:r>
        <w:t>eNB</w:t>
      </w:r>
      <w:bookmarkEnd w:id="22"/>
      <w:proofErr w:type="spellEnd"/>
    </w:p>
    <w:p w:rsidR="00A85597" w:rsidRDefault="000154AB">
      <w:pPr>
        <w:pStyle w:val="Heading2"/>
      </w:pPr>
      <w:r>
        <w:t xml:space="preserve">Companies Input: </w:t>
      </w:r>
    </w:p>
    <w:p w:rsidR="00A85597" w:rsidRDefault="000154AB">
      <w:pPr>
        <w:spacing w:after="120"/>
      </w:pPr>
      <w:r>
        <w:t xml:space="preserve">If there is any other option that companies think should be brought up for discussion, kindly add in the table. </w:t>
      </w:r>
    </w:p>
    <w:p w:rsidR="00A85597" w:rsidRDefault="00A85597">
      <w:pPr>
        <w:spacing w:after="120"/>
      </w:pPr>
    </w:p>
    <w:p w:rsidR="00A85597" w:rsidRDefault="00A85597">
      <w:pPr>
        <w:spacing w:after="120"/>
      </w:pPr>
    </w:p>
    <w:tbl>
      <w:tblPr>
        <w:tblStyle w:val="TableGrid"/>
        <w:tblW w:w="9381" w:type="dxa"/>
        <w:tblLayout w:type="fixed"/>
        <w:tblLook w:val="04A0" w:firstRow="1" w:lastRow="0" w:firstColumn="1" w:lastColumn="0" w:noHBand="0" w:noVBand="1"/>
      </w:tblPr>
      <w:tblGrid>
        <w:gridCol w:w="1129"/>
        <w:gridCol w:w="6267"/>
        <w:gridCol w:w="1985"/>
      </w:tblGrid>
      <w:tr w:rsidR="00A85597">
        <w:tc>
          <w:tcPr>
            <w:tcW w:w="1129" w:type="dxa"/>
          </w:tcPr>
          <w:p w:rsidR="00A85597" w:rsidRDefault="000154AB">
            <w:pPr>
              <w:spacing w:after="120"/>
              <w:rPr>
                <w:b/>
              </w:rPr>
            </w:pPr>
            <w:r>
              <w:rPr>
                <w:b/>
              </w:rPr>
              <w:lastRenderedPageBreak/>
              <w:t xml:space="preserve">Potential </w:t>
            </w:r>
          </w:p>
          <w:p w:rsidR="00A85597" w:rsidRDefault="000154AB">
            <w:pPr>
              <w:spacing w:after="120"/>
              <w:rPr>
                <w:b/>
              </w:rPr>
            </w:pPr>
            <w:r>
              <w:rPr>
                <w:b/>
              </w:rPr>
              <w:t>Solution</w:t>
            </w:r>
          </w:p>
        </w:tc>
        <w:tc>
          <w:tcPr>
            <w:tcW w:w="6267" w:type="dxa"/>
          </w:tcPr>
          <w:p w:rsidR="00A85597" w:rsidRDefault="000154AB">
            <w:pPr>
              <w:spacing w:after="120"/>
              <w:rPr>
                <w:b/>
              </w:rPr>
            </w:pPr>
            <w:r>
              <w:rPr>
                <w:b/>
              </w:rPr>
              <w:t>Explanation</w:t>
            </w:r>
          </w:p>
        </w:tc>
        <w:tc>
          <w:tcPr>
            <w:tcW w:w="1985" w:type="dxa"/>
          </w:tcPr>
          <w:p w:rsidR="00A85597" w:rsidRDefault="000154AB">
            <w:pPr>
              <w:spacing w:after="120"/>
              <w:rPr>
                <w:b/>
              </w:rPr>
            </w:pPr>
            <w:r>
              <w:rPr>
                <w:b/>
              </w:rPr>
              <w:t xml:space="preserve">Supporting Companies </w:t>
            </w:r>
          </w:p>
        </w:tc>
      </w:tr>
      <w:tr w:rsidR="00A85597">
        <w:tc>
          <w:tcPr>
            <w:tcW w:w="1129" w:type="dxa"/>
          </w:tcPr>
          <w:p w:rsidR="00A85597" w:rsidRDefault="000154AB">
            <w:pPr>
              <w:spacing w:after="120"/>
            </w:pPr>
            <w:r>
              <w:t xml:space="preserve">Option 1 </w:t>
            </w:r>
          </w:p>
        </w:tc>
        <w:tc>
          <w:tcPr>
            <w:tcW w:w="6267" w:type="dxa"/>
          </w:tcPr>
          <w:p w:rsidR="00A85597" w:rsidRPr="00B94FE4" w:rsidRDefault="000154AB">
            <w:pPr>
              <w:spacing w:after="120"/>
              <w:rPr>
                <w:lang w:val="en-US"/>
              </w:rPr>
            </w:pPr>
            <w:r>
              <w:rPr>
                <w:lang w:val="en-US"/>
              </w:rPr>
              <w:t xml:space="preserve">Enhance the </w:t>
            </w:r>
            <w:proofErr w:type="spellStart"/>
            <w:r>
              <w:rPr>
                <w:lang w:val="en-US"/>
              </w:rPr>
              <w:t>mobiltyfromEUTRACommand</w:t>
            </w:r>
            <w:proofErr w:type="spellEnd"/>
            <w:r>
              <w:rPr>
                <w:lang w:val="en-US"/>
              </w:rPr>
              <w:t xml:space="preserve"> to include E-UTRA as a target RAT and include the full config inside the target RAT container. </w:t>
            </w:r>
          </w:p>
        </w:tc>
        <w:tc>
          <w:tcPr>
            <w:tcW w:w="1985" w:type="dxa"/>
          </w:tcPr>
          <w:p w:rsidR="00A85597" w:rsidRPr="00B94FE4" w:rsidRDefault="000154AB">
            <w:pPr>
              <w:spacing w:after="120"/>
              <w:rPr>
                <w:rFonts w:eastAsia="SimSun"/>
                <w:lang w:val="en-US"/>
              </w:rPr>
            </w:pPr>
            <w:r>
              <w:rPr>
                <w:lang w:val="en-US"/>
              </w:rPr>
              <w:t xml:space="preserve">Ericsson, Sharp, Huawei, </w:t>
            </w:r>
            <w:proofErr w:type="spellStart"/>
            <w:r>
              <w:rPr>
                <w:lang w:val="en-US"/>
              </w:rPr>
              <w:t>HiSilicon</w:t>
            </w:r>
            <w:proofErr w:type="spellEnd"/>
            <w:r>
              <w:rPr>
                <w:lang w:val="en-US"/>
              </w:rPr>
              <w:t>, Nokia, QC</w:t>
            </w:r>
            <w:r>
              <w:rPr>
                <w:rFonts w:eastAsia="SimSun" w:hint="eastAsia"/>
                <w:lang w:val="en-US"/>
              </w:rPr>
              <w:t>, ZTE</w:t>
            </w:r>
            <w:r w:rsidR="00C70529">
              <w:rPr>
                <w:rFonts w:eastAsia="SimSun"/>
                <w:lang w:val="en-US"/>
              </w:rPr>
              <w:t>, Intel</w:t>
            </w:r>
          </w:p>
        </w:tc>
      </w:tr>
      <w:tr w:rsidR="00A85597">
        <w:tc>
          <w:tcPr>
            <w:tcW w:w="1129" w:type="dxa"/>
          </w:tcPr>
          <w:p w:rsidR="00A85597" w:rsidRDefault="000154AB">
            <w:pPr>
              <w:spacing w:after="120"/>
            </w:pPr>
            <w:r>
              <w:rPr>
                <w:lang w:val="en-US"/>
              </w:rPr>
              <w:t xml:space="preserve">Option 2 </w:t>
            </w:r>
          </w:p>
        </w:tc>
        <w:tc>
          <w:tcPr>
            <w:tcW w:w="6267" w:type="dxa"/>
          </w:tcPr>
          <w:p w:rsidR="00A85597" w:rsidRPr="00B94FE4" w:rsidRDefault="000154AB">
            <w:pPr>
              <w:spacing w:after="120"/>
              <w:rPr>
                <w:lang w:val="en-US"/>
              </w:rPr>
            </w:pPr>
            <w:r>
              <w:rPr>
                <w:lang w:val="en-US"/>
              </w:rPr>
              <w:t>Perform changes in 36.331 specs and perform full config in the RRC connection reconfiguration message</w:t>
            </w:r>
          </w:p>
        </w:tc>
        <w:tc>
          <w:tcPr>
            <w:tcW w:w="1985" w:type="dxa"/>
          </w:tcPr>
          <w:p w:rsidR="00A85597" w:rsidRPr="00B94FE4" w:rsidRDefault="00A85597">
            <w:pPr>
              <w:spacing w:after="120"/>
              <w:rPr>
                <w:lang w:val="en-US"/>
              </w:rPr>
            </w:pPr>
          </w:p>
        </w:tc>
      </w:tr>
      <w:tr w:rsidR="00A85597">
        <w:tc>
          <w:tcPr>
            <w:tcW w:w="1129" w:type="dxa"/>
          </w:tcPr>
          <w:p w:rsidR="00A85597" w:rsidRPr="00B94FE4" w:rsidRDefault="00A85597">
            <w:pPr>
              <w:spacing w:after="120"/>
              <w:rPr>
                <w:lang w:val="en-US"/>
              </w:rPr>
            </w:pPr>
          </w:p>
        </w:tc>
        <w:tc>
          <w:tcPr>
            <w:tcW w:w="6267" w:type="dxa"/>
          </w:tcPr>
          <w:p w:rsidR="00A85597" w:rsidRPr="00B94FE4" w:rsidRDefault="00A85597">
            <w:pPr>
              <w:spacing w:after="120"/>
              <w:rPr>
                <w:lang w:val="en-US"/>
              </w:rPr>
            </w:pPr>
          </w:p>
        </w:tc>
        <w:tc>
          <w:tcPr>
            <w:tcW w:w="1985" w:type="dxa"/>
          </w:tcPr>
          <w:p w:rsidR="00A85597" w:rsidRPr="00B94FE4" w:rsidRDefault="00A85597">
            <w:pPr>
              <w:spacing w:after="120"/>
              <w:rPr>
                <w:lang w:val="en-US"/>
              </w:rPr>
            </w:pPr>
          </w:p>
        </w:tc>
      </w:tr>
    </w:tbl>
    <w:p w:rsidR="00A85597" w:rsidRDefault="00A85597">
      <w:pPr>
        <w:spacing w:after="120"/>
      </w:pPr>
    </w:p>
    <w:p w:rsidR="00A85597" w:rsidRDefault="000154AB">
      <w:pPr>
        <w:spacing w:after="120"/>
      </w:pPr>
      <w:r>
        <w:t xml:space="preserve">Companies comments on options: </w:t>
      </w:r>
    </w:p>
    <w:tbl>
      <w:tblPr>
        <w:tblStyle w:val="TableGrid"/>
        <w:tblW w:w="9629" w:type="dxa"/>
        <w:tblLayout w:type="fixed"/>
        <w:tblLook w:val="04A0" w:firstRow="1" w:lastRow="0" w:firstColumn="1" w:lastColumn="0" w:noHBand="0" w:noVBand="1"/>
      </w:tblPr>
      <w:tblGrid>
        <w:gridCol w:w="1413"/>
        <w:gridCol w:w="8216"/>
      </w:tblGrid>
      <w:tr w:rsidR="00A85597">
        <w:tc>
          <w:tcPr>
            <w:tcW w:w="1413" w:type="dxa"/>
          </w:tcPr>
          <w:p w:rsidR="00A85597" w:rsidRDefault="000154AB">
            <w:pPr>
              <w:spacing w:after="120"/>
            </w:pPr>
            <w:r>
              <w:t>Ericsson</w:t>
            </w:r>
          </w:p>
        </w:tc>
        <w:tc>
          <w:tcPr>
            <w:tcW w:w="8216" w:type="dxa"/>
          </w:tcPr>
          <w:p w:rsidR="00A85597" w:rsidRPr="00B94FE4" w:rsidRDefault="000154AB">
            <w:pPr>
              <w:spacing w:after="120"/>
              <w:rPr>
                <w:lang w:val="en-US"/>
              </w:rPr>
            </w:pPr>
            <w:r>
              <w:rPr>
                <w:lang w:val="en-US"/>
              </w:rPr>
              <w:t>We think that Approach 1 is simple since it has minimum impacts on the 36.331 specs as well as forward compatible with inter system handover between EUTRA and NR.</w:t>
            </w:r>
          </w:p>
          <w:p w:rsidR="00A85597" w:rsidRPr="00B94FE4" w:rsidRDefault="000154AB">
            <w:pPr>
              <w:spacing w:after="120"/>
              <w:rPr>
                <w:lang w:val="en-US"/>
              </w:rPr>
            </w:pPr>
            <w:r>
              <w:rPr>
                <w:lang w:val="en-US"/>
              </w:rPr>
              <w:t xml:space="preserve">From CN indication point of view and asymmetric exchange of </w:t>
            </w:r>
            <w:proofErr w:type="spellStart"/>
            <w:r>
              <w:rPr>
                <w:lang w:val="en-US"/>
              </w:rPr>
              <w:t>nas</w:t>
            </w:r>
            <w:proofErr w:type="spellEnd"/>
            <w:r>
              <w:rPr>
                <w:lang w:val="en-US"/>
              </w:rPr>
              <w:t xml:space="preserve"> security parameters, both approach works equally well. </w:t>
            </w:r>
          </w:p>
        </w:tc>
      </w:tr>
      <w:tr w:rsidR="00A85597">
        <w:tc>
          <w:tcPr>
            <w:tcW w:w="1413" w:type="dxa"/>
          </w:tcPr>
          <w:p w:rsidR="00A85597" w:rsidRPr="00B94FE4" w:rsidRDefault="000154AB">
            <w:pPr>
              <w:spacing w:after="120"/>
              <w:rPr>
                <w:rFonts w:eastAsiaTheme="minorEastAsia"/>
              </w:rPr>
            </w:pPr>
            <w:r>
              <w:rPr>
                <w:rFonts w:eastAsiaTheme="minorEastAsia" w:hint="eastAsia"/>
                <w:lang w:val="en-US"/>
              </w:rPr>
              <w:t>Sharp</w:t>
            </w:r>
          </w:p>
        </w:tc>
        <w:tc>
          <w:tcPr>
            <w:tcW w:w="8216" w:type="dxa"/>
          </w:tcPr>
          <w:p w:rsidR="00A85597" w:rsidRPr="00B94FE4" w:rsidRDefault="000154AB">
            <w:pPr>
              <w:spacing w:after="120"/>
              <w:rPr>
                <w:rFonts w:eastAsiaTheme="minorEastAsia"/>
                <w:lang w:val="en-US"/>
              </w:rPr>
            </w:pPr>
            <w:r>
              <w:rPr>
                <w:rFonts w:eastAsiaTheme="minorEastAsia" w:hint="eastAsia"/>
                <w:lang w:val="en-US"/>
              </w:rPr>
              <w:t>We share</w:t>
            </w:r>
            <w:r>
              <w:rPr>
                <w:rFonts w:eastAsiaTheme="minorEastAsia"/>
                <w:lang w:val="en-US"/>
              </w:rPr>
              <w:t xml:space="preserve"> the view from Ericsson and </w:t>
            </w:r>
            <w:proofErr w:type="gramStart"/>
            <w:r>
              <w:rPr>
                <w:rFonts w:eastAsiaTheme="minorEastAsia" w:hint="eastAsia"/>
                <w:lang w:val="en-US"/>
              </w:rPr>
              <w:t xml:space="preserve">prefer to </w:t>
            </w:r>
            <w:r>
              <w:rPr>
                <w:rFonts w:eastAsiaTheme="minorEastAsia"/>
                <w:lang w:val="en-US"/>
              </w:rPr>
              <w:t>have</w:t>
            </w:r>
            <w:proofErr w:type="gramEnd"/>
            <w:r>
              <w:rPr>
                <w:rFonts w:eastAsiaTheme="minorEastAsia"/>
                <w:lang w:val="en-US"/>
              </w:rPr>
              <w:t xml:space="preserve"> a unique way to deal with inter system handover, either for intra RAT or inter RAT.</w:t>
            </w:r>
          </w:p>
        </w:tc>
      </w:tr>
      <w:tr w:rsidR="00A85597">
        <w:tc>
          <w:tcPr>
            <w:tcW w:w="1413" w:type="dxa"/>
          </w:tcPr>
          <w:p w:rsidR="00A85597" w:rsidRDefault="000154AB">
            <w:pPr>
              <w:spacing w:after="120"/>
            </w:pPr>
            <w:r>
              <w:rPr>
                <w:lang w:val="en-US"/>
              </w:rPr>
              <w:t xml:space="preserve">Huawei, </w:t>
            </w:r>
            <w:proofErr w:type="spellStart"/>
            <w:r>
              <w:rPr>
                <w:lang w:val="en-US"/>
              </w:rPr>
              <w:t>HiSilicon</w:t>
            </w:r>
            <w:proofErr w:type="spellEnd"/>
          </w:p>
        </w:tc>
        <w:tc>
          <w:tcPr>
            <w:tcW w:w="8216" w:type="dxa"/>
          </w:tcPr>
          <w:p w:rsidR="00A85597" w:rsidRPr="00B94FE4" w:rsidRDefault="000154AB">
            <w:pPr>
              <w:spacing w:after="120"/>
              <w:rPr>
                <w:lang w:val="en-US"/>
              </w:rPr>
            </w:pPr>
            <w:r>
              <w:rPr>
                <w:lang w:val="en-US"/>
              </w:rPr>
              <w:t xml:space="preserve">We acknowledge that both option 1 and option 2 are doable. Technically the option 1 is slightly better for implementation. Therefore, we finally decide to vote for option 1. We are also fine if majority of the companies prefer to adopt option 2. If we decide to adopt option 1, we need to be careful with the specification. Since this case is intra-RAT – it is a special case of intra-E-UTRA HO, we need to make sure current inter-RAT section can accommodate this intra-RAT inter-system HO case without causing conflict/confusion. </w:t>
            </w:r>
          </w:p>
        </w:tc>
      </w:tr>
      <w:tr w:rsidR="00A85597">
        <w:tc>
          <w:tcPr>
            <w:tcW w:w="1413" w:type="dxa"/>
          </w:tcPr>
          <w:p w:rsidR="00A85597" w:rsidRDefault="000154AB">
            <w:pPr>
              <w:spacing w:after="120"/>
            </w:pPr>
            <w:r>
              <w:rPr>
                <w:lang w:val="en-US"/>
              </w:rPr>
              <w:t>Nokia</w:t>
            </w:r>
          </w:p>
        </w:tc>
        <w:tc>
          <w:tcPr>
            <w:tcW w:w="8216" w:type="dxa"/>
          </w:tcPr>
          <w:p w:rsidR="00A85597" w:rsidRDefault="000154AB">
            <w:pPr>
              <w:spacing w:after="120"/>
            </w:pPr>
            <w:r>
              <w:rPr>
                <w:lang w:val="en-US"/>
              </w:rPr>
              <w:t>We think that Option 1 is cleaner and more aligned with HO between LTE and NR. However, option 2 is also acceptable</w:t>
            </w:r>
          </w:p>
        </w:tc>
      </w:tr>
      <w:tr w:rsidR="001F3EB9">
        <w:tc>
          <w:tcPr>
            <w:tcW w:w="1413" w:type="dxa"/>
          </w:tcPr>
          <w:p w:rsidR="001F3EB9" w:rsidRDefault="001F3EB9">
            <w:pPr>
              <w:spacing w:after="120"/>
            </w:pPr>
            <w:r>
              <w:t>Sony</w:t>
            </w:r>
          </w:p>
        </w:tc>
        <w:tc>
          <w:tcPr>
            <w:tcW w:w="8216" w:type="dxa"/>
          </w:tcPr>
          <w:p w:rsidR="001F3EB9" w:rsidRPr="00A42F1A" w:rsidRDefault="001F3EB9" w:rsidP="001F3EB9">
            <w:pPr>
              <w:rPr>
                <w:rFonts w:ascii="Calibri" w:hAnsi="Calibri" w:cs="Calibri"/>
                <w:lang w:val="en-GB"/>
              </w:rPr>
            </w:pPr>
            <w:r w:rsidRPr="00A42F1A">
              <w:rPr>
                <w:lang w:val="en-GB"/>
              </w:rPr>
              <w:t xml:space="preserve">We think both options can work from UE point of view and it may be good idea to align the solution for both intra LTE and LTE-NR inter system handover. </w:t>
            </w:r>
          </w:p>
          <w:p w:rsidR="001F3EB9" w:rsidRPr="00B94FE4" w:rsidRDefault="001F3EB9" w:rsidP="00B94FE4">
            <w:pPr>
              <w:rPr>
                <w:color w:val="1F497D"/>
                <w:lang w:val="en-GB"/>
              </w:rPr>
            </w:pPr>
            <w:r w:rsidRPr="00A42F1A">
              <w:rPr>
                <w:lang w:val="en-GB"/>
              </w:rPr>
              <w:t xml:space="preserve">However, we should be careful if the solution could work with the legacy </w:t>
            </w:r>
            <w:proofErr w:type="spellStart"/>
            <w:r w:rsidRPr="00A42F1A">
              <w:rPr>
                <w:lang w:val="en-GB"/>
              </w:rPr>
              <w:t>eNB</w:t>
            </w:r>
            <w:proofErr w:type="spellEnd"/>
            <w:r w:rsidRPr="00A42F1A">
              <w:rPr>
                <w:lang w:val="en-GB"/>
              </w:rPr>
              <w:t xml:space="preserve"> for intra LTE case. In our opinion, option 1 does not work e.g. when source </w:t>
            </w:r>
            <w:proofErr w:type="spellStart"/>
            <w:r w:rsidRPr="00A42F1A">
              <w:rPr>
                <w:lang w:val="en-GB"/>
              </w:rPr>
              <w:t>eNB</w:t>
            </w:r>
            <w:proofErr w:type="spellEnd"/>
            <w:r w:rsidRPr="00A42F1A">
              <w:rPr>
                <w:lang w:val="en-GB"/>
              </w:rPr>
              <w:t xml:space="preserve"> is legacy </w:t>
            </w:r>
            <w:proofErr w:type="spellStart"/>
            <w:r w:rsidRPr="00A42F1A">
              <w:rPr>
                <w:lang w:val="en-GB"/>
              </w:rPr>
              <w:t>eNB</w:t>
            </w:r>
            <w:proofErr w:type="spellEnd"/>
            <w:r w:rsidRPr="00A42F1A">
              <w:rPr>
                <w:lang w:val="en-GB"/>
              </w:rPr>
              <w:t>.</w:t>
            </w:r>
          </w:p>
        </w:tc>
      </w:tr>
      <w:tr w:rsidR="00A85597">
        <w:tc>
          <w:tcPr>
            <w:tcW w:w="1413" w:type="dxa"/>
          </w:tcPr>
          <w:p w:rsidR="00A85597" w:rsidRDefault="000154AB">
            <w:pPr>
              <w:spacing w:after="120"/>
            </w:pPr>
            <w:r>
              <w:rPr>
                <w:lang w:val="en-US"/>
              </w:rPr>
              <w:t>QC</w:t>
            </w:r>
          </w:p>
        </w:tc>
        <w:tc>
          <w:tcPr>
            <w:tcW w:w="8216" w:type="dxa"/>
          </w:tcPr>
          <w:p w:rsidR="00A85597" w:rsidRPr="00B94FE4" w:rsidRDefault="000154AB">
            <w:pPr>
              <w:spacing w:after="120"/>
              <w:rPr>
                <w:lang w:val="en-US"/>
              </w:rPr>
            </w:pPr>
            <w:r>
              <w:rPr>
                <w:lang w:val="en-US"/>
              </w:rPr>
              <w:t xml:space="preserve">We also think both options will work. If we adopt Option1, Option 1 can also be used as common solution for both Intra RAT and Inter </w:t>
            </w:r>
            <w:proofErr w:type="gramStart"/>
            <w:r>
              <w:rPr>
                <w:lang w:val="en-US"/>
              </w:rPr>
              <w:t>RAT ,</w:t>
            </w:r>
            <w:proofErr w:type="gramEnd"/>
            <w:r>
              <w:rPr>
                <w:lang w:val="en-US"/>
              </w:rPr>
              <w:t xml:space="preserve"> Inter System HO cases. </w:t>
            </w:r>
          </w:p>
        </w:tc>
      </w:tr>
      <w:tr w:rsidR="00A85597">
        <w:tc>
          <w:tcPr>
            <w:tcW w:w="1413" w:type="dxa"/>
          </w:tcPr>
          <w:p w:rsidR="00A85597" w:rsidRDefault="000154AB">
            <w:pPr>
              <w:spacing w:after="120"/>
              <w:rPr>
                <w:rFonts w:eastAsia="SimSun"/>
              </w:rPr>
            </w:pPr>
            <w:r>
              <w:rPr>
                <w:rFonts w:eastAsia="SimSun" w:hint="eastAsia"/>
                <w:lang w:val="en-US"/>
              </w:rPr>
              <w:t>ZTE</w:t>
            </w:r>
          </w:p>
        </w:tc>
        <w:tc>
          <w:tcPr>
            <w:tcW w:w="8216" w:type="dxa"/>
          </w:tcPr>
          <w:p w:rsidR="00A85597" w:rsidRPr="00B94FE4" w:rsidRDefault="000154AB">
            <w:pPr>
              <w:spacing w:after="120"/>
              <w:rPr>
                <w:lang w:val="en-US"/>
              </w:rPr>
            </w:pPr>
            <w:r>
              <w:rPr>
                <w:rFonts w:eastAsia="SimSun" w:hint="eastAsia"/>
                <w:lang w:val="en-US"/>
              </w:rPr>
              <w:t>We think both Option 1 and Option 2 can work. Since Option 1 is cleaner and forward compatible with inter system handover between EUTRA and NR, we prefer Option 1.</w:t>
            </w:r>
          </w:p>
        </w:tc>
      </w:tr>
      <w:tr w:rsidR="00C70529">
        <w:tc>
          <w:tcPr>
            <w:tcW w:w="1413" w:type="dxa"/>
          </w:tcPr>
          <w:p w:rsidR="00C70529" w:rsidRDefault="00C70529">
            <w:pPr>
              <w:spacing w:after="120"/>
              <w:rPr>
                <w:rFonts w:eastAsia="SimSun"/>
              </w:rPr>
            </w:pPr>
            <w:r>
              <w:rPr>
                <w:rFonts w:eastAsia="SimSun"/>
              </w:rPr>
              <w:t>Intel</w:t>
            </w:r>
          </w:p>
        </w:tc>
        <w:tc>
          <w:tcPr>
            <w:tcW w:w="8216" w:type="dxa"/>
          </w:tcPr>
          <w:p w:rsidR="00C70529" w:rsidRPr="00B94FE4" w:rsidRDefault="00C70529">
            <w:pPr>
              <w:spacing w:after="120"/>
              <w:rPr>
                <w:rFonts w:eastAsia="SimSun"/>
                <w:lang w:val="en-US"/>
              </w:rPr>
            </w:pPr>
            <w:r w:rsidRPr="00B94FE4">
              <w:rPr>
                <w:rFonts w:eastAsia="SimSun"/>
                <w:lang w:val="en-US"/>
              </w:rPr>
              <w:t xml:space="preserve">Both options can work. As company said, option 1 could be reused for inter system HO covering both intra LTE, and LTE/NR, we are fine to go for this approach. </w:t>
            </w:r>
          </w:p>
        </w:tc>
      </w:tr>
    </w:tbl>
    <w:p w:rsidR="00A85597" w:rsidRDefault="00A85597">
      <w:pPr>
        <w:spacing w:after="120"/>
      </w:pPr>
    </w:p>
    <w:p w:rsidR="001F3EB9" w:rsidRDefault="001F3EB9">
      <w:pPr>
        <w:spacing w:after="120"/>
      </w:pPr>
      <w:r>
        <w:t xml:space="preserve">Based on companies input, all companies except Sony agree to adopt option 1 for intra LTE inter system HO since it is forward compatible with inter system handover between NR and E-UTRA as well. </w:t>
      </w:r>
    </w:p>
    <w:p w:rsidR="00E1334F" w:rsidRPr="00A42F1A" w:rsidRDefault="00E1334F" w:rsidP="00E1334F">
      <w:pPr>
        <w:pStyle w:val="TOC1"/>
        <w:rPr>
          <w:rFonts w:asciiTheme="minorHAnsi" w:hAnsiTheme="minorHAnsi" w:cstheme="minorBidi"/>
          <w:sz w:val="22"/>
          <w:lang w:eastAsia="sv-SE"/>
        </w:rPr>
      </w:pPr>
      <w:r w:rsidRPr="00B94FE4">
        <w:lastRenderedPageBreak/>
        <w:t>Proposal 1</w:t>
      </w:r>
      <w:r w:rsidRPr="00A42F1A">
        <w:rPr>
          <w:rFonts w:asciiTheme="minorHAnsi" w:hAnsiTheme="minorHAnsi" w:cstheme="minorBidi"/>
          <w:sz w:val="22"/>
          <w:lang w:eastAsia="sv-SE"/>
        </w:rPr>
        <w:tab/>
        <w:t>Adopt the CR</w:t>
      </w:r>
      <w:r w:rsidR="00262D0C">
        <w:rPr>
          <w:rFonts w:asciiTheme="minorHAnsi" w:hAnsiTheme="minorHAnsi" w:cstheme="minorBidi"/>
          <w:sz w:val="22"/>
          <w:lang w:eastAsia="sv-SE"/>
        </w:rPr>
        <w:t xml:space="preserve"> </w:t>
      </w:r>
      <w:r w:rsidR="00262D0C" w:rsidRPr="00262D0C">
        <w:rPr>
          <w:rFonts w:asciiTheme="minorHAnsi" w:hAnsiTheme="minorHAnsi" w:cstheme="minorBidi"/>
          <w:sz w:val="22"/>
          <w:lang w:eastAsia="sv-SE"/>
        </w:rPr>
        <w:t>R2-1810197</w:t>
      </w:r>
      <w:r w:rsidR="00262D0C">
        <w:rPr>
          <w:rFonts w:asciiTheme="minorHAnsi" w:hAnsiTheme="minorHAnsi" w:cstheme="minorBidi"/>
          <w:sz w:val="22"/>
          <w:lang w:eastAsia="sv-SE"/>
        </w:rPr>
        <w:t xml:space="preserve"> [4]</w:t>
      </w:r>
      <w:r w:rsidRPr="00262D0C">
        <w:rPr>
          <w:rFonts w:asciiTheme="minorHAnsi" w:hAnsiTheme="minorHAnsi" w:cstheme="minorBidi"/>
          <w:sz w:val="22"/>
          <w:lang w:eastAsia="sv-SE"/>
        </w:rPr>
        <w:t xml:space="preserve"> </w:t>
      </w:r>
      <w:r w:rsidR="00A42F1A" w:rsidRPr="00B94FE4">
        <w:rPr>
          <w:rFonts w:asciiTheme="minorHAnsi" w:hAnsiTheme="minorHAnsi" w:cstheme="minorBidi"/>
          <w:sz w:val="22"/>
          <w:lang w:eastAsia="sv-SE"/>
        </w:rPr>
        <w:t xml:space="preserve">using </w:t>
      </w:r>
      <w:proofErr w:type="spellStart"/>
      <w:r w:rsidR="00A42F1A" w:rsidRPr="00B94FE4">
        <w:t>mobiltyfromEUTRACommand</w:t>
      </w:r>
      <w:proofErr w:type="spellEnd"/>
      <w:r w:rsidR="00A42F1A" w:rsidRPr="00B94FE4">
        <w:rPr>
          <w:rFonts w:asciiTheme="minorHAnsi" w:hAnsiTheme="minorHAnsi" w:cstheme="minorBidi"/>
          <w:sz w:val="22"/>
          <w:lang w:eastAsia="sv-SE"/>
        </w:rPr>
        <w:t xml:space="preserve"> </w:t>
      </w:r>
      <w:r w:rsidR="00B94FE4" w:rsidRPr="00A42F1A">
        <w:rPr>
          <w:rFonts w:asciiTheme="minorHAnsi" w:hAnsiTheme="minorHAnsi" w:cstheme="minorBidi"/>
          <w:sz w:val="22"/>
          <w:lang w:eastAsia="sv-SE"/>
        </w:rPr>
        <w:t xml:space="preserve">for supporting intra LTE inter system handover.  </w:t>
      </w:r>
    </w:p>
    <w:p w:rsidR="00E1334F" w:rsidRDefault="00E1334F">
      <w:pPr>
        <w:spacing w:after="120"/>
      </w:pPr>
    </w:p>
    <w:p w:rsidR="00A85597" w:rsidRDefault="000154AB">
      <w:pPr>
        <w:pStyle w:val="Heading1"/>
      </w:pPr>
      <w:r>
        <w:t>Conclusion</w:t>
      </w:r>
    </w:p>
    <w:p w:rsidR="00B94FE4" w:rsidRDefault="000154AB">
      <w:pPr>
        <w:pStyle w:val="TOC1"/>
      </w:pPr>
      <w:r>
        <w:t xml:space="preserve">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xml:space="preserve"> we made the following observations:</w:t>
      </w:r>
    </w:p>
    <w:p w:rsidR="00B94FE4" w:rsidRDefault="000154AB">
      <w:pPr>
        <w:pStyle w:val="TOC1"/>
        <w:rPr>
          <w:rFonts w:asciiTheme="minorHAnsi" w:hAnsiTheme="minorHAnsi" w:cstheme="minorBidi"/>
          <w:b w:val="0"/>
          <w:noProof/>
          <w:sz w:val="22"/>
          <w:lang w:eastAsia="en-US"/>
        </w:rPr>
      </w:pPr>
      <w:r>
        <w:rPr>
          <w:b w:val="0"/>
          <w:bCs/>
        </w:rPr>
        <w:fldChar w:fldCharType="begin"/>
      </w:r>
      <w:r>
        <w:rPr>
          <w:bCs/>
        </w:rPr>
        <w:instrText xml:space="preserve"> TOC \f \n \t "Observation;1" </w:instrText>
      </w:r>
      <w:r>
        <w:rPr>
          <w:b w:val="0"/>
          <w:bCs/>
        </w:rPr>
        <w:fldChar w:fldCharType="separate"/>
      </w:r>
      <w:r w:rsidR="00B94FE4">
        <w:rPr>
          <w:noProof/>
        </w:rPr>
        <w:t>Observation 1</w:t>
      </w:r>
      <w:r w:rsidR="00B94FE4">
        <w:rPr>
          <w:rFonts w:asciiTheme="minorHAnsi" w:hAnsiTheme="minorHAnsi" w:cstheme="minorBidi"/>
          <w:b w:val="0"/>
          <w:noProof/>
          <w:sz w:val="22"/>
          <w:lang w:eastAsia="en-US"/>
        </w:rPr>
        <w:tab/>
      </w:r>
      <w:r w:rsidR="00B94FE4">
        <w:rPr>
          <w:noProof/>
        </w:rPr>
        <w:t>Both Approach provide an option to implicitly indicate the CN to the UE.</w:t>
      </w:r>
    </w:p>
    <w:p w:rsidR="00B94FE4" w:rsidRDefault="00B94FE4">
      <w:pPr>
        <w:pStyle w:val="TOC1"/>
        <w:rPr>
          <w:rFonts w:asciiTheme="minorHAnsi" w:hAnsiTheme="minorHAnsi" w:cstheme="minorBidi"/>
          <w:b w:val="0"/>
          <w:noProof/>
          <w:sz w:val="22"/>
          <w:lang w:eastAsia="en-US"/>
        </w:rPr>
      </w:pPr>
      <w:r>
        <w:rPr>
          <w:noProof/>
        </w:rPr>
        <w:t>Observation 2</w:t>
      </w:r>
      <w:r>
        <w:rPr>
          <w:rFonts w:asciiTheme="minorHAnsi" w:hAnsiTheme="minorHAnsi" w:cstheme="minorBidi"/>
          <w:b w:val="0"/>
          <w:noProof/>
          <w:sz w:val="22"/>
          <w:lang w:eastAsia="en-US"/>
        </w:rPr>
        <w:tab/>
      </w:r>
      <w:r>
        <w:rPr>
          <w:noProof/>
        </w:rPr>
        <w:t>option 1 is consistent with support for inter RAT inter system HO (E-UTRA - NR)</w:t>
      </w:r>
    </w:p>
    <w:p w:rsidR="00B94FE4" w:rsidRDefault="00B94FE4">
      <w:pPr>
        <w:pStyle w:val="TOC1"/>
        <w:rPr>
          <w:rFonts w:asciiTheme="minorHAnsi" w:hAnsiTheme="minorHAnsi" w:cstheme="minorBidi"/>
          <w:b w:val="0"/>
          <w:noProof/>
          <w:sz w:val="22"/>
          <w:lang w:eastAsia="en-US"/>
        </w:rPr>
      </w:pPr>
      <w:r>
        <w:rPr>
          <w:noProof/>
        </w:rPr>
        <w:t>Observation 3</w:t>
      </w:r>
      <w:r>
        <w:rPr>
          <w:rFonts w:asciiTheme="minorHAnsi" w:hAnsiTheme="minorHAnsi" w:cstheme="minorBidi"/>
          <w:b w:val="0"/>
          <w:noProof/>
          <w:sz w:val="22"/>
          <w:lang w:eastAsia="en-US"/>
        </w:rPr>
        <w:tab/>
      </w:r>
      <w:r>
        <w:rPr>
          <w:noProof/>
        </w:rPr>
        <w:t>Based on the text in 33.501, there is an asymmetric exchange of NAS security parameters between 5GS and EPC since the NAS security parameters are only exchanged in HO command from EPC to 5GC but not the other way round.</w:t>
      </w:r>
    </w:p>
    <w:p w:rsidR="00B94FE4" w:rsidRDefault="00B94FE4">
      <w:pPr>
        <w:pStyle w:val="TOC1"/>
        <w:rPr>
          <w:rFonts w:asciiTheme="minorHAnsi" w:hAnsiTheme="minorHAnsi" w:cstheme="minorBidi"/>
          <w:b w:val="0"/>
          <w:noProof/>
          <w:sz w:val="22"/>
          <w:lang w:eastAsia="en-US"/>
        </w:rPr>
      </w:pPr>
      <w:r>
        <w:rPr>
          <w:noProof/>
        </w:rPr>
        <w:t>Observation 4</w:t>
      </w:r>
      <w:r>
        <w:rPr>
          <w:rFonts w:asciiTheme="minorHAnsi" w:hAnsiTheme="minorHAnsi" w:cstheme="minorBidi"/>
          <w:b w:val="0"/>
          <w:noProof/>
          <w:sz w:val="22"/>
          <w:lang w:eastAsia="en-US"/>
        </w:rPr>
        <w:tab/>
      </w:r>
      <w:r w:rsidRPr="003A2AAD">
        <w:rPr>
          <w:noProof/>
          <w:lang w:val="en-GB"/>
        </w:rPr>
        <w:t>I</w:t>
      </w:r>
      <w:r>
        <w:rPr>
          <w:noProof/>
        </w:rPr>
        <w:t>t not possible to support inter system HO with legacy eNB in a symmetric manner without upgrade of legacy eNB</w:t>
      </w:r>
    </w:p>
    <w:p w:rsidR="00A85597" w:rsidRDefault="000154AB">
      <w:pPr>
        <w:pStyle w:val="BodyText"/>
      </w:pPr>
      <w:r>
        <w:rPr>
          <w:b/>
          <w:bCs/>
        </w:rPr>
        <w:fldChar w:fldCharType="end"/>
      </w:r>
      <w:r w:rsidR="00B94FE4" w:rsidRPr="00B94FE4">
        <w:t xml:space="preserve"> </w:t>
      </w:r>
      <w:r w:rsidR="00B94FE4">
        <w:t xml:space="preserve">In section </w:t>
      </w:r>
      <w:r w:rsidR="00B94FE4">
        <w:rPr>
          <w:highlight w:val="cyan"/>
        </w:rPr>
        <w:fldChar w:fldCharType="begin"/>
      </w:r>
      <w:r w:rsidR="00B94FE4">
        <w:instrText xml:space="preserve"> REF _Ref178064866 \r \h </w:instrText>
      </w:r>
      <w:r w:rsidR="00B94FE4">
        <w:rPr>
          <w:highlight w:val="cyan"/>
        </w:rPr>
      </w:r>
      <w:r w:rsidR="00B94FE4">
        <w:rPr>
          <w:highlight w:val="cyan"/>
        </w:rPr>
        <w:fldChar w:fldCharType="separate"/>
      </w:r>
      <w:r w:rsidR="00B94FE4">
        <w:t>2</w:t>
      </w:r>
      <w:r w:rsidR="00B94FE4">
        <w:rPr>
          <w:highlight w:val="cyan"/>
        </w:rPr>
        <w:fldChar w:fldCharType="end"/>
      </w:r>
      <w:r w:rsidR="00B94FE4">
        <w:t xml:space="preserve"> we made the following proposals:</w:t>
      </w:r>
    </w:p>
    <w:p w:rsidR="00B94FE4" w:rsidRPr="00B94FE4" w:rsidRDefault="00B94FE4" w:rsidP="00B94FE4">
      <w:pPr>
        <w:pStyle w:val="TOC1"/>
        <w:rPr>
          <w:rFonts w:asciiTheme="minorHAnsi" w:hAnsiTheme="minorHAnsi" w:cstheme="minorBidi"/>
          <w:sz w:val="22"/>
          <w:lang w:eastAsia="sv-SE"/>
        </w:rPr>
      </w:pPr>
      <w:r w:rsidRPr="00B94FE4">
        <w:t>Proposal 1</w:t>
      </w:r>
      <w:r w:rsidRPr="00B94FE4">
        <w:rPr>
          <w:rFonts w:asciiTheme="minorHAnsi" w:hAnsiTheme="minorHAnsi" w:cstheme="minorBidi"/>
          <w:sz w:val="22"/>
          <w:lang w:eastAsia="sv-SE"/>
        </w:rPr>
        <w:tab/>
        <w:t xml:space="preserve">Adopt the CR </w:t>
      </w:r>
      <w:r w:rsidR="00262D0C" w:rsidRPr="00262D0C">
        <w:rPr>
          <w:rFonts w:asciiTheme="minorHAnsi" w:hAnsiTheme="minorHAnsi" w:cstheme="minorBidi"/>
          <w:sz w:val="22"/>
          <w:lang w:eastAsia="sv-SE"/>
        </w:rPr>
        <w:t>R2-1810197</w:t>
      </w:r>
      <w:r w:rsidR="00262D0C" w:rsidRPr="00B94FE4">
        <w:rPr>
          <w:rFonts w:asciiTheme="minorHAnsi" w:hAnsiTheme="minorHAnsi" w:cstheme="minorBidi"/>
          <w:sz w:val="22"/>
          <w:lang w:eastAsia="sv-SE"/>
        </w:rPr>
        <w:t xml:space="preserve"> </w:t>
      </w:r>
      <w:r w:rsidRPr="00B94FE4">
        <w:rPr>
          <w:rFonts w:asciiTheme="minorHAnsi" w:hAnsiTheme="minorHAnsi" w:cstheme="minorBidi"/>
          <w:sz w:val="22"/>
          <w:lang w:eastAsia="sv-SE"/>
        </w:rPr>
        <w:t>[4]</w:t>
      </w:r>
      <w:r w:rsidRPr="00B94FE4">
        <w:t xml:space="preserve"> </w:t>
      </w:r>
      <w:r w:rsidRPr="00B94FE4">
        <w:rPr>
          <w:rFonts w:asciiTheme="minorHAnsi" w:hAnsiTheme="minorHAnsi" w:cstheme="minorBidi"/>
          <w:sz w:val="22"/>
          <w:lang w:eastAsia="sv-SE"/>
        </w:rPr>
        <w:t xml:space="preserve">using </w:t>
      </w:r>
      <w:proofErr w:type="spellStart"/>
      <w:r w:rsidRPr="00B94FE4">
        <w:t>mobiltyfromEUTRACommand</w:t>
      </w:r>
      <w:proofErr w:type="spellEnd"/>
      <w:r w:rsidRPr="00B94FE4">
        <w:rPr>
          <w:rFonts w:asciiTheme="minorHAnsi" w:hAnsiTheme="minorHAnsi" w:cstheme="minorBidi"/>
          <w:sz w:val="22"/>
          <w:lang w:eastAsia="sv-SE"/>
        </w:rPr>
        <w:t xml:space="preserve"> for supporting intra LTE inter system handover.  </w:t>
      </w:r>
    </w:p>
    <w:p w:rsidR="00A85597" w:rsidRDefault="000154AB">
      <w:pPr>
        <w:pStyle w:val="Heading1"/>
        <w:widowControl w:val="0"/>
        <w:numPr>
          <w:ilvl w:val="0"/>
          <w:numId w:val="13"/>
        </w:numPr>
        <w:jc w:val="both"/>
        <w:textAlignment w:val="auto"/>
      </w:pPr>
      <w:r>
        <w:t>Reference</w:t>
      </w:r>
      <w:bookmarkStart w:id="23" w:name="_Ref492034341"/>
    </w:p>
    <w:p w:rsidR="00A85597" w:rsidRDefault="00A85597">
      <w:pPr>
        <w:rPr>
          <w:lang w:val="en-GB"/>
        </w:rPr>
      </w:pPr>
    </w:p>
    <w:p w:rsidR="00A85597" w:rsidRDefault="000154AB">
      <w:pPr>
        <w:pStyle w:val="Doc-title"/>
        <w:numPr>
          <w:ilvl w:val="0"/>
          <w:numId w:val="14"/>
        </w:numPr>
        <w:spacing w:before="0"/>
        <w:rPr>
          <w:rFonts w:ascii="Times New Roman" w:hAnsi="Times New Roman"/>
        </w:rPr>
      </w:pPr>
      <w:r>
        <w:rPr>
          <w:rFonts w:ascii="Times New Roman" w:hAnsi="Times New Roman" w:hint="eastAsia"/>
        </w:rPr>
        <w:t>RAN2-101</w:t>
      </w:r>
      <w:r>
        <w:rPr>
          <w:rFonts w:ascii="Times New Roman" w:hAnsi="Times New Roman"/>
          <w:lang w:val="en-US"/>
        </w:rPr>
        <w:t>bis</w:t>
      </w:r>
      <w:r>
        <w:rPr>
          <w:rFonts w:ascii="Times New Roman" w:hAnsi="Times New Roman" w:hint="eastAsia"/>
        </w:rPr>
        <w:t>-</w:t>
      </w:r>
      <w:proofErr w:type="spellStart"/>
      <w:r>
        <w:rPr>
          <w:rFonts w:ascii="Times New Roman" w:hAnsi="Times New Roman"/>
          <w:lang w:val="en-US"/>
        </w:rPr>
        <w:t>Sanya</w:t>
      </w:r>
      <w:proofErr w:type="spellEnd"/>
      <w:r>
        <w:rPr>
          <w:rFonts w:ascii="Times New Roman" w:hAnsi="Times New Roman" w:hint="eastAsia"/>
        </w:rPr>
        <w:t xml:space="preserve"> -chair-notes</w:t>
      </w:r>
    </w:p>
    <w:p w:rsidR="00A85597" w:rsidRDefault="000154AB">
      <w:pPr>
        <w:pStyle w:val="Doc-title"/>
        <w:numPr>
          <w:ilvl w:val="0"/>
          <w:numId w:val="14"/>
        </w:numPr>
        <w:spacing w:before="0"/>
        <w:rPr>
          <w:rFonts w:ascii="Times New Roman" w:hAnsi="Times New Roman"/>
        </w:rPr>
      </w:pPr>
      <w:r>
        <w:rPr>
          <w:rFonts w:ascii="Times New Roman" w:hAnsi="Times New Roman" w:hint="eastAsia"/>
        </w:rPr>
        <w:t>RAN2-10</w:t>
      </w:r>
      <w:r w:rsidRPr="00A42F1A">
        <w:rPr>
          <w:rFonts w:ascii="Times New Roman" w:hAnsi="Times New Roman"/>
        </w:rPr>
        <w:t xml:space="preserve">2 Busan- </w:t>
      </w:r>
      <w:r>
        <w:rPr>
          <w:rFonts w:ascii="Times New Roman" w:hAnsi="Times New Roman" w:hint="eastAsia"/>
        </w:rPr>
        <w:t>chair-notes</w:t>
      </w:r>
    </w:p>
    <w:p w:rsidR="00A85597" w:rsidRPr="00A42F1A" w:rsidRDefault="000154AB" w:rsidP="00A42F1A">
      <w:pPr>
        <w:pStyle w:val="Doc-title"/>
        <w:numPr>
          <w:ilvl w:val="0"/>
          <w:numId w:val="14"/>
        </w:numPr>
        <w:spacing w:before="0"/>
        <w:rPr>
          <w:rFonts w:ascii="Times New Roman" w:hAnsi="Times New Roman"/>
        </w:rPr>
      </w:pPr>
      <w:r w:rsidRPr="00A42F1A">
        <w:rPr>
          <w:rFonts w:ascii="Times New Roman" w:hAnsi="Times New Roman"/>
        </w:rPr>
        <w:t>3GPP TS 23.501, “System Architecture for the 5G System”, (release 15)</w:t>
      </w:r>
      <w:bookmarkEnd w:id="23"/>
      <w:r w:rsidRPr="00A42F1A">
        <w:rPr>
          <w:rFonts w:ascii="Times New Roman" w:hAnsi="Times New Roman"/>
        </w:rPr>
        <w:t xml:space="preserve"> </w:t>
      </w:r>
    </w:p>
    <w:p w:rsidR="00B94FE4" w:rsidRPr="00A42F1A" w:rsidRDefault="00B94FE4" w:rsidP="00A42F1A">
      <w:pPr>
        <w:pStyle w:val="Doc-title"/>
        <w:numPr>
          <w:ilvl w:val="0"/>
          <w:numId w:val="14"/>
        </w:numPr>
        <w:spacing w:before="0"/>
        <w:rPr>
          <w:rFonts w:ascii="Times New Roman" w:hAnsi="Times New Roman"/>
        </w:rPr>
      </w:pPr>
      <w:r w:rsidRPr="00A42F1A">
        <w:rPr>
          <w:rFonts w:ascii="Times New Roman" w:hAnsi="Times New Roman"/>
        </w:rPr>
        <w:t>R2-1810197, Draft CR to 36.331 for intra-LTE inter-system mobility, RAN2#AH1807, Montreal</w:t>
      </w:r>
    </w:p>
    <w:sectPr w:rsidR="00B94FE4" w:rsidRPr="00A42F1A">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754" w:rsidRDefault="001C2754">
      <w:pPr>
        <w:spacing w:after="0" w:line="240" w:lineRule="auto"/>
      </w:pPr>
      <w:r>
        <w:separator/>
      </w:r>
    </w:p>
  </w:endnote>
  <w:endnote w:type="continuationSeparator" w:id="0">
    <w:p w:rsidR="001C2754" w:rsidRDefault="001C2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597" w:rsidRDefault="000154A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0529">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0529">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754" w:rsidRDefault="001C2754">
      <w:pPr>
        <w:spacing w:after="0" w:line="240" w:lineRule="auto"/>
      </w:pPr>
      <w:r>
        <w:separator/>
      </w:r>
    </w:p>
  </w:footnote>
  <w:footnote w:type="continuationSeparator" w:id="0">
    <w:p w:rsidR="001C2754" w:rsidRDefault="001C2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597" w:rsidRDefault="000154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B1010F"/>
    <w:multiLevelType w:val="multilevel"/>
    <w:tmpl w:val="56B10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CE172E"/>
    <w:multiLevelType w:val="hybridMultilevel"/>
    <w:tmpl w:val="DC2E6360"/>
    <w:lvl w:ilvl="0" w:tplc="E0F6EC2C">
      <w:start w:val="1"/>
      <w:numFmt w:val="bullet"/>
      <w:lvlText w:val="›"/>
      <w:lvlJc w:val="left"/>
      <w:pPr>
        <w:tabs>
          <w:tab w:val="num" w:pos="720"/>
        </w:tabs>
        <w:ind w:left="720" w:hanging="360"/>
      </w:pPr>
      <w:rPr>
        <w:rFonts w:ascii="Arial" w:hAnsi="Arial" w:cs="Times New Roman" w:hint="default"/>
      </w:rPr>
    </w:lvl>
    <w:lvl w:ilvl="1" w:tplc="0ED08140">
      <w:numFmt w:val="bullet"/>
      <w:lvlText w:val="–"/>
      <w:lvlJc w:val="left"/>
      <w:pPr>
        <w:tabs>
          <w:tab w:val="num" w:pos="1440"/>
        </w:tabs>
        <w:ind w:left="1440" w:hanging="360"/>
      </w:pPr>
      <w:rPr>
        <w:rFonts w:ascii="Ericsson Capital TT" w:hAnsi="Ericsson Capital TT" w:hint="default"/>
      </w:rPr>
    </w:lvl>
    <w:lvl w:ilvl="2" w:tplc="1A965F56">
      <w:start w:val="1"/>
      <w:numFmt w:val="bullet"/>
      <w:lvlText w:val="›"/>
      <w:lvlJc w:val="left"/>
      <w:pPr>
        <w:tabs>
          <w:tab w:val="num" w:pos="2160"/>
        </w:tabs>
        <w:ind w:left="2160" w:hanging="360"/>
      </w:pPr>
      <w:rPr>
        <w:rFonts w:ascii="Arial" w:hAnsi="Arial" w:cs="Times New Roman" w:hint="default"/>
      </w:rPr>
    </w:lvl>
    <w:lvl w:ilvl="3" w:tplc="D3C822A2">
      <w:start w:val="1"/>
      <w:numFmt w:val="bullet"/>
      <w:lvlText w:val="›"/>
      <w:lvlJc w:val="left"/>
      <w:pPr>
        <w:tabs>
          <w:tab w:val="num" w:pos="2880"/>
        </w:tabs>
        <w:ind w:left="2880" w:hanging="360"/>
      </w:pPr>
      <w:rPr>
        <w:rFonts w:ascii="Arial" w:hAnsi="Arial" w:cs="Times New Roman" w:hint="default"/>
      </w:rPr>
    </w:lvl>
    <w:lvl w:ilvl="4" w:tplc="2B026906">
      <w:start w:val="1"/>
      <w:numFmt w:val="bullet"/>
      <w:lvlText w:val="›"/>
      <w:lvlJc w:val="left"/>
      <w:pPr>
        <w:tabs>
          <w:tab w:val="num" w:pos="3600"/>
        </w:tabs>
        <w:ind w:left="3600" w:hanging="360"/>
      </w:pPr>
      <w:rPr>
        <w:rFonts w:ascii="Arial" w:hAnsi="Arial" w:cs="Times New Roman" w:hint="default"/>
      </w:rPr>
    </w:lvl>
    <w:lvl w:ilvl="5" w:tplc="73588C4C">
      <w:start w:val="1"/>
      <w:numFmt w:val="bullet"/>
      <w:lvlText w:val="›"/>
      <w:lvlJc w:val="left"/>
      <w:pPr>
        <w:tabs>
          <w:tab w:val="num" w:pos="4320"/>
        </w:tabs>
        <w:ind w:left="4320" w:hanging="360"/>
      </w:pPr>
      <w:rPr>
        <w:rFonts w:ascii="Arial" w:hAnsi="Arial" w:cs="Times New Roman" w:hint="default"/>
      </w:rPr>
    </w:lvl>
    <w:lvl w:ilvl="6" w:tplc="A8EE2638">
      <w:start w:val="1"/>
      <w:numFmt w:val="bullet"/>
      <w:lvlText w:val="›"/>
      <w:lvlJc w:val="left"/>
      <w:pPr>
        <w:tabs>
          <w:tab w:val="num" w:pos="5040"/>
        </w:tabs>
        <w:ind w:left="5040" w:hanging="360"/>
      </w:pPr>
      <w:rPr>
        <w:rFonts w:ascii="Arial" w:hAnsi="Arial" w:cs="Times New Roman" w:hint="default"/>
      </w:rPr>
    </w:lvl>
    <w:lvl w:ilvl="7" w:tplc="A01A8C8A">
      <w:start w:val="1"/>
      <w:numFmt w:val="bullet"/>
      <w:lvlText w:val="›"/>
      <w:lvlJc w:val="left"/>
      <w:pPr>
        <w:tabs>
          <w:tab w:val="num" w:pos="5760"/>
        </w:tabs>
        <w:ind w:left="5760" w:hanging="360"/>
      </w:pPr>
      <w:rPr>
        <w:rFonts w:ascii="Arial" w:hAnsi="Arial" w:cs="Times New Roman" w:hint="default"/>
      </w:rPr>
    </w:lvl>
    <w:lvl w:ilvl="8" w:tplc="F4085DE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2"/>
  </w:num>
  <w:num w:numId="4">
    <w:abstractNumId w:val="6"/>
  </w:num>
  <w:num w:numId="5">
    <w:abstractNumId w:val="2"/>
  </w:num>
  <w:num w:numId="6">
    <w:abstractNumId w:val="5"/>
  </w:num>
  <w:num w:numId="7">
    <w:abstractNumId w:val="8"/>
  </w:num>
  <w:num w:numId="8">
    <w:abstractNumId w:val="4"/>
  </w:num>
  <w:num w:numId="9">
    <w:abstractNumId w:val="9"/>
  </w:num>
  <w:num w:numId="10">
    <w:abstractNumId w:val="1"/>
  </w:num>
  <w:num w:numId="11">
    <w:abstractNumId w:val="10"/>
  </w:num>
  <w:num w:numId="12">
    <w:abstractNumId w:val="11"/>
  </w:num>
  <w:num w:numId="13">
    <w:abstractNumId w:val="7"/>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1AE"/>
    <w:rsid w:val="000154AB"/>
    <w:rsid w:val="00015D15"/>
    <w:rsid w:val="00021896"/>
    <w:rsid w:val="00024BA1"/>
    <w:rsid w:val="0002564D"/>
    <w:rsid w:val="00025ECA"/>
    <w:rsid w:val="0003166E"/>
    <w:rsid w:val="000325B8"/>
    <w:rsid w:val="00034C15"/>
    <w:rsid w:val="00036BA1"/>
    <w:rsid w:val="000422E2"/>
    <w:rsid w:val="00042F22"/>
    <w:rsid w:val="000444EF"/>
    <w:rsid w:val="00045D44"/>
    <w:rsid w:val="00052A07"/>
    <w:rsid w:val="000534E3"/>
    <w:rsid w:val="0005606A"/>
    <w:rsid w:val="00057117"/>
    <w:rsid w:val="000616E7"/>
    <w:rsid w:val="0006487E"/>
    <w:rsid w:val="00065E1A"/>
    <w:rsid w:val="000738E3"/>
    <w:rsid w:val="00077E5F"/>
    <w:rsid w:val="0008036A"/>
    <w:rsid w:val="00081252"/>
    <w:rsid w:val="00081AE6"/>
    <w:rsid w:val="0008455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404"/>
    <w:rsid w:val="000F6DF3"/>
    <w:rsid w:val="001005FF"/>
    <w:rsid w:val="001062FB"/>
    <w:rsid w:val="001063E6"/>
    <w:rsid w:val="00113CF4"/>
    <w:rsid w:val="001153EA"/>
    <w:rsid w:val="00115619"/>
    <w:rsid w:val="00115643"/>
    <w:rsid w:val="00116765"/>
    <w:rsid w:val="001219F5"/>
    <w:rsid w:val="00121A20"/>
    <w:rsid w:val="0012377F"/>
    <w:rsid w:val="00124314"/>
    <w:rsid w:val="00126B4A"/>
    <w:rsid w:val="00132FD0"/>
    <w:rsid w:val="001344C0"/>
    <w:rsid w:val="001346FA"/>
    <w:rsid w:val="00135252"/>
    <w:rsid w:val="00137AB5"/>
    <w:rsid w:val="00137F0B"/>
    <w:rsid w:val="00141781"/>
    <w:rsid w:val="00151E23"/>
    <w:rsid w:val="001526E0"/>
    <w:rsid w:val="00152DFB"/>
    <w:rsid w:val="001551B5"/>
    <w:rsid w:val="00155422"/>
    <w:rsid w:val="0016009F"/>
    <w:rsid w:val="001659C1"/>
    <w:rsid w:val="00173A8E"/>
    <w:rsid w:val="00177795"/>
    <w:rsid w:val="0018143F"/>
    <w:rsid w:val="00181A0D"/>
    <w:rsid w:val="00186E34"/>
    <w:rsid w:val="00190AC1"/>
    <w:rsid w:val="0019341A"/>
    <w:rsid w:val="001975C8"/>
    <w:rsid w:val="00197DF9"/>
    <w:rsid w:val="001A1987"/>
    <w:rsid w:val="001A2564"/>
    <w:rsid w:val="001A6173"/>
    <w:rsid w:val="001A6CBA"/>
    <w:rsid w:val="001A79EA"/>
    <w:rsid w:val="001B0D97"/>
    <w:rsid w:val="001B5A5D"/>
    <w:rsid w:val="001C1CE5"/>
    <w:rsid w:val="001C2754"/>
    <w:rsid w:val="001C3D2A"/>
    <w:rsid w:val="001D51BA"/>
    <w:rsid w:val="001D6342"/>
    <w:rsid w:val="001D6D53"/>
    <w:rsid w:val="001E58E2"/>
    <w:rsid w:val="001E74B1"/>
    <w:rsid w:val="001E7AED"/>
    <w:rsid w:val="001F3916"/>
    <w:rsid w:val="001F3EB9"/>
    <w:rsid w:val="001F54C5"/>
    <w:rsid w:val="001F662C"/>
    <w:rsid w:val="001F7074"/>
    <w:rsid w:val="00200490"/>
    <w:rsid w:val="00200DC3"/>
    <w:rsid w:val="00201F3A"/>
    <w:rsid w:val="00203F96"/>
    <w:rsid w:val="002069B2"/>
    <w:rsid w:val="00207FA3"/>
    <w:rsid w:val="00211477"/>
    <w:rsid w:val="0021186F"/>
    <w:rsid w:val="00214DA8"/>
    <w:rsid w:val="00215423"/>
    <w:rsid w:val="002158FA"/>
    <w:rsid w:val="00220600"/>
    <w:rsid w:val="002224DB"/>
    <w:rsid w:val="00223FCB"/>
    <w:rsid w:val="002252C3"/>
    <w:rsid w:val="00225BA5"/>
    <w:rsid w:val="00225C54"/>
    <w:rsid w:val="002261CC"/>
    <w:rsid w:val="00230765"/>
    <w:rsid w:val="002319E4"/>
    <w:rsid w:val="00235632"/>
    <w:rsid w:val="00235872"/>
    <w:rsid w:val="00241559"/>
    <w:rsid w:val="002435B3"/>
    <w:rsid w:val="002458EB"/>
    <w:rsid w:val="002500C8"/>
    <w:rsid w:val="00250744"/>
    <w:rsid w:val="00256492"/>
    <w:rsid w:val="00257543"/>
    <w:rsid w:val="002617E7"/>
    <w:rsid w:val="00262D0C"/>
    <w:rsid w:val="00264228"/>
    <w:rsid w:val="00264334"/>
    <w:rsid w:val="0026473E"/>
    <w:rsid w:val="00266214"/>
    <w:rsid w:val="00266D7F"/>
    <w:rsid w:val="00267C83"/>
    <w:rsid w:val="0027144F"/>
    <w:rsid w:val="00271F3A"/>
    <w:rsid w:val="0027262D"/>
    <w:rsid w:val="00273278"/>
    <w:rsid w:val="002737F4"/>
    <w:rsid w:val="002805F5"/>
    <w:rsid w:val="00280751"/>
    <w:rsid w:val="0028280A"/>
    <w:rsid w:val="0028492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056"/>
    <w:rsid w:val="00336BDA"/>
    <w:rsid w:val="00342BD7"/>
    <w:rsid w:val="00343A07"/>
    <w:rsid w:val="00345648"/>
    <w:rsid w:val="00346DB5"/>
    <w:rsid w:val="003477B1"/>
    <w:rsid w:val="0035491B"/>
    <w:rsid w:val="00357380"/>
    <w:rsid w:val="003602D9"/>
    <w:rsid w:val="003604CE"/>
    <w:rsid w:val="00370E47"/>
    <w:rsid w:val="003742AC"/>
    <w:rsid w:val="0037433F"/>
    <w:rsid w:val="00377CE1"/>
    <w:rsid w:val="00385BF0"/>
    <w:rsid w:val="003939FF"/>
    <w:rsid w:val="003A2223"/>
    <w:rsid w:val="003A2A0F"/>
    <w:rsid w:val="003A45A1"/>
    <w:rsid w:val="003A5B0A"/>
    <w:rsid w:val="003A6BAC"/>
    <w:rsid w:val="003A7EF3"/>
    <w:rsid w:val="003B033D"/>
    <w:rsid w:val="003B159C"/>
    <w:rsid w:val="003B369F"/>
    <w:rsid w:val="003B36A3"/>
    <w:rsid w:val="003B3BAC"/>
    <w:rsid w:val="003B460B"/>
    <w:rsid w:val="003B5541"/>
    <w:rsid w:val="003B7FE5"/>
    <w:rsid w:val="003C11C8"/>
    <w:rsid w:val="003C2702"/>
    <w:rsid w:val="003C7806"/>
    <w:rsid w:val="003D109F"/>
    <w:rsid w:val="003D2478"/>
    <w:rsid w:val="003D3C45"/>
    <w:rsid w:val="003D5B1F"/>
    <w:rsid w:val="003E15FA"/>
    <w:rsid w:val="003E55E4"/>
    <w:rsid w:val="003E74E3"/>
    <w:rsid w:val="003F05C7"/>
    <w:rsid w:val="003F2C04"/>
    <w:rsid w:val="003F2CD4"/>
    <w:rsid w:val="003F6BBE"/>
    <w:rsid w:val="004000E8"/>
    <w:rsid w:val="00400BAE"/>
    <w:rsid w:val="00401872"/>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496"/>
    <w:rsid w:val="00492538"/>
    <w:rsid w:val="00492BC5"/>
    <w:rsid w:val="004964F1"/>
    <w:rsid w:val="004A16BC"/>
    <w:rsid w:val="004A2B94"/>
    <w:rsid w:val="004B7C0C"/>
    <w:rsid w:val="004C2DB9"/>
    <w:rsid w:val="004C3898"/>
    <w:rsid w:val="004D09C3"/>
    <w:rsid w:val="004D2C7B"/>
    <w:rsid w:val="004D36B1"/>
    <w:rsid w:val="004D7EBD"/>
    <w:rsid w:val="004E2680"/>
    <w:rsid w:val="004E28F9"/>
    <w:rsid w:val="004E462E"/>
    <w:rsid w:val="004E56DC"/>
    <w:rsid w:val="004E76F4"/>
    <w:rsid w:val="004F0B4E"/>
    <w:rsid w:val="004F0B6C"/>
    <w:rsid w:val="004F2078"/>
    <w:rsid w:val="004F4DA3"/>
    <w:rsid w:val="00501932"/>
    <w:rsid w:val="00506557"/>
    <w:rsid w:val="0050677A"/>
    <w:rsid w:val="005108D8"/>
    <w:rsid w:val="005116F9"/>
    <w:rsid w:val="0051366B"/>
    <w:rsid w:val="005153A7"/>
    <w:rsid w:val="0051602E"/>
    <w:rsid w:val="005219CF"/>
    <w:rsid w:val="00534B59"/>
    <w:rsid w:val="00536759"/>
    <w:rsid w:val="005368D1"/>
    <w:rsid w:val="00537C62"/>
    <w:rsid w:val="00546970"/>
    <w:rsid w:val="00554E19"/>
    <w:rsid w:val="0056121F"/>
    <w:rsid w:val="00572505"/>
    <w:rsid w:val="00580A82"/>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3A12"/>
    <w:rsid w:val="005D5AB4"/>
    <w:rsid w:val="005D766F"/>
    <w:rsid w:val="005E03C7"/>
    <w:rsid w:val="005E385F"/>
    <w:rsid w:val="005E5B81"/>
    <w:rsid w:val="005E714F"/>
    <w:rsid w:val="005F2063"/>
    <w:rsid w:val="005F2CB1"/>
    <w:rsid w:val="005F3025"/>
    <w:rsid w:val="005F618C"/>
    <w:rsid w:val="005F70BD"/>
    <w:rsid w:val="0060283C"/>
    <w:rsid w:val="00604F14"/>
    <w:rsid w:val="00611B83"/>
    <w:rsid w:val="006125F6"/>
    <w:rsid w:val="00613257"/>
    <w:rsid w:val="00620A71"/>
    <w:rsid w:val="00620D80"/>
    <w:rsid w:val="006234A6"/>
    <w:rsid w:val="00630001"/>
    <w:rsid w:val="006301AA"/>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0D"/>
    <w:rsid w:val="00675C72"/>
    <w:rsid w:val="006771F9"/>
    <w:rsid w:val="006776D7"/>
    <w:rsid w:val="00681003"/>
    <w:rsid w:val="006814FC"/>
    <w:rsid w:val="006817C9"/>
    <w:rsid w:val="00683ECE"/>
    <w:rsid w:val="00690FE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6FB"/>
    <w:rsid w:val="006D1E26"/>
    <w:rsid w:val="006D6F08"/>
    <w:rsid w:val="006E062C"/>
    <w:rsid w:val="006E28B7"/>
    <w:rsid w:val="006E3310"/>
    <w:rsid w:val="006E4E39"/>
    <w:rsid w:val="006E565E"/>
    <w:rsid w:val="006E673D"/>
    <w:rsid w:val="006E739C"/>
    <w:rsid w:val="006E7D3B"/>
    <w:rsid w:val="006F1B70"/>
    <w:rsid w:val="006F278A"/>
    <w:rsid w:val="006F341D"/>
    <w:rsid w:val="006F3CDE"/>
    <w:rsid w:val="006F58D4"/>
    <w:rsid w:val="006F788B"/>
    <w:rsid w:val="00700EF5"/>
    <w:rsid w:val="0070346E"/>
    <w:rsid w:val="00704EDB"/>
    <w:rsid w:val="00706101"/>
    <w:rsid w:val="00707072"/>
    <w:rsid w:val="00707D61"/>
    <w:rsid w:val="00710DF3"/>
    <w:rsid w:val="00712287"/>
    <w:rsid w:val="00712772"/>
    <w:rsid w:val="007148D3"/>
    <w:rsid w:val="00715B9A"/>
    <w:rsid w:val="00724C39"/>
    <w:rsid w:val="00726EA6"/>
    <w:rsid w:val="00727208"/>
    <w:rsid w:val="00727680"/>
    <w:rsid w:val="007348B1"/>
    <w:rsid w:val="007362A6"/>
    <w:rsid w:val="00736D7D"/>
    <w:rsid w:val="00740E58"/>
    <w:rsid w:val="00742BA6"/>
    <w:rsid w:val="00742F8C"/>
    <w:rsid w:val="007445A0"/>
    <w:rsid w:val="0074524B"/>
    <w:rsid w:val="00747D8B"/>
    <w:rsid w:val="00751228"/>
    <w:rsid w:val="0075222B"/>
    <w:rsid w:val="007571E1"/>
    <w:rsid w:val="007604B2"/>
    <w:rsid w:val="00765281"/>
    <w:rsid w:val="00766BAD"/>
    <w:rsid w:val="007730BD"/>
    <w:rsid w:val="007755F2"/>
    <w:rsid w:val="00776971"/>
    <w:rsid w:val="00777D34"/>
    <w:rsid w:val="0078177E"/>
    <w:rsid w:val="0078304C"/>
    <w:rsid w:val="00783673"/>
    <w:rsid w:val="00785490"/>
    <w:rsid w:val="00791112"/>
    <w:rsid w:val="007925EA"/>
    <w:rsid w:val="00793CD8"/>
    <w:rsid w:val="00795C92"/>
    <w:rsid w:val="00796231"/>
    <w:rsid w:val="007A1CB3"/>
    <w:rsid w:val="007A306F"/>
    <w:rsid w:val="007A43A6"/>
    <w:rsid w:val="007A58A6"/>
    <w:rsid w:val="007B3D2D"/>
    <w:rsid w:val="007B50AE"/>
    <w:rsid w:val="007B51DF"/>
    <w:rsid w:val="007C05DD"/>
    <w:rsid w:val="007C13CA"/>
    <w:rsid w:val="007C3D18"/>
    <w:rsid w:val="007C57E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560"/>
    <w:rsid w:val="00827D6F"/>
    <w:rsid w:val="0083662D"/>
    <w:rsid w:val="008376AC"/>
    <w:rsid w:val="008444E8"/>
    <w:rsid w:val="00844E80"/>
    <w:rsid w:val="00845137"/>
    <w:rsid w:val="00846FE7"/>
    <w:rsid w:val="00854F97"/>
    <w:rsid w:val="00856911"/>
    <w:rsid w:val="00866BC6"/>
    <w:rsid w:val="008677FD"/>
    <w:rsid w:val="008706D4"/>
    <w:rsid w:val="00870F8A"/>
    <w:rsid w:val="008719A4"/>
    <w:rsid w:val="00871D23"/>
    <w:rsid w:val="00874312"/>
    <w:rsid w:val="0087437C"/>
    <w:rsid w:val="00875CD7"/>
    <w:rsid w:val="00876701"/>
    <w:rsid w:val="00876B4D"/>
    <w:rsid w:val="008775A8"/>
    <w:rsid w:val="00877F18"/>
    <w:rsid w:val="008809E4"/>
    <w:rsid w:val="00884D25"/>
    <w:rsid w:val="00894A88"/>
    <w:rsid w:val="00895386"/>
    <w:rsid w:val="008A0593"/>
    <w:rsid w:val="008A14F3"/>
    <w:rsid w:val="008A21FF"/>
    <w:rsid w:val="008A2CE2"/>
    <w:rsid w:val="008A30AC"/>
    <w:rsid w:val="008A44B8"/>
    <w:rsid w:val="008A51A8"/>
    <w:rsid w:val="008A54C7"/>
    <w:rsid w:val="008A77D8"/>
    <w:rsid w:val="008B0483"/>
    <w:rsid w:val="008B120C"/>
    <w:rsid w:val="008B4C4F"/>
    <w:rsid w:val="008B51A0"/>
    <w:rsid w:val="008B592A"/>
    <w:rsid w:val="008B6B21"/>
    <w:rsid w:val="008B7B5C"/>
    <w:rsid w:val="008C0C99"/>
    <w:rsid w:val="008C2017"/>
    <w:rsid w:val="008C3D8B"/>
    <w:rsid w:val="008C4549"/>
    <w:rsid w:val="008C4958"/>
    <w:rsid w:val="008C4BAA"/>
    <w:rsid w:val="008C52EE"/>
    <w:rsid w:val="008C6AE8"/>
    <w:rsid w:val="008C7573"/>
    <w:rsid w:val="008D34F1"/>
    <w:rsid w:val="008D39D8"/>
    <w:rsid w:val="008D5BD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6F6D"/>
    <w:rsid w:val="00947713"/>
    <w:rsid w:val="00947FA9"/>
    <w:rsid w:val="00950DE7"/>
    <w:rsid w:val="0095388F"/>
    <w:rsid w:val="00953920"/>
    <w:rsid w:val="00953D47"/>
    <w:rsid w:val="0095681E"/>
    <w:rsid w:val="009572D4"/>
    <w:rsid w:val="00961921"/>
    <w:rsid w:val="0096430A"/>
    <w:rsid w:val="0096554B"/>
    <w:rsid w:val="0096584A"/>
    <w:rsid w:val="00971F08"/>
    <w:rsid w:val="0097441D"/>
    <w:rsid w:val="0097603D"/>
    <w:rsid w:val="00976949"/>
    <w:rsid w:val="00980477"/>
    <w:rsid w:val="009811C7"/>
    <w:rsid w:val="00985253"/>
    <w:rsid w:val="009852B8"/>
    <w:rsid w:val="009853B3"/>
    <w:rsid w:val="00990630"/>
    <w:rsid w:val="00991761"/>
    <w:rsid w:val="00994DCA"/>
    <w:rsid w:val="009960EC"/>
    <w:rsid w:val="009970DD"/>
    <w:rsid w:val="009A0FBA"/>
    <w:rsid w:val="009A1601"/>
    <w:rsid w:val="009A287D"/>
    <w:rsid w:val="009A462D"/>
    <w:rsid w:val="009A56BA"/>
    <w:rsid w:val="009A5CBA"/>
    <w:rsid w:val="009B1F30"/>
    <w:rsid w:val="009B3AC2"/>
    <w:rsid w:val="009B44C5"/>
    <w:rsid w:val="009B4DF4"/>
    <w:rsid w:val="009B564E"/>
    <w:rsid w:val="009B7E87"/>
    <w:rsid w:val="009C07A0"/>
    <w:rsid w:val="009C403E"/>
    <w:rsid w:val="009D4FF0"/>
    <w:rsid w:val="009D703C"/>
    <w:rsid w:val="009D718F"/>
    <w:rsid w:val="009E068F"/>
    <w:rsid w:val="009E14E0"/>
    <w:rsid w:val="009E35DB"/>
    <w:rsid w:val="009E47A3"/>
    <w:rsid w:val="009F08F3"/>
    <w:rsid w:val="009F173A"/>
    <w:rsid w:val="009F344F"/>
    <w:rsid w:val="009F482C"/>
    <w:rsid w:val="00A01380"/>
    <w:rsid w:val="00A048A8"/>
    <w:rsid w:val="00A04F49"/>
    <w:rsid w:val="00A13E54"/>
    <w:rsid w:val="00A17F63"/>
    <w:rsid w:val="00A2052C"/>
    <w:rsid w:val="00A2193B"/>
    <w:rsid w:val="00A2351A"/>
    <w:rsid w:val="00A264A9"/>
    <w:rsid w:val="00A27785"/>
    <w:rsid w:val="00A30187"/>
    <w:rsid w:val="00A31DE2"/>
    <w:rsid w:val="00A32B68"/>
    <w:rsid w:val="00A3448A"/>
    <w:rsid w:val="00A36297"/>
    <w:rsid w:val="00A363D2"/>
    <w:rsid w:val="00A41E2B"/>
    <w:rsid w:val="00A42F1A"/>
    <w:rsid w:val="00A45B74"/>
    <w:rsid w:val="00A52E1D"/>
    <w:rsid w:val="00A61499"/>
    <w:rsid w:val="00A62A77"/>
    <w:rsid w:val="00A63483"/>
    <w:rsid w:val="00A657D7"/>
    <w:rsid w:val="00A660AC"/>
    <w:rsid w:val="00A66F55"/>
    <w:rsid w:val="00A67E6C"/>
    <w:rsid w:val="00A71B99"/>
    <w:rsid w:val="00A739D0"/>
    <w:rsid w:val="00A761D4"/>
    <w:rsid w:val="00A77EC4"/>
    <w:rsid w:val="00A83884"/>
    <w:rsid w:val="00A85597"/>
    <w:rsid w:val="00A92879"/>
    <w:rsid w:val="00A9442A"/>
    <w:rsid w:val="00A96165"/>
    <w:rsid w:val="00AA016F"/>
    <w:rsid w:val="00AA1ED6"/>
    <w:rsid w:val="00AA51D6"/>
    <w:rsid w:val="00AB05AA"/>
    <w:rsid w:val="00AB083E"/>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B0D"/>
    <w:rsid w:val="00AE3743"/>
    <w:rsid w:val="00AE40E0"/>
    <w:rsid w:val="00AE4DBA"/>
    <w:rsid w:val="00AE4F07"/>
    <w:rsid w:val="00AF1C5D"/>
    <w:rsid w:val="00AF42D7"/>
    <w:rsid w:val="00AF65CB"/>
    <w:rsid w:val="00B006FE"/>
    <w:rsid w:val="00B007CB"/>
    <w:rsid w:val="00B02AA9"/>
    <w:rsid w:val="00B02FA3"/>
    <w:rsid w:val="00B033E8"/>
    <w:rsid w:val="00B05084"/>
    <w:rsid w:val="00B157F9"/>
    <w:rsid w:val="00B16085"/>
    <w:rsid w:val="00B16EFE"/>
    <w:rsid w:val="00B20256"/>
    <w:rsid w:val="00B20D09"/>
    <w:rsid w:val="00B2763F"/>
    <w:rsid w:val="00B27AAC"/>
    <w:rsid w:val="00B30929"/>
    <w:rsid w:val="00B34996"/>
    <w:rsid w:val="00B372AA"/>
    <w:rsid w:val="00B37EAC"/>
    <w:rsid w:val="00B40445"/>
    <w:rsid w:val="00B41888"/>
    <w:rsid w:val="00B45A52"/>
    <w:rsid w:val="00B46175"/>
    <w:rsid w:val="00B55D71"/>
    <w:rsid w:val="00B6188F"/>
    <w:rsid w:val="00B664C7"/>
    <w:rsid w:val="00B70277"/>
    <w:rsid w:val="00B739F6"/>
    <w:rsid w:val="00B74C8F"/>
    <w:rsid w:val="00B81A6C"/>
    <w:rsid w:val="00B85DE5"/>
    <w:rsid w:val="00B90F73"/>
    <w:rsid w:val="00B93B59"/>
    <w:rsid w:val="00B9406A"/>
    <w:rsid w:val="00B94FE4"/>
    <w:rsid w:val="00BA2280"/>
    <w:rsid w:val="00BA2A08"/>
    <w:rsid w:val="00BA4DF4"/>
    <w:rsid w:val="00BA56D2"/>
    <w:rsid w:val="00BA76E0"/>
    <w:rsid w:val="00BB2A25"/>
    <w:rsid w:val="00BB2FD2"/>
    <w:rsid w:val="00BB36E6"/>
    <w:rsid w:val="00BB51E9"/>
    <w:rsid w:val="00BC0FDC"/>
    <w:rsid w:val="00BC3053"/>
    <w:rsid w:val="00BC4D2E"/>
    <w:rsid w:val="00BC6987"/>
    <w:rsid w:val="00BD48AC"/>
    <w:rsid w:val="00BD5F1A"/>
    <w:rsid w:val="00BE0CF9"/>
    <w:rsid w:val="00BE1234"/>
    <w:rsid w:val="00BE2FA6"/>
    <w:rsid w:val="00BE333F"/>
    <w:rsid w:val="00BE47E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67"/>
    <w:rsid w:val="00C24345"/>
    <w:rsid w:val="00C279B5"/>
    <w:rsid w:val="00C27C45"/>
    <w:rsid w:val="00C3719D"/>
    <w:rsid w:val="00C54995"/>
    <w:rsid w:val="00C54D41"/>
    <w:rsid w:val="00C60783"/>
    <w:rsid w:val="00C64672"/>
    <w:rsid w:val="00C70529"/>
    <w:rsid w:val="00C70697"/>
    <w:rsid w:val="00C72EF4"/>
    <w:rsid w:val="00C75D2F"/>
    <w:rsid w:val="00C767BE"/>
    <w:rsid w:val="00C76E3C"/>
    <w:rsid w:val="00C81568"/>
    <w:rsid w:val="00C828F4"/>
    <w:rsid w:val="00C83A40"/>
    <w:rsid w:val="00C9027A"/>
    <w:rsid w:val="00C9068E"/>
    <w:rsid w:val="00C93C4B"/>
    <w:rsid w:val="00C944AB"/>
    <w:rsid w:val="00C95B40"/>
    <w:rsid w:val="00CA1ED8"/>
    <w:rsid w:val="00CB1F63"/>
    <w:rsid w:val="00CB7170"/>
    <w:rsid w:val="00CC040E"/>
    <w:rsid w:val="00CC111F"/>
    <w:rsid w:val="00CC1400"/>
    <w:rsid w:val="00CC2011"/>
    <w:rsid w:val="00CC3EA0"/>
    <w:rsid w:val="00CC7B45"/>
    <w:rsid w:val="00CD1188"/>
    <w:rsid w:val="00CD2ED1"/>
    <w:rsid w:val="00CD337B"/>
    <w:rsid w:val="00CE0424"/>
    <w:rsid w:val="00CE0B6C"/>
    <w:rsid w:val="00CE7561"/>
    <w:rsid w:val="00CF1354"/>
    <w:rsid w:val="00CF3B1F"/>
    <w:rsid w:val="00CF3BF6"/>
    <w:rsid w:val="00CF625B"/>
    <w:rsid w:val="00CF687E"/>
    <w:rsid w:val="00D0349B"/>
    <w:rsid w:val="00D03FB6"/>
    <w:rsid w:val="00D10249"/>
    <w:rsid w:val="00D115C3"/>
    <w:rsid w:val="00D11897"/>
    <w:rsid w:val="00D13135"/>
    <w:rsid w:val="00D13E4E"/>
    <w:rsid w:val="00D14E8B"/>
    <w:rsid w:val="00D239A7"/>
    <w:rsid w:val="00D23F47"/>
    <w:rsid w:val="00D323F0"/>
    <w:rsid w:val="00D354FE"/>
    <w:rsid w:val="00D36E71"/>
    <w:rsid w:val="00D37D87"/>
    <w:rsid w:val="00D40B33"/>
    <w:rsid w:val="00D4318F"/>
    <w:rsid w:val="00D438BF"/>
    <w:rsid w:val="00D440F8"/>
    <w:rsid w:val="00D50109"/>
    <w:rsid w:val="00D50F97"/>
    <w:rsid w:val="00D546FF"/>
    <w:rsid w:val="00D5568C"/>
    <w:rsid w:val="00D55AD5"/>
    <w:rsid w:val="00D576CA"/>
    <w:rsid w:val="00D61AF5"/>
    <w:rsid w:val="00D652B5"/>
    <w:rsid w:val="00D66155"/>
    <w:rsid w:val="00D708B0"/>
    <w:rsid w:val="00D72497"/>
    <w:rsid w:val="00D77B1D"/>
    <w:rsid w:val="00D8021F"/>
    <w:rsid w:val="00D80383"/>
    <w:rsid w:val="00D823C6"/>
    <w:rsid w:val="00D86CA3"/>
    <w:rsid w:val="00D871CE"/>
    <w:rsid w:val="00D9196D"/>
    <w:rsid w:val="00D92982"/>
    <w:rsid w:val="00DA305E"/>
    <w:rsid w:val="00DA5417"/>
    <w:rsid w:val="00DA56E8"/>
    <w:rsid w:val="00DA797D"/>
    <w:rsid w:val="00DB0A9F"/>
    <w:rsid w:val="00DB377D"/>
    <w:rsid w:val="00DC2D36"/>
    <w:rsid w:val="00DC53EF"/>
    <w:rsid w:val="00DE5608"/>
    <w:rsid w:val="00DE58D0"/>
    <w:rsid w:val="00DE654F"/>
    <w:rsid w:val="00DF0B6E"/>
    <w:rsid w:val="00DF15E0"/>
    <w:rsid w:val="00DF37A0"/>
    <w:rsid w:val="00E110E7"/>
    <w:rsid w:val="00E11B20"/>
    <w:rsid w:val="00E1334F"/>
    <w:rsid w:val="00E14462"/>
    <w:rsid w:val="00E17FA2"/>
    <w:rsid w:val="00E22330"/>
    <w:rsid w:val="00E23C2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4E"/>
    <w:rsid w:val="00E72EFC"/>
    <w:rsid w:val="00E758EC"/>
    <w:rsid w:val="00E76E1D"/>
    <w:rsid w:val="00E8234C"/>
    <w:rsid w:val="00E83AA9"/>
    <w:rsid w:val="00E85928"/>
    <w:rsid w:val="00E87822"/>
    <w:rsid w:val="00E90395"/>
    <w:rsid w:val="00E90E49"/>
    <w:rsid w:val="00E917F9"/>
    <w:rsid w:val="00E9291C"/>
    <w:rsid w:val="00E93FFE"/>
    <w:rsid w:val="00E94F8A"/>
    <w:rsid w:val="00E95217"/>
    <w:rsid w:val="00EA10B0"/>
    <w:rsid w:val="00EA7A41"/>
    <w:rsid w:val="00EB077B"/>
    <w:rsid w:val="00EB4EA2"/>
    <w:rsid w:val="00EC06AE"/>
    <w:rsid w:val="00EC12AC"/>
    <w:rsid w:val="00EC1B85"/>
    <w:rsid w:val="00EC27C6"/>
    <w:rsid w:val="00EC4207"/>
    <w:rsid w:val="00EC5653"/>
    <w:rsid w:val="00EC71CE"/>
    <w:rsid w:val="00ED1006"/>
    <w:rsid w:val="00ED1A1B"/>
    <w:rsid w:val="00EF18FE"/>
    <w:rsid w:val="00EF5787"/>
    <w:rsid w:val="00EF60D0"/>
    <w:rsid w:val="00F05008"/>
    <w:rsid w:val="00F0528D"/>
    <w:rsid w:val="00F06C67"/>
    <w:rsid w:val="00F06DFD"/>
    <w:rsid w:val="00F071D1"/>
    <w:rsid w:val="00F07533"/>
    <w:rsid w:val="00F10629"/>
    <w:rsid w:val="00F15600"/>
    <w:rsid w:val="00F15FA5"/>
    <w:rsid w:val="00F209B7"/>
    <w:rsid w:val="00F20F49"/>
    <w:rsid w:val="00F2376F"/>
    <w:rsid w:val="00F243D8"/>
    <w:rsid w:val="00F30828"/>
    <w:rsid w:val="00F313D6"/>
    <w:rsid w:val="00F319F8"/>
    <w:rsid w:val="00F31AD7"/>
    <w:rsid w:val="00F35517"/>
    <w:rsid w:val="00F40F0C"/>
    <w:rsid w:val="00F43496"/>
    <w:rsid w:val="00F450B3"/>
    <w:rsid w:val="00F4525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2CA"/>
    <w:rsid w:val="00FD74DB"/>
    <w:rsid w:val="00FD7660"/>
    <w:rsid w:val="00FE007D"/>
    <w:rsid w:val="00FE0655"/>
    <w:rsid w:val="00FE076D"/>
    <w:rsid w:val="00FE2365"/>
    <w:rsid w:val="00FE4C7B"/>
    <w:rsid w:val="00FE7336"/>
    <w:rsid w:val="00FE787C"/>
    <w:rsid w:val="00FF45A5"/>
    <w:rsid w:val="00FF5C91"/>
    <w:rsid w:val="00FF7772"/>
    <w:rsid w:val="198C66E8"/>
    <w:rsid w:val="455B4CB3"/>
    <w:rsid w:val="7AAE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8466DA-B751-46D9-BD7C-0D9984BD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semiHidden="1"/>
    <w:lsdException w:name="footer" w:semiHidden="1" w:qFormat="1"/>
    <w:lsdException w:name="caption" w:qFormat="1"/>
    <w:lsdException w:name="table of figures" w:uiPriority="99" w:qFormat="1"/>
    <w:lsdException w:name="footnote reference" w:semiHidden="1" w:qFormat="1"/>
    <w:lsdException w:name="annotation reference" w:semiHidden="1"/>
    <w:lsdException w:name="page number" w:semiHidden="1"/>
    <w:lsdException w:name="List Bullet" w:qFormat="1"/>
    <w:lsdException w:name="List 3"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3A12"/>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5D3A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A12"/>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pPr>
      <w:ind w:left="1418" w:hanging="1418"/>
    </w:p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39"/>
    <w:qFormat/>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pPr>
      <w:spacing w:after="180"/>
    </w:pPr>
  </w:style>
  <w:style w:type="paragraph" w:customStyle="1" w:styleId="B4">
    <w:name w:val="B4"/>
    <w:basedOn w:val="List4"/>
    <w:link w:val="B4Char"/>
    <w:qFormat/>
    <w:pPr>
      <w:spacing w:after="180"/>
    </w:p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pPr>
    <w:rPr>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6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val="zh-CN" w:eastAsia="en-GB"/>
    </w:rPr>
  </w:style>
  <w:style w:type="paragraph" w:customStyle="1" w:styleId="Comments">
    <w:name w:val="Comments"/>
    <w:basedOn w:val="Normal"/>
    <w:link w:val="CommentsChar"/>
    <w:qFormat/>
    <w:pPr>
      <w:spacing w:after="180"/>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10"/>
      </w:numPr>
      <w:tabs>
        <w:tab w:val="clear" w:pos="1622"/>
      </w:tabs>
      <w:overflowPunct w:val="0"/>
      <w:autoSpaceDE w:val="0"/>
      <w:autoSpaceDN w:val="0"/>
      <w:adjustRightInd w:val="0"/>
      <w:textAlignment w:val="baseline"/>
    </w:pPr>
    <w:rPr>
      <w:lang w:val="zh-CN"/>
    </w:rPr>
  </w:style>
  <w:style w:type="character" w:customStyle="1" w:styleId="ComeBackCharChar">
    <w:name w:val="ComeBack Char Char"/>
    <w:link w:val="ComeBack"/>
    <w:qFormat/>
    <w:rPr>
      <w:rFonts w:ascii="Arial" w:eastAsia="MS Mincho" w:hAnsi="Arial"/>
      <w:szCs w:val="24"/>
      <w:lang w:val="zh-CN" w:eastAsia="en-GB"/>
    </w:rPr>
  </w:style>
  <w:style w:type="paragraph" w:customStyle="1" w:styleId="EmailDiscussion2">
    <w:name w:val="EmailDiscussion2"/>
    <w:basedOn w:val="Normal"/>
    <w:qFormat/>
    <w:pPr>
      <w:ind w:left="1622" w:hanging="363"/>
    </w:pPr>
    <w:rPr>
      <w:rFonts w:ascii="Arial" w:hAnsi="Arial" w:cs="Arial"/>
    </w:rPr>
  </w:style>
  <w:style w:type="paragraph" w:styleId="ListParagraph">
    <w:name w:val="List Paragraph"/>
    <w:basedOn w:val="Normal"/>
    <w:uiPriority w:val="34"/>
    <w:qFormat/>
    <w:pPr>
      <w:ind w:left="720"/>
      <w:contextualSpacing/>
    </w:pPr>
  </w:style>
  <w:style w:type="paragraph" w:customStyle="1" w:styleId="EmailDiscussion">
    <w:name w:val="EmailDiscussion"/>
    <w:basedOn w:val="Normal"/>
    <w:next w:val="EmailDiscussion2"/>
    <w:link w:val="EmailDiscussionChar"/>
    <w:qFormat/>
    <w:pPr>
      <w:numPr>
        <w:numId w:val="11"/>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pPr>
      <w:ind w:left="720"/>
      <w:contextualSpacing/>
    </w:pPr>
    <w:rPr>
      <w:rFonts w:ascii="Calibri" w:hAnsi="Calibri" w:cs="Calibri"/>
      <w:lang w:val="zh-CN"/>
    </w:rPr>
  </w:style>
  <w:style w:type="character" w:customStyle="1" w:styleId="MediumGrid1-Accent2Char">
    <w:name w:val="Medium Grid 1 - Accent 2 Char"/>
    <w:link w:val="MediumGrid1-Accent21"/>
    <w:uiPriority w:val="34"/>
    <w:qFormat/>
    <w:locked/>
    <w:rPr>
      <w:rFonts w:ascii="Calibri" w:eastAsiaTheme="minorEastAsia" w:hAnsi="Calibri" w:cs="Calibri"/>
      <w:sz w:val="22"/>
      <w:szCs w:val="22"/>
      <w:lang w:val="zh-CN" w:eastAsia="zh-CN"/>
    </w:rPr>
  </w:style>
  <w:style w:type="character" w:customStyle="1" w:styleId="B1Char">
    <w:name w:val="B1 Char"/>
    <w:basedOn w:val="DefaultParagraphFont"/>
    <w:link w:val="B1"/>
    <w:qFormat/>
    <w:locked/>
    <w:rPr>
      <w:rFonts w:asciiTheme="minorHAnsi" w:eastAsiaTheme="minorHAnsi" w:hAnsiTheme="minorHAnsi" w:cstheme="minorBidi"/>
      <w:sz w:val="22"/>
      <w:szCs w:val="22"/>
    </w:rPr>
  </w:style>
  <w:style w:type="character" w:customStyle="1" w:styleId="B2Char">
    <w:name w:val="B2 Char"/>
    <w:basedOn w:val="DefaultParagraphFont"/>
    <w:link w:val="B2"/>
    <w:qFormat/>
    <w:locked/>
    <w:rPr>
      <w:rFonts w:asciiTheme="minorHAnsi" w:eastAsiaTheme="minorHAnsi" w:hAnsiTheme="minorHAnsi" w:cstheme="minorBidi"/>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rPr>
  </w:style>
  <w:style w:type="character" w:customStyle="1" w:styleId="THChar">
    <w:name w:val="TH Char"/>
    <w:link w:val="TH"/>
    <w:qFormat/>
    <w:rPr>
      <w:rFonts w:asciiTheme="minorHAnsi" w:eastAsiaTheme="minorHAnsi" w:hAnsiTheme="minorHAnsi" w:cstheme="minorBidi"/>
      <w:b/>
      <w:sz w:val="22"/>
      <w:szCs w:val="22"/>
    </w:rPr>
  </w:style>
  <w:style w:type="character" w:customStyle="1" w:styleId="B1Char1">
    <w:name w:val="B1 Char1"/>
    <w:qFormat/>
    <w:rPr>
      <w:rFonts w:ascii="Arial" w:hAnsi="Arial"/>
      <w:lang w:val="en-GB"/>
    </w:rPr>
  </w:style>
  <w:style w:type="character" w:customStyle="1" w:styleId="TALCar">
    <w:name w:val="TAL Car"/>
    <w:link w:val="TAL"/>
    <w:qFormat/>
    <w:rPr>
      <w:rFonts w:asciiTheme="minorHAnsi" w:eastAsiaTheme="minorHAnsi" w:hAnsiTheme="minorHAnsi" w:cstheme="minorBidi"/>
      <w:sz w:val="18"/>
      <w:szCs w:val="22"/>
    </w:rPr>
  </w:style>
  <w:style w:type="character" w:customStyle="1" w:styleId="TAHCar">
    <w:name w:val="TAH Car"/>
    <w:link w:val="TAH"/>
    <w:qFormat/>
    <w:locked/>
    <w:rPr>
      <w:rFonts w:asciiTheme="minorHAnsi" w:eastAsiaTheme="minorHAnsi" w:hAnsiTheme="minorHAnsi" w:cstheme="minorBidi"/>
      <w:b/>
      <w:sz w:val="18"/>
      <w:szCs w:val="22"/>
    </w:rPr>
  </w:style>
  <w:style w:type="paragraph" w:customStyle="1" w:styleId="NO">
    <w:name w:val="NO"/>
    <w:basedOn w:val="Normal"/>
    <w:link w:val="NOChar"/>
    <w:qFormat/>
    <w:pPr>
      <w:keepLines/>
      <w:spacing w:after="180"/>
      <w:ind w:left="1135" w:hanging="851"/>
    </w:pPr>
    <w:rPr>
      <w:rFonts w:ascii="Times New Roman" w:hAnsi="Times New Roman"/>
      <w:lang w:val="zh-CN"/>
    </w:rPr>
  </w:style>
  <w:style w:type="character" w:customStyle="1" w:styleId="NOChar">
    <w:name w:val="NO Char"/>
    <w:link w:val="NO"/>
    <w:qFormat/>
    <w:rPr>
      <w:rFonts w:ascii="Times New Roman" w:eastAsiaTheme="minorHAnsi" w:hAnsi="Times New Roman" w:cstheme="minorBidi"/>
      <w:sz w:val="22"/>
      <w:szCs w:val="22"/>
      <w:lang w:val="zh-CN" w:eastAsia="zh-CN"/>
    </w:rPr>
  </w:style>
  <w:style w:type="character" w:customStyle="1" w:styleId="B3Char2">
    <w:name w:val="B3 Char2"/>
    <w:link w:val="B3"/>
    <w:qFormat/>
    <w:rPr>
      <w:rFonts w:asciiTheme="minorHAnsi" w:eastAsiaTheme="minorHAnsi" w:hAnsiTheme="minorHAnsi" w:cstheme="minorBidi"/>
      <w:sz w:val="22"/>
      <w:szCs w:val="22"/>
    </w:rPr>
  </w:style>
  <w:style w:type="character" w:customStyle="1" w:styleId="B4Char">
    <w:name w:val="B4 Char"/>
    <w:link w:val="B4"/>
    <w:qFormat/>
    <w:rPr>
      <w:rFonts w:asciiTheme="minorHAnsi" w:eastAsiaTheme="minorHAnsi" w:hAnsiTheme="minorHAnsi" w:cstheme="minorBidi"/>
      <w:sz w:val="22"/>
      <w:szCs w:val="22"/>
    </w:rPr>
  </w:style>
  <w:style w:type="character" w:customStyle="1" w:styleId="TFChar">
    <w:name w:val="TF Char"/>
    <w:link w:val="TF"/>
    <w:qFormat/>
    <w:rPr>
      <w:rFonts w:asciiTheme="minorHAnsi" w:eastAsiaTheme="minorHAnsi" w:hAnsiTheme="minorHAnsi" w:cstheme="minorBidi"/>
      <w:b/>
      <w:sz w:val="22"/>
      <w:szCs w:val="22"/>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94">
      <w:bodyDiv w:val="1"/>
      <w:marLeft w:val="0"/>
      <w:marRight w:val="0"/>
      <w:marTop w:val="0"/>
      <w:marBottom w:val="0"/>
      <w:divBdr>
        <w:top w:val="none" w:sz="0" w:space="0" w:color="auto"/>
        <w:left w:val="none" w:sz="0" w:space="0" w:color="auto"/>
        <w:bottom w:val="none" w:sz="0" w:space="0" w:color="auto"/>
        <w:right w:val="none" w:sz="0" w:space="0" w:color="auto"/>
      </w:divBdr>
    </w:div>
    <w:div w:id="2059428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5NUHHDQN7SK2-1476151046-19618</_dlc_DocId>
    <_dlc_DocIdUrl xmlns="f166a696-7b5b-4ccd-9f0c-ffde0cceec81">
      <Url>https://ericsson.sharepoint.com/sites/star/_layouts/15/DocIdRedir.aspx?ID=5NUHHDQN7SK2-1476151046-19618</Url>
      <Description>5NUHHDQN7SK2-1476151046-19618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8.xml><?xml version="1.0" encoding="utf-8"?>
<ds:datastoreItem xmlns:ds="http://schemas.openxmlformats.org/officeDocument/2006/customXml" ds:itemID="{E35E5DED-91EA-4BB7-A8CF-91C5D92E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7</cp:revision>
  <cp:lastPrinted>2008-01-31T16:09:00Z</cp:lastPrinted>
  <dcterms:created xsi:type="dcterms:W3CDTF">2018-06-21T14:28:00Z</dcterms:created>
  <dcterms:modified xsi:type="dcterms:W3CDTF">2018-06-21T21:49:00Z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7afd2ca7-8ac4-4f53-9b66-b6ae08437565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1528907862</vt:lpwstr>
  </property>
  <property fmtid="{D5CDD505-2E9C-101B-9397-08002B2CF9AE}" pid="20" name="_AdHocReviewCycleID">
    <vt:i4>-1217362349</vt:i4>
  </property>
  <property fmtid="{D5CDD505-2E9C-101B-9397-08002B2CF9AE}" pid="21" name="_NewReviewCycle">
    <vt:lpwstr/>
  </property>
  <property fmtid="{D5CDD505-2E9C-101B-9397-08002B2CF9AE}" pid="22" name="_EmailSubject">
    <vt:lpwstr>[102#66][NR and LTE/5GC] inter system handover (Ericsson)</vt:lpwstr>
  </property>
  <property fmtid="{D5CDD505-2E9C-101B-9397-08002B2CF9AE}" pid="23" name="_AuthorEmail">
    <vt:lpwstr>pkadiri@qti.qualcomm.com</vt:lpwstr>
  </property>
  <property fmtid="{D5CDD505-2E9C-101B-9397-08002B2CF9AE}" pid="24" name="_AuthorEmailDisplayName">
    <vt:lpwstr>Prasad Kadiri</vt:lpwstr>
  </property>
  <property fmtid="{D5CDD505-2E9C-101B-9397-08002B2CF9AE}" pid="25" name="KSOProductBuildVer">
    <vt:lpwstr>2052-10.1.0.7346</vt:lpwstr>
  </property>
  <property fmtid="{D5CDD505-2E9C-101B-9397-08002B2CF9AE}" pid="26" name="_ReviewingToolsShownOnce">
    <vt:lpwstr/>
  </property>
</Properties>
</file>