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AE6D982" w14:textId="5A4B4BD9"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3GPP TSG-RAN WG2 Meeting Ad hoc</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170</w:t>
      </w:r>
      <w:r w:rsidR="00986930">
        <w:rPr>
          <w:i/>
          <w:color w:val="auto"/>
          <w:sz w:val="24"/>
          <w:lang w:eastAsia="zh-CN"/>
        </w:rPr>
        <w:t>7048</w:t>
      </w:r>
    </w:p>
    <w:p w14:paraId="2AE6D983" w14:textId="23E08FAA" w:rsidR="007E1DEE" w:rsidRPr="00C036E6" w:rsidRDefault="001C527B" w:rsidP="007E1DEE">
      <w:pPr>
        <w:pStyle w:val="Header"/>
        <w:tabs>
          <w:tab w:val="left" w:pos="6521"/>
        </w:tabs>
        <w:jc w:val="both"/>
        <w:rPr>
          <w:color w:val="auto"/>
          <w:sz w:val="24"/>
          <w:lang w:eastAsia="zh-CN"/>
        </w:rPr>
      </w:pPr>
      <w:r>
        <w:rPr>
          <w:rFonts w:hint="eastAsia"/>
          <w:color w:val="auto"/>
          <w:sz w:val="24"/>
          <w:lang w:eastAsia="zh-CN"/>
        </w:rPr>
        <w:t>Q</w:t>
      </w:r>
      <w:r>
        <w:rPr>
          <w:color w:val="auto"/>
          <w:sz w:val="24"/>
          <w:lang w:eastAsia="zh-CN"/>
        </w:rPr>
        <w:t>ingdao</w:t>
      </w:r>
      <w:r w:rsidR="007E1DEE" w:rsidRPr="00943E97">
        <w:rPr>
          <w:color w:val="auto"/>
          <w:sz w:val="24"/>
        </w:rPr>
        <w:t xml:space="preserve">, </w:t>
      </w:r>
      <w:r w:rsidR="007E1DEE">
        <w:rPr>
          <w:rFonts w:hint="eastAsia"/>
          <w:color w:val="auto"/>
          <w:sz w:val="24"/>
          <w:lang w:eastAsia="zh-CN"/>
        </w:rPr>
        <w:t>China</w:t>
      </w:r>
      <w:r w:rsidR="007E1DEE" w:rsidRPr="00943E97">
        <w:rPr>
          <w:color w:val="auto"/>
          <w:sz w:val="24"/>
        </w:rPr>
        <w:t xml:space="preserve">, </w:t>
      </w:r>
      <w:r>
        <w:rPr>
          <w:rFonts w:hint="eastAsia"/>
          <w:color w:val="auto"/>
          <w:sz w:val="24"/>
          <w:lang w:eastAsia="zh-CN"/>
        </w:rPr>
        <w:t>2</w:t>
      </w:r>
      <w:r>
        <w:rPr>
          <w:color w:val="auto"/>
          <w:sz w:val="24"/>
          <w:lang w:eastAsia="zh-CN"/>
        </w:rPr>
        <w:t>7</w:t>
      </w:r>
      <w:r w:rsidR="007E1DEE" w:rsidRPr="00943E97">
        <w:rPr>
          <w:rFonts w:hint="eastAsia"/>
          <w:color w:val="auto"/>
          <w:sz w:val="24"/>
        </w:rPr>
        <w:t>-</w:t>
      </w:r>
      <w:r>
        <w:rPr>
          <w:rFonts w:hint="eastAsia"/>
          <w:color w:val="auto"/>
          <w:sz w:val="24"/>
          <w:lang w:eastAsia="zh-CN"/>
        </w:rPr>
        <w:t>2</w:t>
      </w:r>
      <w:r w:rsidR="007E1DEE">
        <w:rPr>
          <w:rFonts w:hint="eastAsia"/>
          <w:color w:val="auto"/>
          <w:sz w:val="24"/>
          <w:lang w:eastAsia="zh-CN"/>
        </w:rPr>
        <w:t>9</w:t>
      </w:r>
      <w:r w:rsidR="007E1DEE" w:rsidRPr="00943E97">
        <w:rPr>
          <w:rFonts w:hint="eastAsia"/>
          <w:color w:val="auto"/>
          <w:sz w:val="24"/>
        </w:rPr>
        <w:t xml:space="preserve"> </w:t>
      </w:r>
      <w:r>
        <w:rPr>
          <w:color w:val="auto"/>
          <w:sz w:val="24"/>
          <w:lang w:eastAsia="zh-CN"/>
        </w:rPr>
        <w:t>June</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29E420B2"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BF708D" w:rsidRPr="00BF708D">
        <w:rPr>
          <w:rFonts w:ascii="Arial" w:eastAsia="SimSun" w:hAnsi="Arial"/>
          <w:b/>
          <w:sz w:val="24"/>
          <w:lang w:val="en-US" w:eastAsia="zh-CN"/>
        </w:rPr>
        <w:t>10.2.</w:t>
      </w:r>
      <w:r w:rsidR="00986930">
        <w:rPr>
          <w:rFonts w:ascii="Arial" w:eastAsia="SimSun" w:hAnsi="Arial"/>
          <w:b/>
          <w:sz w:val="24"/>
          <w:lang w:val="en-US" w:eastAsia="zh-CN"/>
        </w:rPr>
        <w:t>3</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6BAF544"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975537">
        <w:rPr>
          <w:rFonts w:ascii="Arial" w:hAnsi="Arial"/>
          <w:b/>
          <w:sz w:val="24"/>
          <w:lang w:val="en-US"/>
        </w:rPr>
        <w:t>Inter-RAT measurement for EN</w:t>
      </w:r>
      <w:r w:rsidR="001C527B">
        <w:rPr>
          <w:rFonts w:ascii="Arial" w:hAnsi="Arial"/>
          <w:b/>
          <w:sz w:val="24"/>
          <w:lang w:val="en-US"/>
        </w:rPr>
        <w:t xml:space="preserve"> DC</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2AE6D98C" w14:textId="0D007FB4" w:rsidR="004C4FB1" w:rsidRDefault="00975537">
      <w:r>
        <w:t>In EN</w:t>
      </w:r>
      <w:r w:rsidR="001C527B">
        <w:t xml:space="preserve">-DC, </w:t>
      </w:r>
      <w:r w:rsidR="00B10692">
        <w:t>the UE has to perform</w:t>
      </w:r>
      <w:r w:rsidR="001C527B">
        <w:t xml:space="preserve"> </w:t>
      </w:r>
      <w:r w:rsidR="009F4073">
        <w:t>LTE</w:t>
      </w:r>
      <w:r w:rsidR="00B10692">
        <w:t xml:space="preserve"> and NR</w:t>
      </w:r>
      <w:r w:rsidR="009F4073">
        <w:t xml:space="preserve"> m</w:t>
      </w:r>
      <w:r w:rsidR="00B10692">
        <w:t>easurement and using measurement events to</w:t>
      </w:r>
      <w:r w:rsidR="009F4073">
        <w:t xml:space="preserve"> </w:t>
      </w:r>
      <w:r w:rsidR="00B10692">
        <w:t xml:space="preserve">trigger </w:t>
      </w:r>
      <w:r w:rsidR="009F4073">
        <w:t>MN handover, SN</w:t>
      </w:r>
      <w:r w:rsidR="00B10692">
        <w:t xml:space="preserve"> addition/release and SN change.</w:t>
      </w:r>
    </w:p>
    <w:p w14:paraId="717BC69E" w14:textId="478DBA05" w:rsidR="00B10692" w:rsidRDefault="00B10692">
      <w:r>
        <w:t>In this contribution</w:t>
      </w:r>
      <w:r w:rsidR="00A878B4">
        <w:t>, the modelling of the e</w:t>
      </w:r>
      <w:r w:rsidR="00975537">
        <w:t>vent triggering mechanism for EN</w:t>
      </w:r>
      <w:r w:rsidR="00A878B4">
        <w:t xml:space="preserve">-DC is analysed. </w:t>
      </w:r>
    </w:p>
    <w:p w14:paraId="2AE6D98D" w14:textId="77777777" w:rsidR="003E1A61" w:rsidRDefault="003E1A61" w:rsidP="00F13226">
      <w:pPr>
        <w:pStyle w:val="Heading1"/>
      </w:pPr>
      <w:r>
        <w:t>Discussion</w:t>
      </w:r>
    </w:p>
    <w:p w14:paraId="47E378FE" w14:textId="738A5666" w:rsidR="00A878B4" w:rsidRDefault="00B40902" w:rsidP="0018560B">
      <w:pPr>
        <w:pStyle w:val="NoSpacing"/>
      </w:pPr>
      <w:r>
        <w:t xml:space="preserve">In LTE, Event </w:t>
      </w:r>
      <w:proofErr w:type="gramStart"/>
      <w:r>
        <w:t>A</w:t>
      </w:r>
      <w:proofErr w:type="gramEnd"/>
      <w:r>
        <w:t xml:space="preserve"> series are</w:t>
      </w:r>
      <w:r w:rsidR="00A878B4">
        <w:t xml:space="preserve"> defined</w:t>
      </w:r>
      <w:r>
        <w:t xml:space="preserve"> for intra-RAT measurement event and Event B series are </w:t>
      </w:r>
      <w:r w:rsidR="00A878B4">
        <w:t xml:space="preserve">defined </w:t>
      </w:r>
      <w:r>
        <w:t>f</w:t>
      </w:r>
      <w:r w:rsidR="00A878B4">
        <w:t>or inter-RAT measurement event.</w:t>
      </w:r>
    </w:p>
    <w:p w14:paraId="1E318389" w14:textId="77777777" w:rsidR="0018560B" w:rsidRDefault="0018560B" w:rsidP="0018560B">
      <w:pPr>
        <w:pStyle w:val="NoSpacing"/>
      </w:pPr>
    </w:p>
    <w:p w14:paraId="7402981D" w14:textId="77777777" w:rsidR="00A878B4" w:rsidRDefault="00A878B4" w:rsidP="0018560B">
      <w:pPr>
        <w:pStyle w:val="NoSpacing"/>
      </w:pPr>
      <w:r>
        <w:t>Further c</w:t>
      </w:r>
      <w:r w:rsidR="00B40902">
        <w:t>haracteristics of Event A series are:</w:t>
      </w:r>
    </w:p>
    <w:p w14:paraId="524C8271" w14:textId="1CFED70F" w:rsidR="00B40902" w:rsidRDefault="00B40902" w:rsidP="00A878B4">
      <w:pPr>
        <w:pStyle w:val="ListParagraph"/>
        <w:numPr>
          <w:ilvl w:val="0"/>
          <w:numId w:val="4"/>
        </w:numPr>
      </w:pPr>
      <w:r>
        <w:t xml:space="preserve">May contain reference cell (e.g. </w:t>
      </w:r>
      <w:proofErr w:type="spellStart"/>
      <w:r>
        <w:t>PCell</w:t>
      </w:r>
      <w:proofErr w:type="spellEnd"/>
      <w:r>
        <w:t xml:space="preserve"> and </w:t>
      </w:r>
      <w:proofErr w:type="spellStart"/>
      <w:r>
        <w:t>PSCell</w:t>
      </w:r>
      <w:proofErr w:type="spellEnd"/>
      <w:r>
        <w:t xml:space="preserve"> in A3 a</w:t>
      </w:r>
      <w:r w:rsidR="00E74607">
        <w:t xml:space="preserve">nd A5 or </w:t>
      </w:r>
      <w:proofErr w:type="spellStart"/>
      <w:r w:rsidR="00E74607">
        <w:t>SCell</w:t>
      </w:r>
      <w:proofErr w:type="spellEnd"/>
      <w:r w:rsidR="00E74607">
        <w:t xml:space="preserve"> for A6, serving cell in A1 and A2</w:t>
      </w:r>
      <w:r>
        <w:t>)</w:t>
      </w:r>
    </w:p>
    <w:p w14:paraId="5C350C2E" w14:textId="7DDB4A13" w:rsidR="00B40902" w:rsidRDefault="00E74607" w:rsidP="00B40902">
      <w:pPr>
        <w:pStyle w:val="ListParagraph"/>
        <w:numPr>
          <w:ilvl w:val="0"/>
          <w:numId w:val="4"/>
        </w:numPr>
        <w:spacing w:after="0" w:line="240" w:lineRule="auto"/>
        <w:contextualSpacing w:val="0"/>
      </w:pPr>
      <w:r>
        <w:t>May include n</w:t>
      </w:r>
      <w:r w:rsidR="00B40902">
        <w:t xml:space="preserve">eighbour cell </w:t>
      </w:r>
      <w:r>
        <w:t xml:space="preserve">and </w:t>
      </w:r>
      <w:r w:rsidR="00B40902">
        <w:t xml:space="preserve">can be intra-frequency (A6) or both </w:t>
      </w:r>
      <w:r>
        <w:t xml:space="preserve">intra- or inter-frequency </w:t>
      </w:r>
      <w:r w:rsidR="00B40902">
        <w:t>(A3, A4 and A5)</w:t>
      </w:r>
      <w:r>
        <w:t xml:space="preserve"> and is associated with the </w:t>
      </w:r>
      <w:proofErr w:type="spellStart"/>
      <w:r>
        <w:t>measObject</w:t>
      </w:r>
      <w:proofErr w:type="spellEnd"/>
      <w:r>
        <w:t xml:space="preserve"> linked via a </w:t>
      </w:r>
      <w:proofErr w:type="spellStart"/>
      <w:r>
        <w:t>measID</w:t>
      </w:r>
      <w:proofErr w:type="spellEnd"/>
      <w:r>
        <w:t xml:space="preserve"> to the </w:t>
      </w:r>
      <w:proofErr w:type="spellStart"/>
      <w:r>
        <w:t>reportConfig</w:t>
      </w:r>
      <w:proofErr w:type="spellEnd"/>
      <w:r>
        <w:t xml:space="preserve"> defining the  A series event</w:t>
      </w:r>
    </w:p>
    <w:p w14:paraId="3A1CC4DF" w14:textId="2CA9E540" w:rsidR="00A878B4" w:rsidRPr="0018560B" w:rsidRDefault="00B40902" w:rsidP="0018560B">
      <w:pPr>
        <w:pStyle w:val="ListParagraph"/>
        <w:numPr>
          <w:ilvl w:val="0"/>
          <w:numId w:val="4"/>
        </w:numPr>
        <w:spacing w:after="0" w:line="240" w:lineRule="auto"/>
        <w:contextualSpacing w:val="0"/>
      </w:pPr>
      <w:r>
        <w:t>Reference cell and neighbour cell</w:t>
      </w:r>
      <w:r w:rsidR="00A878B4">
        <w:t>s</w:t>
      </w:r>
      <w:r>
        <w:t xml:space="preserve"> are </w:t>
      </w:r>
      <w:r w:rsidR="00A878B4">
        <w:t xml:space="preserve">always </w:t>
      </w:r>
      <w:r>
        <w:t xml:space="preserve">from the same RAT </w:t>
      </w:r>
    </w:p>
    <w:p w14:paraId="385B4346" w14:textId="5BD5F4CA" w:rsidR="00B40902" w:rsidRDefault="00A878B4" w:rsidP="0018560B">
      <w:pPr>
        <w:pStyle w:val="NoSpacing"/>
      </w:pPr>
      <w:r>
        <w:t>Further c</w:t>
      </w:r>
      <w:r w:rsidR="00B40902">
        <w:t>haracteristics of Event B series are:</w:t>
      </w:r>
    </w:p>
    <w:p w14:paraId="20309878" w14:textId="77777777" w:rsidR="00B40902" w:rsidRDefault="00B40902" w:rsidP="00B40902">
      <w:pPr>
        <w:pStyle w:val="ListParagraph"/>
        <w:numPr>
          <w:ilvl w:val="0"/>
          <w:numId w:val="4"/>
        </w:numPr>
        <w:spacing w:after="0" w:line="240" w:lineRule="auto"/>
        <w:contextualSpacing w:val="0"/>
      </w:pPr>
      <w:r>
        <w:t xml:space="preserve">May contain reference cell (e.g. </w:t>
      </w:r>
      <w:proofErr w:type="spellStart"/>
      <w:r>
        <w:t>PCell</w:t>
      </w:r>
      <w:proofErr w:type="spellEnd"/>
      <w:r>
        <w:t xml:space="preserve"> in B2) and it is the RAT of the MN</w:t>
      </w:r>
    </w:p>
    <w:p w14:paraId="0355E460" w14:textId="4A5496D8" w:rsidR="00B40902" w:rsidRDefault="00B40902" w:rsidP="00B40902">
      <w:pPr>
        <w:pStyle w:val="ListParagraph"/>
        <w:numPr>
          <w:ilvl w:val="0"/>
          <w:numId w:val="4"/>
        </w:numPr>
        <w:spacing w:after="0" w:line="240" w:lineRule="auto"/>
        <w:contextualSpacing w:val="0"/>
      </w:pPr>
      <w:r>
        <w:t xml:space="preserve">Neighbour cell </w:t>
      </w:r>
      <w:r w:rsidR="00A878B4">
        <w:t xml:space="preserve">always </w:t>
      </w:r>
      <w:r>
        <w:t xml:space="preserve">belongs to </w:t>
      </w:r>
      <w:r w:rsidR="00A878B4">
        <w:t xml:space="preserve">the </w:t>
      </w:r>
      <w:r>
        <w:t>other RAT</w:t>
      </w:r>
      <w:r w:rsidR="00E74607">
        <w:t xml:space="preserve"> and is associated with the </w:t>
      </w:r>
      <w:proofErr w:type="spellStart"/>
      <w:r w:rsidR="00E74607">
        <w:t>measObject</w:t>
      </w:r>
      <w:proofErr w:type="spellEnd"/>
      <w:r w:rsidR="00E74607">
        <w:t xml:space="preserve"> linked via a </w:t>
      </w:r>
      <w:proofErr w:type="spellStart"/>
      <w:r w:rsidR="00E74607">
        <w:t>measID</w:t>
      </w:r>
      <w:proofErr w:type="spellEnd"/>
      <w:r w:rsidR="00E74607">
        <w:t xml:space="preserve"> to the </w:t>
      </w:r>
      <w:proofErr w:type="spellStart"/>
      <w:r w:rsidR="00E74607">
        <w:t>reportConfig</w:t>
      </w:r>
      <w:proofErr w:type="spellEnd"/>
      <w:r w:rsidR="00E74607">
        <w:t xml:space="preserve"> defining an event</w:t>
      </w:r>
    </w:p>
    <w:p w14:paraId="0CCC8C5D" w14:textId="77777777" w:rsidR="0018560B" w:rsidRDefault="0018560B" w:rsidP="0018560B">
      <w:pPr>
        <w:pStyle w:val="NoSpacing"/>
      </w:pPr>
    </w:p>
    <w:p w14:paraId="0E3670A9" w14:textId="4DD7198A" w:rsidR="001D26BC" w:rsidRDefault="001D26BC" w:rsidP="0018560B">
      <w:pPr>
        <w:pStyle w:val="NoSpacing"/>
      </w:pPr>
      <w:r>
        <w:t>For Event B series, the following events are defined in LTE specification:</w:t>
      </w:r>
    </w:p>
    <w:p w14:paraId="4FFB981A" w14:textId="77777777" w:rsidR="001D26BC" w:rsidRDefault="001D26BC" w:rsidP="0018560B">
      <w:pPr>
        <w:pStyle w:val="NoSpacing"/>
      </w:pPr>
    </w:p>
    <w:p w14:paraId="0206F68A" w14:textId="13492AA9" w:rsidR="001D26BC" w:rsidRDefault="001D26BC" w:rsidP="001D26BC">
      <w:pPr>
        <w:pStyle w:val="NoSpacing"/>
        <w:numPr>
          <w:ilvl w:val="0"/>
          <w:numId w:val="4"/>
        </w:numPr>
      </w:pPr>
      <w:r w:rsidRPr="00D05729">
        <w:t>Event B1 (Inter RAT neighbour becomes better than threshold)</w:t>
      </w:r>
    </w:p>
    <w:p w14:paraId="78F6486B" w14:textId="0BEDFEBE" w:rsidR="001D26BC" w:rsidRDefault="001D26BC" w:rsidP="001D26BC">
      <w:pPr>
        <w:pStyle w:val="NoSpacing"/>
        <w:numPr>
          <w:ilvl w:val="0"/>
          <w:numId w:val="4"/>
        </w:numPr>
      </w:pPr>
      <w:r w:rsidRPr="00D05729">
        <w:t>Event B2 (</w:t>
      </w:r>
      <w:proofErr w:type="spellStart"/>
      <w:r w:rsidRPr="00D05729">
        <w:t>PCell</w:t>
      </w:r>
      <w:proofErr w:type="spellEnd"/>
      <w:r w:rsidRPr="00D05729">
        <w:t xml:space="preserve"> becomes worse than threshold1 and inter RAT neighbour becomes better than threshold2)</w:t>
      </w:r>
    </w:p>
    <w:p w14:paraId="598CC4E1" w14:textId="77777777" w:rsidR="001D26BC" w:rsidRDefault="001D26BC" w:rsidP="0018560B">
      <w:pPr>
        <w:pStyle w:val="NoSpacing"/>
      </w:pPr>
    </w:p>
    <w:p w14:paraId="1126F3DF" w14:textId="5D2970E8" w:rsidR="00B40902" w:rsidRDefault="0018560B" w:rsidP="0018560B">
      <w:r w:rsidRPr="0018560B">
        <w:t>From</w:t>
      </w:r>
      <w:r>
        <w:t xml:space="preserve"> the above characterizati</w:t>
      </w:r>
      <w:r w:rsidR="001D26BC">
        <w:t>on of Event</w:t>
      </w:r>
      <w:r>
        <w:t xml:space="preserve"> B series, the LTE </w:t>
      </w:r>
      <w:proofErr w:type="spellStart"/>
      <w:r>
        <w:t>MeNB</w:t>
      </w:r>
      <w:proofErr w:type="spellEnd"/>
      <w:r>
        <w:t xml:space="preserve"> can use the</w:t>
      </w:r>
      <w:r w:rsidR="00EA2570">
        <w:t xml:space="preserve"> B series</w:t>
      </w:r>
      <w:r>
        <w:t xml:space="preserve"> events to perform NR </w:t>
      </w:r>
      <w:proofErr w:type="spellStart"/>
      <w:r>
        <w:t>SgNB</w:t>
      </w:r>
      <w:proofErr w:type="spellEnd"/>
      <w:r>
        <w:t xml:space="preserve"> addition (e.g. using Event B1)</w:t>
      </w:r>
      <w:r w:rsidR="001D26BC">
        <w:t xml:space="preserve"> as well as</w:t>
      </w:r>
      <w:r>
        <w:t xml:space="preserve"> inter-RAT handover (e.g. using Event B1 and/or Event B2)</w:t>
      </w:r>
      <w:r w:rsidR="00EA2570">
        <w:t xml:space="preserve">. </w:t>
      </w:r>
    </w:p>
    <w:p w14:paraId="2ED89FAA" w14:textId="115FA7C1" w:rsidR="0018560B" w:rsidRDefault="00EA2570" w:rsidP="00B40902">
      <w:r w:rsidRPr="00806336">
        <w:rPr>
          <w:b/>
        </w:rPr>
        <w:t>Proposal#1</w:t>
      </w:r>
      <w:r>
        <w:t xml:space="preserve">: Events B1 can be used </w:t>
      </w:r>
      <w:r w:rsidR="009B6DDF">
        <w:t xml:space="preserve">as a measurement event for </w:t>
      </w:r>
      <w:r>
        <w:t xml:space="preserve">NR </w:t>
      </w:r>
      <w:proofErr w:type="spellStart"/>
      <w:r>
        <w:t>SgNB</w:t>
      </w:r>
      <w:proofErr w:type="spellEnd"/>
      <w:r>
        <w:t xml:space="preserve"> additi</w:t>
      </w:r>
      <w:r w:rsidR="007A3476">
        <w:t xml:space="preserve">on </w:t>
      </w:r>
      <w:r w:rsidR="009B6DDF">
        <w:t xml:space="preserve">in </w:t>
      </w:r>
      <w:r w:rsidR="007A3476">
        <w:t>EN</w:t>
      </w:r>
      <w:r>
        <w:t>-DC</w:t>
      </w:r>
      <w:r w:rsidR="009B6DDF">
        <w:t>.</w:t>
      </w:r>
      <w:r>
        <w:t xml:space="preserve"> </w:t>
      </w:r>
      <w:r w:rsidR="009B6DDF">
        <w:t>Event B2 can be used as a measurement event for inter-RAT handover from LTE to NR.</w:t>
      </w:r>
    </w:p>
    <w:p w14:paraId="55E17E50" w14:textId="0490FAE1" w:rsidR="001D26BC" w:rsidRDefault="001D26BC" w:rsidP="00A20732">
      <w:r>
        <w:t xml:space="preserve">In the case that EN-DC operation has been configured, the serving cells of the SN NR may also be an inter-RAT handover target (i.e. the NR </w:t>
      </w:r>
      <w:proofErr w:type="spellStart"/>
      <w:r>
        <w:t>SCell</w:t>
      </w:r>
      <w:proofErr w:type="spellEnd"/>
      <w:r>
        <w:t xml:space="preserve"> or </w:t>
      </w:r>
      <w:proofErr w:type="spellStart"/>
      <w:r>
        <w:t>PSCell</w:t>
      </w:r>
      <w:proofErr w:type="spellEnd"/>
      <w:r>
        <w:t>).  It has to be clear</w:t>
      </w:r>
      <w:r w:rsidR="00100016">
        <w:t>ly specified</w:t>
      </w:r>
      <w:r>
        <w:t xml:space="preserve"> that the inter-RAT neighbour can also inc</w:t>
      </w:r>
      <w:r w:rsidR="007A3476">
        <w:t xml:space="preserve">lude serving cell on that target </w:t>
      </w:r>
      <w:r>
        <w:t>RAT</w:t>
      </w:r>
      <w:r w:rsidR="009B6DDF">
        <w:t xml:space="preserve"> for inter-RAT handover from LTE to NR</w:t>
      </w:r>
      <w:r>
        <w:t>.</w:t>
      </w:r>
    </w:p>
    <w:p w14:paraId="637C5C61" w14:textId="07D624A9" w:rsidR="001D26BC" w:rsidRDefault="001D26BC" w:rsidP="00A20732">
      <w:r w:rsidRPr="001D26BC">
        <w:rPr>
          <w:b/>
        </w:rPr>
        <w:lastRenderedPageBreak/>
        <w:t>Proposal#2</w:t>
      </w:r>
      <w:r>
        <w:t xml:space="preserve">: Specify explicitly that </w:t>
      </w:r>
      <w:r w:rsidR="00DF3F36">
        <w:t xml:space="preserve">serving cells in NR SCG can be also considered as </w:t>
      </w:r>
      <w:r>
        <w:t xml:space="preserve">the inter-RAT neighbour in Event B2 </w:t>
      </w:r>
      <w:r w:rsidR="009B6DDF">
        <w:t>when UE is configured with</w:t>
      </w:r>
      <w:r>
        <w:t xml:space="preserve"> EN-DC case.</w:t>
      </w:r>
    </w:p>
    <w:p w14:paraId="0823E6BE" w14:textId="77777777" w:rsidR="00A20732" w:rsidRDefault="00A20732" w:rsidP="00A20732">
      <w:r>
        <w:t xml:space="preserve">It is agreed that the MN could initiate SN change in the EN-DC case: </w:t>
      </w:r>
    </w:p>
    <w:p w14:paraId="6457BC12" w14:textId="27DC68B0" w:rsidR="00A20732" w:rsidRDefault="00A20732" w:rsidP="00A20732">
      <w:pPr>
        <w:ind w:left="720"/>
      </w:pPr>
      <w:r w:rsidRPr="00A178E0">
        <w:t>MN can a</w:t>
      </w:r>
      <w:r>
        <w:t xml:space="preserve">lso trigger an inter-frequency </w:t>
      </w:r>
      <w:r w:rsidRPr="00A178E0">
        <w:t>SN change without any request from the SN.</w:t>
      </w:r>
    </w:p>
    <w:p w14:paraId="7D390836" w14:textId="5AC286B0" w:rsidR="00EA2570" w:rsidRDefault="00EA2570" w:rsidP="00B40902">
      <w:r>
        <w:t xml:space="preserve">However, for </w:t>
      </w:r>
      <w:r w:rsidR="009B6DDF">
        <w:t>EN</w:t>
      </w:r>
      <w:r>
        <w:t>-DC, there is also a need to handle SN change betw</w:t>
      </w:r>
      <w:r w:rsidR="00A20732">
        <w:t>een NR and LTE SN, other than between NR and NR SN</w:t>
      </w:r>
      <w:r>
        <w:t xml:space="preserve">. The following </w:t>
      </w:r>
      <w:r w:rsidR="00CC2667">
        <w:t xml:space="preserve">MN initiated </w:t>
      </w:r>
      <w:r>
        <w:t>SN change is possible</w:t>
      </w:r>
      <w:r w:rsidR="00975537">
        <w:t xml:space="preserve"> for EN</w:t>
      </w:r>
      <w:r>
        <w:t>-DC:</w:t>
      </w:r>
    </w:p>
    <w:p w14:paraId="3D0568ED" w14:textId="1B00E094" w:rsidR="00EA2570" w:rsidRDefault="00EA2570" w:rsidP="00EA2570">
      <w:pPr>
        <w:pStyle w:val="ListParagraph"/>
        <w:numPr>
          <w:ilvl w:val="0"/>
          <w:numId w:val="5"/>
        </w:numPr>
      </w:pPr>
      <w:r>
        <w:t>LTE</w:t>
      </w:r>
      <w:r w:rsidR="00CA0E9D">
        <w:t xml:space="preserve"> SN</w:t>
      </w:r>
      <w:r>
        <w:t xml:space="preserve"> to NR</w:t>
      </w:r>
      <w:r w:rsidR="00CA0E9D">
        <w:t xml:space="preserve"> SN</w:t>
      </w:r>
    </w:p>
    <w:p w14:paraId="2EFF25D3" w14:textId="1E1ACEFB" w:rsidR="00EA2570" w:rsidRDefault="00EA2570" w:rsidP="00EA2570">
      <w:pPr>
        <w:pStyle w:val="ListParagraph"/>
        <w:numPr>
          <w:ilvl w:val="0"/>
          <w:numId w:val="5"/>
        </w:numPr>
      </w:pPr>
      <w:r>
        <w:t>NR</w:t>
      </w:r>
      <w:r w:rsidR="00CA0E9D">
        <w:t xml:space="preserve"> SN</w:t>
      </w:r>
      <w:r>
        <w:t xml:space="preserve"> to LTE</w:t>
      </w:r>
      <w:r w:rsidR="00CA0E9D">
        <w:t xml:space="preserve"> SN</w:t>
      </w:r>
    </w:p>
    <w:p w14:paraId="327C7439" w14:textId="00D88904" w:rsidR="00EA2570" w:rsidRDefault="00EA2570" w:rsidP="00EA2570">
      <w:pPr>
        <w:pStyle w:val="ListParagraph"/>
        <w:numPr>
          <w:ilvl w:val="0"/>
          <w:numId w:val="5"/>
        </w:numPr>
      </w:pPr>
      <w:r>
        <w:t>NR</w:t>
      </w:r>
      <w:r w:rsidR="00CA0E9D">
        <w:t xml:space="preserve"> SN</w:t>
      </w:r>
      <w:r>
        <w:t xml:space="preserve"> to </w:t>
      </w:r>
      <w:r w:rsidR="00CA0E9D">
        <w:t xml:space="preserve">another </w:t>
      </w:r>
      <w:r>
        <w:t>NR</w:t>
      </w:r>
      <w:r w:rsidR="00CA0E9D">
        <w:t xml:space="preserve"> SN</w:t>
      </w:r>
    </w:p>
    <w:p w14:paraId="0FFD02E5" w14:textId="73B5FDF4" w:rsidR="00EA2570" w:rsidRDefault="00EA2570" w:rsidP="00B40902">
      <w:r>
        <w:t>For case (</w:t>
      </w:r>
      <w:proofErr w:type="spellStart"/>
      <w:r>
        <w:t>i</w:t>
      </w:r>
      <w:proofErr w:type="spellEnd"/>
      <w:r>
        <w:t>)</w:t>
      </w:r>
      <w:r w:rsidR="00687FDD">
        <w:t xml:space="preserve">, it can depend on </w:t>
      </w:r>
      <w:r w:rsidR="00685E1A">
        <w:t xml:space="preserve">the existing </w:t>
      </w:r>
      <w:r w:rsidR="00687FDD">
        <w:t xml:space="preserve">Event B1 to allow the </w:t>
      </w:r>
      <w:r w:rsidR="009B6DDF">
        <w:t>detection of</w:t>
      </w:r>
      <w:r w:rsidR="00687FDD">
        <w:t xml:space="preserve"> SN </w:t>
      </w:r>
      <w:proofErr w:type="spellStart"/>
      <w:r w:rsidR="00687FDD">
        <w:t>SgNB</w:t>
      </w:r>
      <w:proofErr w:type="spellEnd"/>
      <w:r w:rsidR="009B6DDF">
        <w:t xml:space="preserve"> for SN change</w:t>
      </w:r>
      <w:r w:rsidR="00EF39B9">
        <w:t xml:space="preserve">. However, it would also be good to </w:t>
      </w:r>
      <w:r w:rsidR="00685E1A">
        <w:t>have an event comparing</w:t>
      </w:r>
      <w:r w:rsidR="00EF39B9">
        <w:t xml:space="preserve"> the </w:t>
      </w:r>
      <w:proofErr w:type="spellStart"/>
      <w:r w:rsidR="00EF39B9">
        <w:t>PSCell</w:t>
      </w:r>
      <w:proofErr w:type="spellEnd"/>
      <w:r w:rsidR="00EF39B9">
        <w:t xml:space="preserve"> of the LTE </w:t>
      </w:r>
      <w:proofErr w:type="spellStart"/>
      <w:r w:rsidR="00EF39B9">
        <w:t>SeNB</w:t>
      </w:r>
      <w:proofErr w:type="spellEnd"/>
      <w:r w:rsidR="00EF39B9">
        <w:t xml:space="preserve"> with the </w:t>
      </w:r>
      <w:r w:rsidR="00685E1A">
        <w:t xml:space="preserve">NR neighbour. This is similar to extending the Event A5 also to </w:t>
      </w:r>
      <w:proofErr w:type="spellStart"/>
      <w:r w:rsidR="00685E1A">
        <w:t>PSCell</w:t>
      </w:r>
      <w:proofErr w:type="spellEnd"/>
      <w:r w:rsidR="00685E1A">
        <w:t xml:space="preserve"> in the LTE DC case</w:t>
      </w:r>
      <w:r w:rsidR="009B6DDF">
        <w:t xml:space="preserve"> (i.e. to cover the case where </w:t>
      </w:r>
      <w:proofErr w:type="spellStart"/>
      <w:r w:rsidR="009B6DDF">
        <w:t>PSCell</w:t>
      </w:r>
      <w:proofErr w:type="spellEnd"/>
      <w:r w:rsidR="009B6DDF">
        <w:t xml:space="preserve"> becomes worse than threshold1 and neighbour becomes better than threshold2)</w:t>
      </w:r>
      <w:r w:rsidR="00685E1A">
        <w:t>.</w:t>
      </w:r>
    </w:p>
    <w:p w14:paraId="33515E44" w14:textId="26B2066C" w:rsidR="00685E1A" w:rsidRDefault="003B1C07" w:rsidP="00B40902">
      <w:r>
        <w:rPr>
          <w:b/>
        </w:rPr>
        <w:t>Proposal#3</w:t>
      </w:r>
      <w:r w:rsidR="00685E1A">
        <w:t>: For SN change from LTE to NR, Event B2 should be extended to allow for comparing</w:t>
      </w:r>
      <w:r w:rsidR="00CA0E9D">
        <w:t xml:space="preserve"> </w:t>
      </w:r>
      <w:proofErr w:type="spellStart"/>
      <w:r w:rsidR="00CA0E9D">
        <w:t>PSCell</w:t>
      </w:r>
      <w:proofErr w:type="spellEnd"/>
      <w:r w:rsidR="00CA0E9D">
        <w:t xml:space="preserve"> of the LTE </w:t>
      </w:r>
      <w:proofErr w:type="spellStart"/>
      <w:r w:rsidR="00CA0E9D">
        <w:t>SeNB</w:t>
      </w:r>
      <w:proofErr w:type="spellEnd"/>
      <w:r w:rsidR="00CA0E9D">
        <w:t xml:space="preserve"> with a</w:t>
      </w:r>
      <w:r w:rsidR="00685E1A">
        <w:t xml:space="preserve"> NR neighbour.</w:t>
      </w:r>
    </w:p>
    <w:p w14:paraId="00C2CA7B" w14:textId="77777777" w:rsidR="00A20732" w:rsidRDefault="00685E1A" w:rsidP="00B40902">
      <w:r>
        <w:t xml:space="preserve">For case (ii) and (iii), </w:t>
      </w:r>
      <w:r w:rsidR="00CC2667">
        <w:t xml:space="preserve">again it would be good to compare the </w:t>
      </w:r>
      <w:proofErr w:type="spellStart"/>
      <w:r w:rsidR="00CC2667">
        <w:t>PSCell</w:t>
      </w:r>
      <w:proofErr w:type="spellEnd"/>
      <w:r w:rsidR="00CC2667">
        <w:t xml:space="preserve"> of the SN with the neighbour</w:t>
      </w:r>
      <w:r w:rsidR="00A20732">
        <w:t>, similar to Event B2 and A5.</w:t>
      </w:r>
      <w:r w:rsidR="00CC2667">
        <w:t xml:space="preserve"> </w:t>
      </w:r>
      <w:r w:rsidR="00A20732">
        <w:t xml:space="preserve">However, </w:t>
      </w:r>
      <w:r>
        <w:t xml:space="preserve">the characteristics of Event </w:t>
      </w:r>
      <w:proofErr w:type="gramStart"/>
      <w:r>
        <w:t>A</w:t>
      </w:r>
      <w:proofErr w:type="gramEnd"/>
      <w:r>
        <w:t xml:space="preserve"> series and B series do not seem to fit in quite well</w:t>
      </w:r>
      <w:r w:rsidR="00CC2667">
        <w:t xml:space="preserve"> to the characteristics of the need</w:t>
      </w:r>
      <w:r w:rsidR="00A20732">
        <w:t xml:space="preserve"> of such SN change</w:t>
      </w:r>
      <w:r>
        <w:t xml:space="preserve">. </w:t>
      </w:r>
      <w:r w:rsidR="00CC2667">
        <w:t>For example, in</w:t>
      </w:r>
      <w:r>
        <w:t xml:space="preserve"> case </w:t>
      </w:r>
      <w:r w:rsidR="00A20732">
        <w:t xml:space="preserve">of </w:t>
      </w:r>
      <w:r>
        <w:t xml:space="preserve">(ii), the reference cell is </w:t>
      </w:r>
      <w:r w:rsidR="00CC2667">
        <w:t xml:space="preserve">the </w:t>
      </w:r>
      <w:proofErr w:type="spellStart"/>
      <w:r w:rsidR="00CC2667">
        <w:t>PSCell</w:t>
      </w:r>
      <w:proofErr w:type="spellEnd"/>
      <w:r w:rsidR="00CC2667">
        <w:t xml:space="preserve"> of the NR SN while the neighbour is an intra-RAT neighbour</w:t>
      </w:r>
      <w:r w:rsidR="00A20732">
        <w:t xml:space="preserve">. This is neither Event A nor B series. In the case of (iii), it is comparing 2 inter-RAT cells, one being the reference cell </w:t>
      </w:r>
      <w:proofErr w:type="spellStart"/>
      <w:r w:rsidR="00A20732">
        <w:t>PSCell</w:t>
      </w:r>
      <w:proofErr w:type="spellEnd"/>
      <w:r w:rsidR="00A20732">
        <w:t xml:space="preserve"> of the NR SN and the other NR neighbour.  Hence a new event series is needed to handle both of the cases in LTE. The characteristics of new event series is:</w:t>
      </w:r>
    </w:p>
    <w:p w14:paraId="0D318D77" w14:textId="77777777" w:rsidR="00C07990" w:rsidRDefault="00C07990" w:rsidP="00C07990">
      <w:pPr>
        <w:pStyle w:val="ListParagraph"/>
        <w:numPr>
          <w:ilvl w:val="0"/>
          <w:numId w:val="4"/>
        </w:numPr>
        <w:spacing w:after="0" w:line="240" w:lineRule="auto"/>
        <w:contextualSpacing w:val="0"/>
      </w:pPr>
      <w:r>
        <w:t xml:space="preserve">May contain reference cell which is different RAT to the MN or the </w:t>
      </w:r>
      <w:proofErr w:type="spellStart"/>
      <w:r>
        <w:t>PCell</w:t>
      </w:r>
      <w:proofErr w:type="spellEnd"/>
    </w:p>
    <w:p w14:paraId="7F165EB9" w14:textId="601095CA" w:rsidR="00B40902" w:rsidRDefault="00C07990" w:rsidP="00C07990">
      <w:pPr>
        <w:pStyle w:val="ListParagraph"/>
        <w:numPr>
          <w:ilvl w:val="0"/>
          <w:numId w:val="4"/>
        </w:numPr>
      </w:pPr>
      <w:r>
        <w:t xml:space="preserve">Neighbour cell belongs to the RAT of the MN(or the </w:t>
      </w:r>
      <w:proofErr w:type="spellStart"/>
      <w:r>
        <w:t>PCell</w:t>
      </w:r>
      <w:proofErr w:type="spellEnd"/>
      <w:r>
        <w:t xml:space="preserve">) or to the RAT of the SN(or the </w:t>
      </w:r>
      <w:proofErr w:type="spellStart"/>
      <w:r>
        <w:t>PSCell</w:t>
      </w:r>
      <w:proofErr w:type="spellEnd"/>
      <w:r>
        <w:t>)</w:t>
      </w:r>
    </w:p>
    <w:p w14:paraId="70E6813D" w14:textId="5A7E2004" w:rsidR="00B40902" w:rsidRDefault="00B40902" w:rsidP="00B54901">
      <w:r>
        <w:t>This will allow SN change between NR SN and from NR SN to LTE SN while with LTE MN.</w:t>
      </w:r>
      <w:r w:rsidR="00B54901">
        <w:t xml:space="preserve">  With this new event series, the following events can be defined:</w:t>
      </w:r>
    </w:p>
    <w:p w14:paraId="09C21DD6" w14:textId="64ECBFBE" w:rsidR="00B54901" w:rsidRDefault="00B40902" w:rsidP="00B54901">
      <w:pPr>
        <w:pStyle w:val="ListParagraph"/>
        <w:numPr>
          <w:ilvl w:val="0"/>
          <w:numId w:val="8"/>
        </w:numPr>
      </w:pPr>
      <w:r>
        <w:t>For MN initiat</w:t>
      </w:r>
      <w:r w:rsidR="002E279C">
        <w:t>ed NR to NR SN change =&gt; Event N</w:t>
      </w:r>
      <w:r>
        <w:t xml:space="preserve">1: NR Neighbour is offset better than the NR SN </w:t>
      </w:r>
      <w:proofErr w:type="spellStart"/>
      <w:r>
        <w:t>PSCell</w:t>
      </w:r>
      <w:proofErr w:type="spellEnd"/>
    </w:p>
    <w:p w14:paraId="75F787DF" w14:textId="3428930C" w:rsidR="00B40902" w:rsidRDefault="00B40902" w:rsidP="003B1C07">
      <w:pPr>
        <w:pStyle w:val="ListParagraph"/>
        <w:numPr>
          <w:ilvl w:val="0"/>
          <w:numId w:val="8"/>
        </w:numPr>
      </w:pPr>
      <w:r>
        <w:t>For MN initiate</w:t>
      </w:r>
      <w:r w:rsidR="002E279C">
        <w:t>d NR to LTE SN change =&gt; Event N</w:t>
      </w:r>
      <w:r>
        <w:t xml:space="preserve">2: NR SN </w:t>
      </w:r>
      <w:proofErr w:type="spellStart"/>
      <w:r>
        <w:t>PSCell</w:t>
      </w:r>
      <w:proofErr w:type="spellEnd"/>
      <w:r>
        <w:t xml:space="preserve"> is worse than threshold#1 and LTE Neighbour is better than threshold#2 </w:t>
      </w:r>
    </w:p>
    <w:p w14:paraId="139E1465" w14:textId="3CB335AE" w:rsidR="003B1C07" w:rsidRDefault="003B1C07" w:rsidP="003B1C07">
      <w:r>
        <w:t xml:space="preserve">Alternative to (1) and (2), it is to extend Event B2 to include NR </w:t>
      </w:r>
      <w:proofErr w:type="spellStart"/>
      <w:r>
        <w:t>PSCell</w:t>
      </w:r>
      <w:proofErr w:type="spellEnd"/>
      <w:r>
        <w:t xml:space="preserve"> as a reference cell and allowing the neighbour not just be inter-RAT neighbour, but also intra-RAT neighbour. However, we have a preference to go with a new event series: </w:t>
      </w:r>
    </w:p>
    <w:p w14:paraId="38AFD419" w14:textId="481566D9" w:rsidR="00B40902" w:rsidRDefault="00B54901" w:rsidP="000E02E3">
      <w:r w:rsidRPr="00B54901">
        <w:rPr>
          <w:b/>
        </w:rPr>
        <w:t>P</w:t>
      </w:r>
      <w:r w:rsidR="003B1C07">
        <w:rPr>
          <w:b/>
        </w:rPr>
        <w:t>roposal#4</w:t>
      </w:r>
      <w:r>
        <w:t>: Introduce a new event series</w:t>
      </w:r>
      <w:r w:rsidR="002E279C">
        <w:t xml:space="preserve"> (Event N series)</w:t>
      </w:r>
      <w:r>
        <w:t xml:space="preserve"> with the following characteristics:</w:t>
      </w:r>
    </w:p>
    <w:p w14:paraId="13B622A2" w14:textId="77777777" w:rsidR="00C07990" w:rsidRDefault="00C07990" w:rsidP="00C07990">
      <w:pPr>
        <w:pStyle w:val="ListParagraph"/>
        <w:numPr>
          <w:ilvl w:val="0"/>
          <w:numId w:val="4"/>
        </w:numPr>
        <w:spacing w:after="0" w:line="240" w:lineRule="auto"/>
        <w:contextualSpacing w:val="0"/>
      </w:pPr>
      <w:r>
        <w:t xml:space="preserve">May contain reference cell which is different RAT to the MN or the </w:t>
      </w:r>
      <w:proofErr w:type="spellStart"/>
      <w:r>
        <w:t>PCell</w:t>
      </w:r>
      <w:proofErr w:type="spellEnd"/>
    </w:p>
    <w:p w14:paraId="3E3BF367" w14:textId="4D5B627D" w:rsidR="00B54901" w:rsidRDefault="00C07990" w:rsidP="00C07990">
      <w:pPr>
        <w:pStyle w:val="ListParagraph"/>
        <w:numPr>
          <w:ilvl w:val="0"/>
          <w:numId w:val="4"/>
        </w:numPr>
      </w:pPr>
      <w:r>
        <w:t xml:space="preserve">Neighbour cell belongs to the RAT of the MN(or the </w:t>
      </w:r>
      <w:proofErr w:type="spellStart"/>
      <w:r>
        <w:t>PCell</w:t>
      </w:r>
      <w:proofErr w:type="spellEnd"/>
      <w:r>
        <w:t xml:space="preserve">) or to the RAT of the SN(or the </w:t>
      </w:r>
      <w:proofErr w:type="spellStart"/>
      <w:r>
        <w:t>PSCell</w:t>
      </w:r>
      <w:proofErr w:type="spellEnd"/>
      <w:r>
        <w:t>)</w:t>
      </w:r>
    </w:p>
    <w:p w14:paraId="0D77754C" w14:textId="39400D05" w:rsidR="003B1C07" w:rsidRDefault="003B1C07" w:rsidP="000E02E3">
      <w:r>
        <w:rPr>
          <w:b/>
        </w:rPr>
        <w:t>Proposal#5</w:t>
      </w:r>
      <w:r w:rsidR="002E279C">
        <w:t>: Introduce the following new event</w:t>
      </w:r>
      <w:r>
        <w:t>s for MN initiated</w:t>
      </w:r>
      <w:r w:rsidR="003E35B3">
        <w:t xml:space="preserve"> inter-frequency</w:t>
      </w:r>
      <w:r>
        <w:t xml:space="preserve"> NR to NR and NR to LTE SN change:</w:t>
      </w:r>
    </w:p>
    <w:p w14:paraId="54CAFB8F" w14:textId="77777777" w:rsidR="003B1C07" w:rsidRDefault="003B1C07" w:rsidP="003B1C07">
      <w:pPr>
        <w:pStyle w:val="ListParagraph"/>
        <w:numPr>
          <w:ilvl w:val="0"/>
          <w:numId w:val="4"/>
        </w:numPr>
      </w:pPr>
      <w:r>
        <w:t xml:space="preserve">For MN initiated NR to NR SN change =&gt; Event N1: NR Neighbour is offset better than the NR SN </w:t>
      </w:r>
      <w:proofErr w:type="spellStart"/>
      <w:r>
        <w:t>PSCell</w:t>
      </w:r>
      <w:proofErr w:type="spellEnd"/>
    </w:p>
    <w:p w14:paraId="63BDA70A" w14:textId="06235BC6" w:rsidR="00B54901" w:rsidRDefault="003B1C07" w:rsidP="00362AE6">
      <w:pPr>
        <w:pStyle w:val="ListParagraph"/>
        <w:numPr>
          <w:ilvl w:val="0"/>
          <w:numId w:val="4"/>
        </w:numPr>
      </w:pPr>
      <w:r>
        <w:t xml:space="preserve">For MN initiated NR to LTE SN change =&gt; Event N2: NR SN </w:t>
      </w:r>
      <w:proofErr w:type="spellStart"/>
      <w:r>
        <w:t>PSCell</w:t>
      </w:r>
      <w:proofErr w:type="spellEnd"/>
      <w:r>
        <w:t xml:space="preserve"> is worse than threshold#1 and LTE Neighbour is better than threshold#2.</w:t>
      </w:r>
      <w:r w:rsidR="002E279C">
        <w:t xml:space="preserve"> </w:t>
      </w:r>
    </w:p>
    <w:p w14:paraId="48F53040" w14:textId="77777777" w:rsidR="00100016" w:rsidRDefault="00100016" w:rsidP="00100016">
      <w:pPr>
        <w:pStyle w:val="ListParagraph"/>
        <w:ind w:left="0"/>
      </w:pPr>
    </w:p>
    <w:p w14:paraId="0148EF08" w14:textId="3AC489D3" w:rsidR="00100016" w:rsidRDefault="00100016" w:rsidP="00100016">
      <w:pPr>
        <w:pStyle w:val="ListParagraph"/>
        <w:ind w:left="0"/>
      </w:pPr>
      <w:r>
        <w:t xml:space="preserve">As on the need to have measurement event for MN initiated SN release, MN releases SN typically due to SN change or when it no longer need SN for throughput. Furthermore, SN can decide on whether the RF condition of the </w:t>
      </w:r>
      <w:proofErr w:type="spellStart"/>
      <w:r>
        <w:t>PSCell</w:t>
      </w:r>
      <w:proofErr w:type="spellEnd"/>
      <w:r>
        <w:t xml:space="preserve"> is good enough via similar measurement event such as Event A2 to decide whether to release on its own (i.e. via SN initiated SN release procedure). Hence new measurement event or modifying existing event (e.g. to include report on leave on Event B1) for triggering MN initiated SN release is not seen as necessary.</w:t>
      </w:r>
    </w:p>
    <w:p w14:paraId="4576566A" w14:textId="77777777" w:rsidR="00100016" w:rsidRDefault="00100016" w:rsidP="00100016">
      <w:pPr>
        <w:pStyle w:val="ListParagraph"/>
        <w:ind w:left="0"/>
      </w:pPr>
    </w:p>
    <w:p w14:paraId="4CA2D9EE" w14:textId="01CCEF4B" w:rsidR="00100016" w:rsidRDefault="00100016" w:rsidP="00100016">
      <w:pPr>
        <w:pStyle w:val="ListParagraph"/>
        <w:ind w:left="0"/>
      </w:pPr>
      <w:r w:rsidRPr="00100016">
        <w:rPr>
          <w:b/>
        </w:rPr>
        <w:t>Proposal#6:</w:t>
      </w:r>
      <w:r>
        <w:t xml:space="preserve"> There is no need for new measurement event for MN initiated SN release.</w:t>
      </w:r>
    </w:p>
    <w:p w14:paraId="2AE6D99F" w14:textId="77777777" w:rsidR="00FB082B" w:rsidRDefault="00FB082B" w:rsidP="00FB082B">
      <w:pPr>
        <w:pStyle w:val="Heading1"/>
      </w:pPr>
      <w:r>
        <w:t>Conclusion and proposals</w:t>
      </w:r>
    </w:p>
    <w:p w14:paraId="2AE6D9A0" w14:textId="0716B402" w:rsidR="00FB082B" w:rsidRDefault="00E30DAC" w:rsidP="00FB082B">
      <w:r>
        <w:t>It is requested that RAN 2 discuss and agree on the following proposal</w:t>
      </w:r>
      <w:r w:rsidR="00975537">
        <w:t>s</w:t>
      </w:r>
      <w:r>
        <w:t>:</w:t>
      </w:r>
    </w:p>
    <w:p w14:paraId="0526F32A" w14:textId="77777777" w:rsidR="00013DDC" w:rsidRDefault="00013DDC" w:rsidP="00013DDC">
      <w:r w:rsidRPr="00806336">
        <w:rPr>
          <w:b/>
        </w:rPr>
        <w:t>Proposal#1</w:t>
      </w:r>
      <w:r>
        <w:t xml:space="preserve">: Events B1 can be used as a measurement event for NR </w:t>
      </w:r>
      <w:proofErr w:type="spellStart"/>
      <w:r>
        <w:t>SgNB</w:t>
      </w:r>
      <w:proofErr w:type="spellEnd"/>
      <w:r>
        <w:t xml:space="preserve"> addition in EN-DC. Event B2 can be used as a measurement event for inter-RAT handover from LTE to NR.</w:t>
      </w:r>
    </w:p>
    <w:p w14:paraId="5E517CDD" w14:textId="77777777" w:rsidR="00013DDC" w:rsidRDefault="00013DDC" w:rsidP="00013DDC">
      <w:r w:rsidRPr="001D26BC">
        <w:rPr>
          <w:b/>
        </w:rPr>
        <w:t>Proposal#2</w:t>
      </w:r>
      <w:r>
        <w:t>: Specify explicitly that serving cells in NR SCG can be also considered as the inter-RAT neighbour in Event B2 when UE is configured with EN-DC case.</w:t>
      </w:r>
    </w:p>
    <w:p w14:paraId="07D054AA" w14:textId="77777777" w:rsidR="00013DDC" w:rsidRDefault="00013DDC" w:rsidP="00013DDC">
      <w:r>
        <w:rPr>
          <w:b/>
        </w:rPr>
        <w:t>Proposal#3</w:t>
      </w:r>
      <w:r>
        <w:t xml:space="preserve">: For SN change from LTE to NR, Event B2 should be extended to allow for comparing </w:t>
      </w:r>
      <w:proofErr w:type="spellStart"/>
      <w:r>
        <w:t>PSCell</w:t>
      </w:r>
      <w:proofErr w:type="spellEnd"/>
      <w:r>
        <w:t xml:space="preserve"> of the LTE </w:t>
      </w:r>
      <w:proofErr w:type="spellStart"/>
      <w:r>
        <w:t>SeNB</w:t>
      </w:r>
      <w:proofErr w:type="spellEnd"/>
      <w:r>
        <w:t xml:space="preserve"> with a NR neighbour.</w:t>
      </w:r>
    </w:p>
    <w:p w14:paraId="3C6905F5" w14:textId="77777777" w:rsidR="00013DDC" w:rsidRDefault="00013DDC" w:rsidP="00013DDC">
      <w:r w:rsidRPr="00B54901">
        <w:rPr>
          <w:b/>
        </w:rPr>
        <w:t>P</w:t>
      </w:r>
      <w:r>
        <w:rPr>
          <w:b/>
        </w:rPr>
        <w:t>roposal#4</w:t>
      </w:r>
      <w:r>
        <w:t>: Introduce a new event series (Event N series) with the following characteristics:</w:t>
      </w:r>
    </w:p>
    <w:p w14:paraId="241653B0" w14:textId="77777777" w:rsidR="00013DDC" w:rsidRDefault="00013DDC" w:rsidP="00013DDC">
      <w:pPr>
        <w:pStyle w:val="ListParagraph"/>
        <w:numPr>
          <w:ilvl w:val="0"/>
          <w:numId w:val="4"/>
        </w:numPr>
        <w:spacing w:after="0" w:line="240" w:lineRule="auto"/>
        <w:contextualSpacing w:val="0"/>
      </w:pPr>
      <w:r>
        <w:t xml:space="preserve">May contain reference cell which is different RAT to the MN or the </w:t>
      </w:r>
      <w:proofErr w:type="spellStart"/>
      <w:r>
        <w:t>PCell</w:t>
      </w:r>
      <w:proofErr w:type="spellEnd"/>
    </w:p>
    <w:p w14:paraId="07953C97" w14:textId="77777777" w:rsidR="00013DDC" w:rsidRDefault="00013DDC" w:rsidP="00013DDC">
      <w:pPr>
        <w:pStyle w:val="ListParagraph"/>
        <w:numPr>
          <w:ilvl w:val="0"/>
          <w:numId w:val="4"/>
        </w:numPr>
      </w:pPr>
      <w:r>
        <w:t xml:space="preserve">Neighbour cell belongs to the RAT of the MN(or the </w:t>
      </w:r>
      <w:proofErr w:type="spellStart"/>
      <w:r>
        <w:t>PCell</w:t>
      </w:r>
      <w:proofErr w:type="spellEnd"/>
      <w:r>
        <w:t xml:space="preserve">) or to the RAT of the SN(or the </w:t>
      </w:r>
      <w:proofErr w:type="spellStart"/>
      <w:r>
        <w:t>PSCell</w:t>
      </w:r>
      <w:proofErr w:type="spellEnd"/>
      <w:r>
        <w:t>)</w:t>
      </w:r>
    </w:p>
    <w:p w14:paraId="0342226F" w14:textId="03C92EBA" w:rsidR="00013DDC" w:rsidRDefault="00013DDC" w:rsidP="00013DDC">
      <w:r>
        <w:rPr>
          <w:b/>
        </w:rPr>
        <w:t>Proposal#5</w:t>
      </w:r>
      <w:r>
        <w:t xml:space="preserve">: Introduce the following new events for MN initiated </w:t>
      </w:r>
      <w:r w:rsidR="003E35B3">
        <w:t xml:space="preserve">inter-frequency </w:t>
      </w:r>
      <w:r>
        <w:t>NR to NR and NR to LTE SN change:</w:t>
      </w:r>
    </w:p>
    <w:p w14:paraId="1B2FAAEF" w14:textId="77777777" w:rsidR="00013DDC" w:rsidRDefault="00013DDC" w:rsidP="00013DDC">
      <w:pPr>
        <w:pStyle w:val="ListParagraph"/>
        <w:numPr>
          <w:ilvl w:val="0"/>
          <w:numId w:val="4"/>
        </w:numPr>
      </w:pPr>
      <w:r>
        <w:t xml:space="preserve">For MN initiated NR to NR SN change =&gt; Event N1: NR Neighbour is offset better than the NR SN </w:t>
      </w:r>
      <w:proofErr w:type="spellStart"/>
      <w:r>
        <w:t>PSCell</w:t>
      </w:r>
      <w:proofErr w:type="spellEnd"/>
    </w:p>
    <w:p w14:paraId="0EBD458E" w14:textId="77777777" w:rsidR="00013DDC" w:rsidRDefault="00013DDC" w:rsidP="00013DDC">
      <w:pPr>
        <w:pStyle w:val="ListParagraph"/>
        <w:numPr>
          <w:ilvl w:val="0"/>
          <w:numId w:val="4"/>
        </w:numPr>
      </w:pPr>
      <w:r>
        <w:t xml:space="preserve">For MN initiated NR to LTE SN change =&gt; Event N2: NR SN </w:t>
      </w:r>
      <w:proofErr w:type="spellStart"/>
      <w:r>
        <w:t>PSCell</w:t>
      </w:r>
      <w:proofErr w:type="spellEnd"/>
      <w:r>
        <w:t xml:space="preserve"> is worse than threshold#1 and LTE Neighbour is better than threshold#2. </w:t>
      </w:r>
    </w:p>
    <w:p w14:paraId="015E611A" w14:textId="77777777" w:rsidR="00100016" w:rsidRDefault="00100016" w:rsidP="00100016">
      <w:pPr>
        <w:pStyle w:val="ListParagraph"/>
        <w:ind w:left="0"/>
      </w:pPr>
    </w:p>
    <w:p w14:paraId="26EA9B97" w14:textId="77777777" w:rsidR="00013DDC" w:rsidRDefault="00E30DAC" w:rsidP="00013DDC">
      <w:pPr>
        <w:pStyle w:val="ListParagraph"/>
        <w:ind w:left="0"/>
      </w:pPr>
      <w:r>
        <w:t xml:space="preserve"> </w:t>
      </w:r>
      <w:r w:rsidR="00013DDC" w:rsidRPr="00100016">
        <w:rPr>
          <w:b/>
        </w:rPr>
        <w:t>Proposal#6:</w:t>
      </w:r>
      <w:r w:rsidR="00013DDC">
        <w:t xml:space="preserve"> There is no need for new measurement event for MN initiated SN release.</w:t>
      </w:r>
    </w:p>
    <w:p w14:paraId="5F314CDB" w14:textId="14E16BA0" w:rsidR="00100016" w:rsidRDefault="00100016" w:rsidP="00100016">
      <w:pPr>
        <w:pStyle w:val="ListParagraph"/>
        <w:ind w:left="0"/>
      </w:pPr>
    </w:p>
    <w:p w14:paraId="2AE6D9A3" w14:textId="77777777" w:rsidR="00E30DAC" w:rsidRPr="006F7A26" w:rsidRDefault="00E30DAC" w:rsidP="00E30DAC">
      <w:r>
        <w:t xml:space="preserve"> </w:t>
      </w:r>
    </w:p>
    <w:p w14:paraId="2AE6D9A4" w14:textId="77777777" w:rsidR="00FB082B" w:rsidRPr="00FB082B" w:rsidRDefault="00FB082B" w:rsidP="00FB082B"/>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E0D10"/>
    <w:multiLevelType w:val="hybridMultilevel"/>
    <w:tmpl w:val="380A2E24"/>
    <w:lvl w:ilvl="0" w:tplc="AC50249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6"/>
  </w:num>
  <w:num w:numId="3">
    <w:abstractNumId w:val="5"/>
  </w:num>
  <w:num w:numId="4">
    <w:abstractNumId w:val="7"/>
  </w:num>
  <w:num w:numId="5">
    <w:abstractNumId w:val="3"/>
  </w:num>
  <w:num w:numId="6">
    <w:abstractNumId w:val="7"/>
  </w:num>
  <w:num w:numId="7">
    <w:abstractNumId w:val="8"/>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20E4"/>
    <w:rsid w:val="0000259F"/>
    <w:rsid w:val="000052F6"/>
    <w:rsid w:val="00005E74"/>
    <w:rsid w:val="000122EF"/>
    <w:rsid w:val="000127B5"/>
    <w:rsid w:val="00013A53"/>
    <w:rsid w:val="00013DDC"/>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31A1"/>
    <w:rsid w:val="000A5529"/>
    <w:rsid w:val="000A647B"/>
    <w:rsid w:val="000A6AC1"/>
    <w:rsid w:val="000A6C96"/>
    <w:rsid w:val="000A6F4D"/>
    <w:rsid w:val="000A75B0"/>
    <w:rsid w:val="000B7A4F"/>
    <w:rsid w:val="000C0749"/>
    <w:rsid w:val="000C088C"/>
    <w:rsid w:val="000C1817"/>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375B"/>
    <w:rsid w:val="000F43AB"/>
    <w:rsid w:val="000F4AD6"/>
    <w:rsid w:val="000F6280"/>
    <w:rsid w:val="000F7296"/>
    <w:rsid w:val="0010001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1D67"/>
    <w:rsid w:val="00152274"/>
    <w:rsid w:val="00152315"/>
    <w:rsid w:val="0015254C"/>
    <w:rsid w:val="001539C6"/>
    <w:rsid w:val="00153AE1"/>
    <w:rsid w:val="00154A26"/>
    <w:rsid w:val="00156F72"/>
    <w:rsid w:val="0016368A"/>
    <w:rsid w:val="00164CF9"/>
    <w:rsid w:val="00165AAC"/>
    <w:rsid w:val="00171235"/>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5A8"/>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2FBF"/>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72D8"/>
    <w:rsid w:val="00301541"/>
    <w:rsid w:val="003019C6"/>
    <w:rsid w:val="00301BA2"/>
    <w:rsid w:val="00302D57"/>
    <w:rsid w:val="0030351A"/>
    <w:rsid w:val="00304477"/>
    <w:rsid w:val="00304A9C"/>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044"/>
    <w:rsid w:val="00340D92"/>
    <w:rsid w:val="003436E2"/>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782"/>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5B3"/>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CFF"/>
    <w:rsid w:val="004C422F"/>
    <w:rsid w:val="004C4696"/>
    <w:rsid w:val="004C46DD"/>
    <w:rsid w:val="004C4B7E"/>
    <w:rsid w:val="004C4C69"/>
    <w:rsid w:val="004C4FB1"/>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B10D0"/>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29F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ED2"/>
    <w:rsid w:val="00637171"/>
    <w:rsid w:val="00640F15"/>
    <w:rsid w:val="0064286D"/>
    <w:rsid w:val="0064450D"/>
    <w:rsid w:val="006448B3"/>
    <w:rsid w:val="00645660"/>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49B8"/>
    <w:rsid w:val="00685E1A"/>
    <w:rsid w:val="006870D8"/>
    <w:rsid w:val="00687FDD"/>
    <w:rsid w:val="006914E8"/>
    <w:rsid w:val="006915F7"/>
    <w:rsid w:val="00693049"/>
    <w:rsid w:val="006937F1"/>
    <w:rsid w:val="00693AD6"/>
    <w:rsid w:val="00695C88"/>
    <w:rsid w:val="006960E2"/>
    <w:rsid w:val="00696D53"/>
    <w:rsid w:val="006974A1"/>
    <w:rsid w:val="006A1C3A"/>
    <w:rsid w:val="006A205A"/>
    <w:rsid w:val="006A2765"/>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7283"/>
    <w:rsid w:val="006E0187"/>
    <w:rsid w:val="006E0577"/>
    <w:rsid w:val="006E0843"/>
    <w:rsid w:val="006E0D2E"/>
    <w:rsid w:val="006E1DB3"/>
    <w:rsid w:val="006E5CAC"/>
    <w:rsid w:val="006E5E18"/>
    <w:rsid w:val="006E5EE9"/>
    <w:rsid w:val="006E637F"/>
    <w:rsid w:val="006E7FB8"/>
    <w:rsid w:val="006F3572"/>
    <w:rsid w:val="006F4569"/>
    <w:rsid w:val="006F4590"/>
    <w:rsid w:val="006F714C"/>
    <w:rsid w:val="006F773E"/>
    <w:rsid w:val="006F7A26"/>
    <w:rsid w:val="0070184D"/>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3025"/>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476"/>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0FC"/>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21C1"/>
    <w:rsid w:val="00924524"/>
    <w:rsid w:val="009245F2"/>
    <w:rsid w:val="00925023"/>
    <w:rsid w:val="00926478"/>
    <w:rsid w:val="009272FA"/>
    <w:rsid w:val="009276ED"/>
    <w:rsid w:val="00927D31"/>
    <w:rsid w:val="00927D6F"/>
    <w:rsid w:val="00932808"/>
    <w:rsid w:val="00932B19"/>
    <w:rsid w:val="00932FC8"/>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37"/>
    <w:rsid w:val="0097636F"/>
    <w:rsid w:val="00980C7D"/>
    <w:rsid w:val="00981F35"/>
    <w:rsid w:val="0098317B"/>
    <w:rsid w:val="0098437C"/>
    <w:rsid w:val="009843EB"/>
    <w:rsid w:val="0098485C"/>
    <w:rsid w:val="00984950"/>
    <w:rsid w:val="00984FD5"/>
    <w:rsid w:val="0098673B"/>
    <w:rsid w:val="00986930"/>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B6DDF"/>
    <w:rsid w:val="009C30C1"/>
    <w:rsid w:val="009C376B"/>
    <w:rsid w:val="009C5833"/>
    <w:rsid w:val="009C7D34"/>
    <w:rsid w:val="009D067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FA8"/>
    <w:rsid w:val="009E6D77"/>
    <w:rsid w:val="009F02B3"/>
    <w:rsid w:val="009F115A"/>
    <w:rsid w:val="009F115F"/>
    <w:rsid w:val="009F147C"/>
    <w:rsid w:val="009F1E43"/>
    <w:rsid w:val="009F1EFE"/>
    <w:rsid w:val="009F2E5C"/>
    <w:rsid w:val="009F4073"/>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205B6"/>
    <w:rsid w:val="00B20D44"/>
    <w:rsid w:val="00B2173C"/>
    <w:rsid w:val="00B21752"/>
    <w:rsid w:val="00B230BF"/>
    <w:rsid w:val="00B230E8"/>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0902"/>
    <w:rsid w:val="00B41FDA"/>
    <w:rsid w:val="00B42FA0"/>
    <w:rsid w:val="00B44C5F"/>
    <w:rsid w:val="00B46B65"/>
    <w:rsid w:val="00B46FA2"/>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7A21"/>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312F"/>
    <w:rsid w:val="00C048C5"/>
    <w:rsid w:val="00C05458"/>
    <w:rsid w:val="00C0587B"/>
    <w:rsid w:val="00C058FF"/>
    <w:rsid w:val="00C05B3D"/>
    <w:rsid w:val="00C06172"/>
    <w:rsid w:val="00C06C7B"/>
    <w:rsid w:val="00C06D70"/>
    <w:rsid w:val="00C06FC6"/>
    <w:rsid w:val="00C07990"/>
    <w:rsid w:val="00C10EA6"/>
    <w:rsid w:val="00C11594"/>
    <w:rsid w:val="00C13118"/>
    <w:rsid w:val="00C132DA"/>
    <w:rsid w:val="00C1356D"/>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2CA6"/>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0E9D"/>
    <w:rsid w:val="00CA1719"/>
    <w:rsid w:val="00CA22B0"/>
    <w:rsid w:val="00CA2327"/>
    <w:rsid w:val="00CA2499"/>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701F"/>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54C0"/>
    <w:rsid w:val="00D554C4"/>
    <w:rsid w:val="00D56392"/>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012"/>
    <w:rsid w:val="00DE313F"/>
    <w:rsid w:val="00DE323E"/>
    <w:rsid w:val="00DE36C2"/>
    <w:rsid w:val="00DE4110"/>
    <w:rsid w:val="00DE4D71"/>
    <w:rsid w:val="00DE566B"/>
    <w:rsid w:val="00DE61B2"/>
    <w:rsid w:val="00DE632C"/>
    <w:rsid w:val="00DE63C4"/>
    <w:rsid w:val="00DF067C"/>
    <w:rsid w:val="00DF0F81"/>
    <w:rsid w:val="00DF2535"/>
    <w:rsid w:val="00DF3031"/>
    <w:rsid w:val="00DF3F36"/>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DAC"/>
    <w:rsid w:val="00E318D1"/>
    <w:rsid w:val="00E3194D"/>
    <w:rsid w:val="00E322F4"/>
    <w:rsid w:val="00E32719"/>
    <w:rsid w:val="00E32D15"/>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4607"/>
    <w:rsid w:val="00E74B43"/>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C7944"/>
    <w:rsid w:val="00ED0C6D"/>
    <w:rsid w:val="00ED111E"/>
    <w:rsid w:val="00ED16E3"/>
    <w:rsid w:val="00ED239B"/>
    <w:rsid w:val="00ED265D"/>
    <w:rsid w:val="00ED274A"/>
    <w:rsid w:val="00ED3B10"/>
    <w:rsid w:val="00ED4D65"/>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226"/>
    <w:rsid w:val="00F134E4"/>
    <w:rsid w:val="00F15AE1"/>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A7E"/>
    <w:rsid w:val="00F822B3"/>
    <w:rsid w:val="00F827B8"/>
    <w:rsid w:val="00F82D83"/>
    <w:rsid w:val="00F82F50"/>
    <w:rsid w:val="00F831C8"/>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865"/>
    <w:rsid w:val="00FC0953"/>
    <w:rsid w:val="00FC1224"/>
    <w:rsid w:val="00FC177A"/>
    <w:rsid w:val="00FC30DB"/>
    <w:rsid w:val="00FC4378"/>
    <w:rsid w:val="00FC45ED"/>
    <w:rsid w:val="00FC4B7E"/>
    <w:rsid w:val="00FC4F00"/>
    <w:rsid w:val="00FC5D27"/>
    <w:rsid w:val="00FC6988"/>
    <w:rsid w:val="00FD0F41"/>
    <w:rsid w:val="00FD1214"/>
    <w:rsid w:val="00FD46DB"/>
    <w:rsid w:val="00FD6D75"/>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styleId="z-TopofForm">
    <w:name w:val="HTML Top of Form"/>
    <w:basedOn w:val="Normal"/>
    <w:next w:val="Normal"/>
    <w:link w:val="z-TopofFormChar"/>
    <w:hidden/>
    <w:uiPriority w:val="99"/>
    <w:semiHidden/>
    <w:unhideWhenUsed/>
    <w:rsid w:val="00C07990"/>
    <w:pPr>
      <w:pBdr>
        <w:bottom w:val="single" w:sz="6" w:space="1" w:color="auto"/>
      </w:pBdr>
      <w:spacing w:after="0" w:line="276"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C07990"/>
    <w:rPr>
      <w:rFonts w:ascii="Arial" w:eastAsia="Times New Roman" w:hAnsi="Arial" w:cs="Arial"/>
      <w:vanish/>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6F46D47-B076-4D8B-8FAE-EB4EEBEC5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1D29A-0112-4624-BE22-A6B80333D760}">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1254</Words>
  <Characters>6060</Characters>
  <Application>Microsoft Office Word</Application>
  <DocSecurity>0</DocSecurity>
  <Lines>134</Lines>
  <Paragraphs>87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Intel3</cp:lastModifiedBy>
  <cp:revision>2</cp:revision>
  <dcterms:created xsi:type="dcterms:W3CDTF">2017-06-16T23:53:00Z</dcterms:created>
  <dcterms:modified xsi:type="dcterms:W3CDTF">2017-06-16T23:53:00Z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f4695b04-6caa-4b92-82b2-b62d481bf7cd</vt:lpwstr>
  </property>
  <property fmtid="{D5CDD505-2E9C-101B-9397-08002B2CF9AE}" pid="3" name="CTP_BU">
    <vt:lpwstr>NEXT GEN AND STANDARDS GROUP</vt:lpwstr>
  </property>
  <property fmtid="{D5CDD505-2E9C-101B-9397-08002B2CF9AE}" pid="4" name="CTP_TimeStamp">
    <vt:lpwstr>2017-06-16 23:39:47Z</vt:lpwstr>
  </property>
  <property fmtid="{D5CDD505-2E9C-101B-9397-08002B2CF9AE}" pid="5" name="ContentTypeId">
    <vt:lpwstr>0x01010058DDEB47312E4967BFC1576B96E8C3D40039B5EFFB71B84E46BCEF74BDDA92E4BD</vt:lpwstr>
  </property>
  <property fmtid="{D5CDD505-2E9C-101B-9397-08002B2CF9AE}" pid="6" name="CTPClassification">
    <vt:lpwstr>CTP_IC</vt:lpwstr>
  </property>
</Properties>
</file>