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71E874" w14:textId="6DC92DAD" w:rsidR="00591969" w:rsidRPr="0031551B" w:rsidRDefault="00D5259B" w:rsidP="00591969">
      <w:pPr>
        <w:pStyle w:val="Header"/>
        <w:jc w:val="center"/>
        <w:rPr>
          <w:rFonts w:ascii="Intel Clear" w:hAnsi="Intel Clear" w:cs="Intel Clear"/>
        </w:rPr>
      </w:pPr>
      <w:r>
        <w:rPr>
          <w:rFonts w:ascii="Intel Clear" w:hAnsi="Intel Clear" w:cs="Intel Clear"/>
        </w:rPr>
        <w:t>3GPP TSG-RAN WG2 Meeting #98</w:t>
      </w:r>
      <w:r w:rsidR="00591969" w:rsidRPr="0031551B">
        <w:rPr>
          <w:rFonts w:ascii="Intel Clear" w:hAnsi="Intel Clear" w:cs="Intel Clear"/>
        </w:rPr>
        <w:tab/>
      </w:r>
      <w:r>
        <w:rPr>
          <w:rFonts w:ascii="Intel Clear" w:hAnsi="Intel Clear" w:cs="Intel Clear"/>
        </w:rPr>
        <w:t>R2-170</w:t>
      </w:r>
      <w:r w:rsidR="00E0285A">
        <w:rPr>
          <w:rFonts w:ascii="Intel Clear" w:hAnsi="Intel Clear" w:cs="Intel Clear"/>
        </w:rPr>
        <w:t>4814</w:t>
      </w:r>
    </w:p>
    <w:p w14:paraId="3671E875" w14:textId="0EE76698" w:rsidR="00591969" w:rsidRPr="0031551B" w:rsidRDefault="00D5259B" w:rsidP="00591969">
      <w:pPr>
        <w:pStyle w:val="Header"/>
        <w:rPr>
          <w:rFonts w:ascii="Intel Clear" w:hAnsi="Intel Clear" w:cs="Intel Clear"/>
        </w:rPr>
      </w:pPr>
      <w:r>
        <w:rPr>
          <w:rFonts w:ascii="Intel Clear" w:hAnsi="Intel Clear" w:cs="Intel Clear"/>
        </w:rPr>
        <w:t>Hangzhou, China, 15th – 19th May</w:t>
      </w:r>
      <w:r w:rsidR="00591969" w:rsidRPr="0031551B">
        <w:rPr>
          <w:rFonts w:ascii="Intel Clear" w:hAnsi="Intel Clear" w:cs="Intel Clear"/>
        </w:rPr>
        <w:t xml:space="preserve"> 2017</w:t>
      </w:r>
    </w:p>
    <w:p w14:paraId="3671E876" w14:textId="77777777" w:rsidR="00591969" w:rsidRPr="0031551B" w:rsidRDefault="00591969" w:rsidP="00591969">
      <w:pPr>
        <w:pStyle w:val="Header"/>
        <w:rPr>
          <w:rFonts w:ascii="Intel Clear" w:hAnsi="Intel Clear" w:cs="Intel Clear"/>
        </w:rPr>
      </w:pPr>
    </w:p>
    <w:p w14:paraId="3671E877" w14:textId="447A255E" w:rsidR="00591969" w:rsidRPr="0031551B" w:rsidRDefault="00591969" w:rsidP="00591969">
      <w:pPr>
        <w:ind w:left="1988" w:hanging="1988"/>
        <w:jc w:val="both"/>
        <w:rPr>
          <w:rFonts w:ascii="Intel Clear" w:hAnsi="Intel Clear" w:cs="Intel Clear"/>
          <w:sz w:val="24"/>
        </w:rPr>
      </w:pPr>
      <w:r w:rsidRPr="0031551B">
        <w:rPr>
          <w:rFonts w:ascii="Intel Clear" w:hAnsi="Intel Clear" w:cs="Intel Clear"/>
          <w:b/>
          <w:sz w:val="24"/>
        </w:rPr>
        <w:t>Title:</w:t>
      </w:r>
      <w:r w:rsidRPr="0031551B">
        <w:rPr>
          <w:rFonts w:ascii="Intel Clear" w:hAnsi="Intel Clear" w:cs="Intel Clear"/>
          <w:sz w:val="24"/>
        </w:rPr>
        <w:t xml:space="preserve"> </w:t>
      </w:r>
      <w:r w:rsidRPr="0031551B">
        <w:rPr>
          <w:rFonts w:ascii="Intel Clear" w:hAnsi="Intel Clear" w:cs="Intel Clear"/>
        </w:rPr>
        <w:tab/>
      </w:r>
      <w:r w:rsidR="000441F3">
        <w:rPr>
          <w:rFonts w:ascii="Intel Clear" w:hAnsi="Intel Clear" w:cs="Intel Clear"/>
          <w:sz w:val="24"/>
        </w:rPr>
        <w:t>UE and</w:t>
      </w:r>
      <w:r w:rsidR="006B049E">
        <w:rPr>
          <w:rFonts w:ascii="Intel Clear" w:hAnsi="Intel Clear" w:cs="Intel Clear"/>
          <w:sz w:val="24"/>
        </w:rPr>
        <w:t xml:space="preserve"> network handling</w:t>
      </w:r>
      <w:r w:rsidR="000441F3">
        <w:rPr>
          <w:rFonts w:ascii="Intel Clear" w:hAnsi="Intel Clear" w:cs="Intel Clear"/>
          <w:sz w:val="24"/>
        </w:rPr>
        <w:t xml:space="preserve"> for NR measurement</w:t>
      </w:r>
      <w:r w:rsidR="00EA0660">
        <w:rPr>
          <w:rFonts w:ascii="Intel Clear" w:hAnsi="Intel Clear" w:cs="Intel Clear"/>
          <w:sz w:val="24"/>
        </w:rPr>
        <w:t xml:space="preserve"> configuration</w:t>
      </w:r>
    </w:p>
    <w:p w14:paraId="3671E878" w14:textId="77777777" w:rsidR="00591969" w:rsidRPr="0031551B" w:rsidRDefault="00591969" w:rsidP="00591969">
      <w:pPr>
        <w:tabs>
          <w:tab w:val="left" w:pos="1985"/>
        </w:tabs>
        <w:ind w:left="1980" w:hanging="1980"/>
        <w:jc w:val="both"/>
        <w:rPr>
          <w:rFonts w:ascii="Intel Clear" w:hAnsi="Intel Clear" w:cs="Intel Clear"/>
          <w:sz w:val="24"/>
        </w:rPr>
      </w:pPr>
      <w:r w:rsidRPr="0031551B">
        <w:rPr>
          <w:rFonts w:ascii="Intel Clear" w:hAnsi="Intel Clear" w:cs="Intel Clear"/>
          <w:b/>
          <w:sz w:val="24"/>
        </w:rPr>
        <w:t xml:space="preserve">Source: </w:t>
      </w:r>
      <w:r w:rsidRPr="0031551B">
        <w:rPr>
          <w:rFonts w:ascii="Intel Clear" w:hAnsi="Intel Clear" w:cs="Intel Clear"/>
          <w:b/>
          <w:sz w:val="24"/>
        </w:rPr>
        <w:tab/>
      </w:r>
      <w:r w:rsidRPr="0031551B">
        <w:rPr>
          <w:rFonts w:ascii="Intel Clear" w:hAnsi="Intel Clear" w:cs="Intel Clear"/>
          <w:sz w:val="24"/>
        </w:rPr>
        <w:t>Intel Corporation</w:t>
      </w:r>
    </w:p>
    <w:p w14:paraId="3671E879" w14:textId="12CFD572" w:rsidR="00591969" w:rsidRPr="0031551B" w:rsidRDefault="00591969" w:rsidP="00591969">
      <w:pPr>
        <w:tabs>
          <w:tab w:val="left" w:pos="1985"/>
        </w:tabs>
        <w:jc w:val="both"/>
        <w:rPr>
          <w:rFonts w:ascii="Intel Clear" w:hAnsi="Intel Clear" w:cs="Intel Clear"/>
          <w:sz w:val="24"/>
        </w:rPr>
      </w:pPr>
      <w:r w:rsidRPr="0031551B">
        <w:rPr>
          <w:rFonts w:ascii="Intel Clear" w:hAnsi="Intel Clear" w:cs="Intel Clear"/>
          <w:b/>
          <w:sz w:val="24"/>
        </w:rPr>
        <w:t>Agenda item:</w:t>
      </w:r>
      <w:r w:rsidR="00D5498D">
        <w:rPr>
          <w:rFonts w:ascii="Intel Clear" w:hAnsi="Intel Clear" w:cs="Intel Clear"/>
          <w:sz w:val="24"/>
        </w:rPr>
        <w:tab/>
        <w:t>10.2.3</w:t>
      </w:r>
    </w:p>
    <w:p w14:paraId="3671E87A" w14:textId="77777777" w:rsidR="00591969" w:rsidRPr="0031551B" w:rsidRDefault="00591969" w:rsidP="00591969">
      <w:pPr>
        <w:pBdr>
          <w:bottom w:val="single" w:sz="6" w:space="1" w:color="auto"/>
        </w:pBdr>
        <w:tabs>
          <w:tab w:val="left" w:pos="1985"/>
        </w:tabs>
        <w:ind w:right="-441"/>
        <w:jc w:val="both"/>
        <w:rPr>
          <w:rFonts w:ascii="Intel Clear" w:hAnsi="Intel Clear" w:cs="Intel Clear"/>
          <w:sz w:val="24"/>
        </w:rPr>
      </w:pPr>
      <w:r w:rsidRPr="0031551B">
        <w:rPr>
          <w:rFonts w:ascii="Intel Clear" w:hAnsi="Intel Clear" w:cs="Intel Clear"/>
          <w:b/>
          <w:sz w:val="24"/>
        </w:rPr>
        <w:t>Document for:</w:t>
      </w:r>
      <w:r w:rsidRPr="0031551B">
        <w:rPr>
          <w:rFonts w:ascii="Intel Clear" w:hAnsi="Intel Clear" w:cs="Intel Clear"/>
          <w:sz w:val="24"/>
        </w:rPr>
        <w:tab/>
        <w:t>Discussion and Decision</w:t>
      </w:r>
    </w:p>
    <w:p w14:paraId="3671E87B" w14:textId="77777777" w:rsidR="00681090" w:rsidRDefault="00591969" w:rsidP="00591969">
      <w:pPr>
        <w:pStyle w:val="Heading1"/>
      </w:pPr>
      <w:r>
        <w:t>Introduction</w:t>
      </w:r>
    </w:p>
    <w:p w14:paraId="3671E87C" w14:textId="04FC22BE" w:rsidR="00AA2817" w:rsidRDefault="00824EF8">
      <w:r>
        <w:t xml:space="preserve">While discussing whether SN should provide NR measurement results to MN </w:t>
      </w:r>
      <w:r w:rsidR="00926077">
        <w:t>in</w:t>
      </w:r>
      <w:r w:rsidR="00C94A7B">
        <w:t xml:space="preserve"> the context of inter-SN change</w:t>
      </w:r>
      <w:r w:rsidR="00926077">
        <w:t xml:space="preserve">, the following agreement and FFSs </w:t>
      </w:r>
      <w:r w:rsidR="00E64986">
        <w:t xml:space="preserve">were </w:t>
      </w:r>
      <w:r w:rsidR="00926077">
        <w:t>made:</w:t>
      </w:r>
      <w:r>
        <w:t xml:space="preserve"> </w:t>
      </w:r>
    </w:p>
    <w:p w14:paraId="29AB2522" w14:textId="77777777" w:rsidR="00D5259B" w:rsidRDefault="00D5259B" w:rsidP="00D5259B">
      <w:pPr>
        <w:pStyle w:val="Doc-text2"/>
        <w:pBdr>
          <w:top w:val="single" w:sz="4" w:space="1" w:color="auto"/>
          <w:left w:val="single" w:sz="4" w:space="4" w:color="auto"/>
          <w:bottom w:val="single" w:sz="4" w:space="1" w:color="auto"/>
          <w:right w:val="single" w:sz="4" w:space="4" w:color="auto"/>
        </w:pBdr>
      </w:pPr>
      <w:r>
        <w:t>Agreements:</w:t>
      </w:r>
    </w:p>
    <w:p w14:paraId="25BC48E5" w14:textId="77777777" w:rsidR="00D5259B" w:rsidRDefault="00D5259B" w:rsidP="00D5259B">
      <w:pPr>
        <w:pStyle w:val="Doc-text2"/>
        <w:pBdr>
          <w:top w:val="single" w:sz="4" w:space="1" w:color="auto"/>
          <w:left w:val="single" w:sz="4" w:space="4" w:color="auto"/>
          <w:bottom w:val="single" w:sz="4" w:space="1" w:color="auto"/>
          <w:right w:val="single" w:sz="4" w:space="4" w:color="auto"/>
        </w:pBdr>
      </w:pPr>
      <w:r>
        <w:t xml:space="preserve">1: </w:t>
      </w:r>
      <w:r>
        <w:tab/>
        <w:t>On receiving the request for SN change, the master accepts/rejects (e.g. taking into account available information, network connectivity, etc) whether to carry out the requested inter-secondary nodes change (i.e. different Xx interface). The master may select a different target node in different frequency for the SN change based on the NR inter-frequency measurement maintained by master itself;</w:t>
      </w:r>
    </w:p>
    <w:p w14:paraId="43452DDE" w14:textId="59EA2B00" w:rsidR="00D5259B" w:rsidRDefault="00D5259B" w:rsidP="00D5259B">
      <w:pPr>
        <w:pStyle w:val="Doc-text2"/>
        <w:pBdr>
          <w:top w:val="single" w:sz="4" w:space="1" w:color="auto"/>
          <w:left w:val="single" w:sz="4" w:space="4" w:color="auto"/>
          <w:bottom w:val="single" w:sz="4" w:space="1" w:color="auto"/>
          <w:right w:val="single" w:sz="4" w:space="4" w:color="auto"/>
        </w:pBdr>
      </w:pPr>
      <w:r>
        <w:t>1a: MN can also trigger an inter-frequency the SN node change without any request from the SN.</w:t>
      </w:r>
    </w:p>
    <w:p w14:paraId="42A8763A" w14:textId="77777777" w:rsidR="00926077" w:rsidRPr="001349C4" w:rsidRDefault="00926077" w:rsidP="00926077">
      <w:pPr>
        <w:pStyle w:val="Doc-text2"/>
        <w:pBdr>
          <w:top w:val="single" w:sz="4" w:space="1" w:color="auto"/>
          <w:left w:val="single" w:sz="4" w:space="4" w:color="auto"/>
          <w:bottom w:val="single" w:sz="4" w:space="1" w:color="auto"/>
          <w:right w:val="single" w:sz="4" w:space="4" w:color="auto"/>
        </w:pBdr>
      </w:pPr>
      <w:r w:rsidRPr="001349C4">
        <w:t xml:space="preserve">2: </w:t>
      </w:r>
      <w:r w:rsidRPr="001349C4">
        <w:tab/>
        <w:t>Final RRC message for the inter-SN change will be generated from master node</w:t>
      </w:r>
    </w:p>
    <w:p w14:paraId="481A7C63" w14:textId="77777777" w:rsidR="00D5259B" w:rsidRDefault="00D5259B" w:rsidP="00D5259B">
      <w:pPr>
        <w:pStyle w:val="Doc-text2"/>
        <w:pBdr>
          <w:top w:val="single" w:sz="4" w:space="1" w:color="auto"/>
          <w:left w:val="single" w:sz="4" w:space="4" w:color="auto"/>
          <w:bottom w:val="single" w:sz="4" w:space="1" w:color="auto"/>
          <w:right w:val="single" w:sz="4" w:space="4" w:color="auto"/>
        </w:pBdr>
      </w:pPr>
      <w:r>
        <w:t>3:</w:t>
      </w:r>
      <w:r>
        <w:tab/>
        <w:t>SN does not provide the NR measurement results to the MN;</w:t>
      </w:r>
    </w:p>
    <w:p w14:paraId="3B22B62F" w14:textId="77777777" w:rsidR="00D5259B" w:rsidRDefault="00D5259B" w:rsidP="00D5259B">
      <w:pPr>
        <w:pStyle w:val="Doc-text2"/>
        <w:pBdr>
          <w:top w:val="single" w:sz="4" w:space="1" w:color="auto"/>
          <w:left w:val="single" w:sz="4" w:space="4" w:color="auto"/>
          <w:bottom w:val="single" w:sz="4" w:space="1" w:color="auto"/>
          <w:right w:val="single" w:sz="4" w:space="4" w:color="auto"/>
        </w:pBdr>
      </w:pPr>
    </w:p>
    <w:p w14:paraId="3DB40935" w14:textId="77777777" w:rsidR="00D5259B" w:rsidRDefault="00D5259B" w:rsidP="00D5259B">
      <w:pPr>
        <w:pStyle w:val="Doc-text2"/>
        <w:pBdr>
          <w:top w:val="single" w:sz="4" w:space="1" w:color="auto"/>
          <w:left w:val="single" w:sz="4" w:space="4" w:color="auto"/>
          <w:bottom w:val="single" w:sz="4" w:space="1" w:color="auto"/>
          <w:right w:val="single" w:sz="4" w:space="4" w:color="auto"/>
        </w:pBdr>
      </w:pPr>
      <w:r>
        <w:t xml:space="preserve">FFS: </w:t>
      </w:r>
      <w:r w:rsidRPr="00E0333B">
        <w:t xml:space="preserve">UE can be configured </w:t>
      </w:r>
      <w:r>
        <w:t>with MN NR measurement configuration and S</w:t>
      </w:r>
      <w:r w:rsidRPr="00E0333B">
        <w:t xml:space="preserve">N </w:t>
      </w:r>
      <w:r>
        <w:t xml:space="preserve">NR </w:t>
      </w:r>
      <w:r w:rsidRPr="00E0333B">
        <w:t>measurement conf</w:t>
      </w:r>
      <w:r>
        <w:t>i</w:t>
      </w:r>
      <w:r w:rsidRPr="00E0333B">
        <w:t>guration</w:t>
      </w:r>
      <w:r>
        <w:t xml:space="preserve"> on inter frequencies which are different from the serving frequencies used in SN. UE cannot be configured with MN NR measurement configuration on the serving SN frequencies. (This does not preclude MN NR measurement configuration to include inter-freq events that include the serving cell measurement)</w:t>
      </w:r>
    </w:p>
    <w:p w14:paraId="3ED211D1" w14:textId="77777777" w:rsidR="00D5259B" w:rsidRDefault="00D5259B" w:rsidP="00D5259B">
      <w:pPr>
        <w:pStyle w:val="Doc-text2"/>
        <w:pBdr>
          <w:top w:val="single" w:sz="4" w:space="1" w:color="auto"/>
          <w:left w:val="single" w:sz="4" w:space="4" w:color="auto"/>
          <w:bottom w:val="single" w:sz="4" w:space="1" w:color="auto"/>
          <w:right w:val="single" w:sz="4" w:space="4" w:color="auto"/>
        </w:pBdr>
      </w:pPr>
      <w:r>
        <w:t>FFS on how to coordinate the NR measurement configuration between MN and SN;</w:t>
      </w:r>
    </w:p>
    <w:p w14:paraId="1C02576B" w14:textId="77777777" w:rsidR="00D5259B" w:rsidRDefault="00D5259B" w:rsidP="00D5259B">
      <w:pPr>
        <w:pStyle w:val="Doc-text2"/>
        <w:pBdr>
          <w:top w:val="single" w:sz="4" w:space="1" w:color="auto"/>
          <w:left w:val="single" w:sz="4" w:space="4" w:color="auto"/>
          <w:bottom w:val="single" w:sz="4" w:space="1" w:color="auto"/>
          <w:right w:val="single" w:sz="4" w:space="4" w:color="auto"/>
        </w:pBdr>
      </w:pPr>
      <w:r>
        <w:t>FFS how to allow the MN to perform inter-RAT measurement for potential handover to the serving SN frequency.</w:t>
      </w:r>
    </w:p>
    <w:p w14:paraId="3671E884" w14:textId="77777777" w:rsidR="00591969" w:rsidRDefault="00591969" w:rsidP="00591969">
      <w:pPr>
        <w:pStyle w:val="Doc-text2"/>
      </w:pPr>
    </w:p>
    <w:p w14:paraId="515EE90A" w14:textId="25020610" w:rsidR="00C94A7B" w:rsidRDefault="00C94A7B" w:rsidP="00591969">
      <w:r>
        <w:t>Also in the SI phase, the following measurement agreement</w:t>
      </w:r>
      <w:r w:rsidR="00E64986">
        <w:t>s</w:t>
      </w:r>
      <w:r>
        <w:t xml:space="preserve"> were made:</w:t>
      </w:r>
    </w:p>
    <w:p w14:paraId="187C9CDD" w14:textId="32490E60" w:rsidR="00C94A7B" w:rsidRPr="00C94A7B" w:rsidRDefault="00C94A7B" w:rsidP="00C94A7B">
      <w:pPr>
        <w:pStyle w:val="B1"/>
        <w:numPr>
          <w:ilvl w:val="0"/>
          <w:numId w:val="6"/>
        </w:numPr>
      </w:pPr>
      <w:r w:rsidRPr="00C94A7B">
        <w:t>If the measurement is configured to the UE in preparation for the Secondary Node Addition procedure, the master node should configure the measurement to the UE.</w:t>
      </w:r>
    </w:p>
    <w:p w14:paraId="7F9A7CEF" w14:textId="5DA44AEE" w:rsidR="00C94A7B" w:rsidRPr="00C94A7B" w:rsidRDefault="00C94A7B" w:rsidP="00C94A7B">
      <w:pPr>
        <w:pStyle w:val="B1"/>
        <w:numPr>
          <w:ilvl w:val="0"/>
          <w:numId w:val="6"/>
        </w:numPr>
      </w:pPr>
      <w:r w:rsidRPr="00C94A7B">
        <w:t>In case of the intra-secondary node mobility, the secondary node should configure the measurement to the UE in coordination with the master node, if required.</w:t>
      </w:r>
    </w:p>
    <w:p w14:paraId="2B3591DD" w14:textId="3D6F90E4" w:rsidR="00C94A7B" w:rsidRPr="00C94A7B" w:rsidRDefault="00C94A7B" w:rsidP="00C94A7B">
      <w:pPr>
        <w:pStyle w:val="B1"/>
        <w:numPr>
          <w:ilvl w:val="0"/>
          <w:numId w:val="6"/>
        </w:numPr>
      </w:pPr>
      <w:r w:rsidRPr="00C94A7B">
        <w:t>For the secondary node change procedure, the RRM measurement configuration is maintained by the secondary node which also processes measurement reporting</w:t>
      </w:r>
    </w:p>
    <w:p w14:paraId="3671E885" w14:textId="0DE8FDA6" w:rsidR="00591969" w:rsidRDefault="00A0719C" w:rsidP="00591969">
      <w:r>
        <w:t xml:space="preserve">In this contribution, </w:t>
      </w:r>
      <w:r w:rsidR="00C94A7B">
        <w:t>the RRM measurement framework</w:t>
      </w:r>
      <w:r w:rsidR="00AE0593">
        <w:t xml:space="preserve"> for EN DC</w:t>
      </w:r>
      <w:r w:rsidR="00A55AF8">
        <w:t xml:space="preserve"> is further discussed.</w:t>
      </w:r>
      <w:r w:rsidR="000B6312">
        <w:t xml:space="preserve"> Based on this framework, the contribution also </w:t>
      </w:r>
      <w:r w:rsidR="00E64986">
        <w:t xml:space="preserve">discusses whether </w:t>
      </w:r>
      <w:r w:rsidR="000B6312">
        <w:t>there is the need to exchange measurement results.</w:t>
      </w:r>
      <w:r w:rsidR="00A55AF8">
        <w:t xml:space="preserve"> </w:t>
      </w:r>
      <w:r w:rsidR="00C94A7B">
        <w:t xml:space="preserve"> </w:t>
      </w:r>
    </w:p>
    <w:p w14:paraId="3671E887" w14:textId="77777777" w:rsidR="00591969" w:rsidRDefault="00591969" w:rsidP="00591969">
      <w:pPr>
        <w:pStyle w:val="Heading1"/>
      </w:pPr>
      <w:r>
        <w:lastRenderedPageBreak/>
        <w:t>Discussion</w:t>
      </w:r>
    </w:p>
    <w:p w14:paraId="37716918" w14:textId="175F46BF" w:rsidR="00B944BE" w:rsidRDefault="00B944BE" w:rsidP="00B944BE">
      <w:pPr>
        <w:pStyle w:val="Heading2"/>
      </w:pPr>
      <w:r>
        <w:t>Measurement configuration</w:t>
      </w:r>
      <w:r w:rsidR="004413A8">
        <w:t xml:space="preserve"> and coordination</w:t>
      </w:r>
      <w:r>
        <w:t xml:space="preserve"> for EN-DC operation</w:t>
      </w:r>
    </w:p>
    <w:p w14:paraId="585D84E9" w14:textId="783207F1" w:rsidR="00EA0660" w:rsidRDefault="004413A8" w:rsidP="00EA0660">
      <w:pPr>
        <w:spacing w:after="0"/>
      </w:pPr>
      <w:r>
        <w:t>T</w:t>
      </w:r>
      <w:r w:rsidR="000B6312">
        <w:t xml:space="preserve">he main issue is on how </w:t>
      </w:r>
      <w:r w:rsidR="00DD005D">
        <w:t>to</w:t>
      </w:r>
      <w:r w:rsidR="000B6312">
        <w:t xml:space="preserve"> configur</w:t>
      </w:r>
      <w:r w:rsidR="00DD005D">
        <w:t>e the UE</w:t>
      </w:r>
      <w:r w:rsidR="00EA0660">
        <w:t xml:space="preserve"> with the </w:t>
      </w:r>
      <w:r w:rsidR="000B6312">
        <w:t>measurement configuration</w:t>
      </w:r>
      <w:r w:rsidR="00DD005D">
        <w:t xml:space="preserve"> in EN-DC operation. </w:t>
      </w:r>
      <w:r w:rsidR="00EA0660">
        <w:t xml:space="preserve">Only NR measurement configuration coordination needs to be discussed in EN-DC. There is no need for the NR SN to </w:t>
      </w:r>
      <w:r w:rsidR="00E64986">
        <w:t xml:space="preserve">configure </w:t>
      </w:r>
      <w:r w:rsidR="00EA0660">
        <w:t>LTE measurement</w:t>
      </w:r>
      <w:r w:rsidR="00E64986">
        <w:t>s</w:t>
      </w:r>
      <w:r w:rsidR="00EA0660">
        <w:t xml:space="preserve"> in EN-DC operation as </w:t>
      </w:r>
      <w:r w:rsidR="00E64986">
        <w:t xml:space="preserve">these </w:t>
      </w:r>
      <w:r w:rsidR="00EA0660">
        <w:t xml:space="preserve">will be </w:t>
      </w:r>
      <w:r w:rsidR="00E64986">
        <w:t xml:space="preserve">configured </w:t>
      </w:r>
      <w:r w:rsidR="00EA0660">
        <w:t>by the LTE MN for any LTE mobility or LTE SCell addition/release</w:t>
      </w:r>
      <w:r w:rsidR="00E64986">
        <w:t>.</w:t>
      </w:r>
    </w:p>
    <w:p w14:paraId="16C0CC44" w14:textId="77777777" w:rsidR="00EA0660" w:rsidRDefault="00EA0660" w:rsidP="00EA0660">
      <w:pPr>
        <w:spacing w:after="0"/>
      </w:pPr>
    </w:p>
    <w:p w14:paraId="7D691C93" w14:textId="3267919A" w:rsidR="00EA0660" w:rsidRDefault="00EA0660" w:rsidP="00EA0660">
      <w:pPr>
        <w:spacing w:after="0"/>
      </w:pPr>
      <w:r w:rsidRPr="004413A8">
        <w:rPr>
          <w:b/>
        </w:rPr>
        <w:t>Observation#1:</w:t>
      </w:r>
      <w:r>
        <w:t xml:space="preserve"> In EN DC o</w:t>
      </w:r>
      <w:r w:rsidR="004413A8">
        <w:t xml:space="preserve">peration, NR SN does not need to </w:t>
      </w:r>
      <w:r w:rsidR="00E64986">
        <w:t xml:space="preserve">configure </w:t>
      </w:r>
      <w:r w:rsidR="004413A8">
        <w:t>LTE measurement</w:t>
      </w:r>
      <w:r w:rsidR="00E64986">
        <w:t>s.</w:t>
      </w:r>
    </w:p>
    <w:p w14:paraId="62815112" w14:textId="7D9DD0CC" w:rsidR="00EA0660" w:rsidRDefault="00EA0660" w:rsidP="000B6312">
      <w:pPr>
        <w:spacing w:after="0"/>
      </w:pPr>
      <w:r>
        <w:t xml:space="preserve"> </w:t>
      </w:r>
    </w:p>
    <w:p w14:paraId="6B3FFFFF" w14:textId="21206220" w:rsidR="00DD005D" w:rsidRDefault="006D73E5" w:rsidP="000B6312">
      <w:pPr>
        <w:spacing w:after="0"/>
      </w:pPr>
      <w:r>
        <w:t>As per the email discussion [1]</w:t>
      </w:r>
      <w:r w:rsidR="004413A8">
        <w:t>, t</w:t>
      </w:r>
      <w:r>
        <w:t xml:space="preserve">here are 2 general </w:t>
      </w:r>
      <w:r w:rsidR="00DD005D">
        <w:t>approaches</w:t>
      </w:r>
      <w:r w:rsidR="00EE4BC3">
        <w:t xml:space="preserve"> of configuring the UE</w:t>
      </w:r>
      <w:r w:rsidR="00DD005D">
        <w:t>:</w:t>
      </w:r>
    </w:p>
    <w:p w14:paraId="30E7CB54" w14:textId="77777777" w:rsidR="00DD005D" w:rsidRDefault="00DD005D" w:rsidP="000B6312">
      <w:pPr>
        <w:spacing w:after="0"/>
      </w:pPr>
    </w:p>
    <w:p w14:paraId="598FEE35" w14:textId="1A15FEE9" w:rsidR="00DD005D" w:rsidRDefault="00DD005D" w:rsidP="00DD005D">
      <w:pPr>
        <w:pStyle w:val="B1"/>
      </w:pPr>
      <w:r>
        <w:rPr>
          <w:b/>
        </w:rPr>
        <w:t>Option 1:</w:t>
      </w:r>
      <w:r>
        <w:tab/>
      </w:r>
      <w:r>
        <w:tab/>
        <w:t>Independent configuration between MCG and SCG;</w:t>
      </w:r>
    </w:p>
    <w:p w14:paraId="01B2515B" w14:textId="77777777" w:rsidR="00DD005D" w:rsidRDefault="00DD005D" w:rsidP="00DD005D">
      <w:pPr>
        <w:pStyle w:val="B1"/>
      </w:pPr>
      <w:r>
        <w:rPr>
          <w:b/>
        </w:rPr>
        <w:t>Option 2:</w:t>
      </w:r>
      <w:r>
        <w:tab/>
      </w:r>
      <w:r>
        <w:tab/>
        <w:t>Common configuration to MCG and SCG;</w:t>
      </w:r>
    </w:p>
    <w:p w14:paraId="7FD777E2" w14:textId="341EF93F" w:rsidR="002304B1" w:rsidRDefault="00DD005D" w:rsidP="00EA0660">
      <w:pPr>
        <w:spacing w:after="0"/>
      </w:pPr>
      <w:r>
        <w:t xml:space="preserve">For Option 1, </w:t>
      </w:r>
      <w:r w:rsidR="00BE0938">
        <w:t>the NR measurement configuration at the UE LTE RRC is separate</w:t>
      </w:r>
      <w:r w:rsidR="00A52C9B">
        <w:t>ly configured</w:t>
      </w:r>
      <w:r w:rsidR="00BE0938">
        <w:t xml:space="preserve"> from the NR measurement configuration at the UE NR RRC.</w:t>
      </w:r>
      <w:r w:rsidR="00A52C9B">
        <w:t xml:space="preserve"> There is no sharing of the configuration between the UE LTE RRC and the N</w:t>
      </w:r>
      <w:r w:rsidR="00404248">
        <w:t>R RRC (i.e. a measurement configuration</w:t>
      </w:r>
      <w:r w:rsidR="00A52C9B">
        <w:t xml:space="preserve"> configured in LTE RRC c</w:t>
      </w:r>
      <w:r w:rsidR="00404248">
        <w:t>annot be used by the NR RRC and vice versa</w:t>
      </w:r>
      <w:r w:rsidR="00A52C9B">
        <w:t>)</w:t>
      </w:r>
      <w:r w:rsidR="00404248">
        <w:t xml:space="preserve">. </w:t>
      </w:r>
      <w:r w:rsidR="00BE0938">
        <w:t xml:space="preserve">In this option, </w:t>
      </w:r>
      <w:r w:rsidR="002304B1">
        <w:t xml:space="preserve">the LTE MN may or may not coordinate with the NR SN. </w:t>
      </w:r>
    </w:p>
    <w:p w14:paraId="2E6D9C63" w14:textId="77777777" w:rsidR="002304B1" w:rsidRDefault="002304B1" w:rsidP="00EA0660">
      <w:pPr>
        <w:spacing w:after="0"/>
      </w:pPr>
    </w:p>
    <w:p w14:paraId="72C38D9A" w14:textId="2C9BCEFE" w:rsidR="001066AF" w:rsidRDefault="002304B1" w:rsidP="00EA0660">
      <w:pPr>
        <w:spacing w:after="0"/>
      </w:pPr>
      <w:r>
        <w:t>If no coordination between MN and SN is done</w:t>
      </w:r>
      <w:r w:rsidR="00A52C9B">
        <w:t xml:space="preserve"> on the NR measurement configuration</w:t>
      </w:r>
      <w:r>
        <w:t xml:space="preserve">, the UE LTE RRC may be configured by the MN with measurement configuration </w:t>
      </w:r>
      <w:r w:rsidR="003542E3">
        <w:t>that may not be consistent to</w:t>
      </w:r>
      <w:r>
        <w:t xml:space="preserve"> the measurement configuration configured in the UE NR RRC by the SN. Example of such </w:t>
      </w:r>
      <w:r w:rsidR="003542E3">
        <w:t>inconsistency</w:t>
      </w:r>
      <w:r>
        <w:t xml:space="preserve"> issue</w:t>
      </w:r>
      <w:r w:rsidR="001066AF">
        <w:t>s</w:t>
      </w:r>
      <w:r>
        <w:t xml:space="preserve"> can be the maximum measurement bandwidth allowed for each carrier frequency, DMTC window for CSI-RS, measurement gap configuration</w:t>
      </w:r>
      <w:r w:rsidR="00404248">
        <w:t xml:space="preserve"> etc</w:t>
      </w:r>
      <w:r w:rsidR="001066AF">
        <w:t xml:space="preserve">.  </w:t>
      </w:r>
      <w:r w:rsidR="00BE0938">
        <w:t xml:space="preserve">These inconsistencies </w:t>
      </w:r>
      <w:r w:rsidR="003542E3">
        <w:t>may be an issue on the UE side</w:t>
      </w:r>
      <w:r w:rsidR="00AE0593">
        <w:t>.</w:t>
      </w:r>
      <w:r w:rsidR="001066AF">
        <w:t xml:space="preserve"> </w:t>
      </w:r>
    </w:p>
    <w:p w14:paraId="7D58B8B0" w14:textId="77777777" w:rsidR="001066AF" w:rsidRDefault="001066AF" w:rsidP="00EA0660">
      <w:pPr>
        <w:spacing w:after="0"/>
      </w:pPr>
    </w:p>
    <w:p w14:paraId="551957E0" w14:textId="17E8320E" w:rsidR="002304B1" w:rsidRDefault="002304B1" w:rsidP="00EA0660">
      <w:pPr>
        <w:spacing w:after="0"/>
      </w:pPr>
      <w:r>
        <w:t>If coordination between MN and SN is done,</w:t>
      </w:r>
      <w:r w:rsidR="003542E3">
        <w:t xml:space="preserve"> such inconsistency</w:t>
      </w:r>
      <w:r>
        <w:t xml:space="preserve"> issue</w:t>
      </w:r>
      <w:r w:rsidR="001066AF">
        <w:t>s</w:t>
      </w:r>
      <w:r>
        <w:t xml:space="preserve"> can be resolved</w:t>
      </w:r>
      <w:r w:rsidR="001066AF">
        <w:t xml:space="preserve"> by the network.</w:t>
      </w:r>
      <w:r w:rsidR="003542E3">
        <w:t xml:space="preserve">  Even though the UE ma</w:t>
      </w:r>
      <w:r w:rsidR="00404248">
        <w:t>y be configured with measurement configuration</w:t>
      </w:r>
      <w:r w:rsidR="003542E3">
        <w:t>, one in the LTE RRC and another in the NR RRC, it is not an issue as the</w:t>
      </w:r>
      <w:r w:rsidR="00404248">
        <w:t>re is no inconsistency issue in the measurement configuration. For example, the duplicated measurement object for an NR frequency is identical and</w:t>
      </w:r>
      <w:r w:rsidR="003542E3">
        <w:t xml:space="preserve"> UE can setup the radio with the same measurement target (si</w:t>
      </w:r>
      <w:r w:rsidR="008D7A5A">
        <w:t>nce the measurement object configured by MN is the same as the measurement object configured by SN</w:t>
      </w:r>
      <w:r w:rsidR="00BE0938">
        <w:t xml:space="preserve"> or at least there is no inconsistency</w:t>
      </w:r>
      <w:r w:rsidR="008D7A5A">
        <w:t>)</w:t>
      </w:r>
      <w:r w:rsidR="00FC3DF5">
        <w:t>.</w:t>
      </w:r>
    </w:p>
    <w:p w14:paraId="27FAF646" w14:textId="77777777" w:rsidR="00D75A49" w:rsidRDefault="00D75A49" w:rsidP="000B6312">
      <w:pPr>
        <w:spacing w:after="0"/>
      </w:pPr>
    </w:p>
    <w:p w14:paraId="1D9DFB54" w14:textId="2E5138A8" w:rsidR="00D75A49" w:rsidRDefault="00D75A49" w:rsidP="000B6312">
      <w:pPr>
        <w:spacing w:after="0"/>
      </w:pPr>
      <w:r w:rsidRPr="008D7A5A">
        <w:t>For Option 2, the LTE MN coordinates</w:t>
      </w:r>
      <w:r w:rsidR="00901A51" w:rsidRPr="008D7A5A">
        <w:t xml:space="preserve"> the NR</w:t>
      </w:r>
      <w:r w:rsidRPr="008D7A5A">
        <w:t xml:space="preserve"> measurement configuration with the NR SN. Different level of coordin</w:t>
      </w:r>
      <w:r w:rsidR="00E807E2" w:rsidRPr="008D7A5A">
        <w:t xml:space="preserve">ation can be made. The coordination between the MN and SN can </w:t>
      </w:r>
      <w:r w:rsidRPr="008D7A5A">
        <w:t>just</w:t>
      </w:r>
      <w:r w:rsidR="00E807E2" w:rsidRPr="008D7A5A">
        <w:t xml:space="preserve"> be</w:t>
      </w:r>
      <w:r w:rsidRPr="008D7A5A">
        <w:t xml:space="preserve"> the measObject or it can be the {measO</w:t>
      </w:r>
      <w:r w:rsidR="00034661">
        <w:t>bject, measID, reportConfig</w:t>
      </w:r>
      <w:r w:rsidRPr="008D7A5A">
        <w:t>}</w:t>
      </w:r>
      <w:r w:rsidR="00034661">
        <w:t xml:space="preserve"> and measurement gap configuration</w:t>
      </w:r>
      <w:r w:rsidR="00E807E2" w:rsidRPr="008D7A5A">
        <w:t xml:space="preserve">. </w:t>
      </w:r>
      <w:r w:rsidR="001066AF" w:rsidRPr="008D7A5A">
        <w:t>In addition to the coordination at the network side, o</w:t>
      </w:r>
      <w:r w:rsidR="00E807E2" w:rsidRPr="008D7A5A">
        <w:t xml:space="preserve">n the UE side, LTE and NR RRC can have </w:t>
      </w:r>
      <w:r w:rsidR="00E64986" w:rsidRPr="008D7A5A">
        <w:t xml:space="preserve">a </w:t>
      </w:r>
      <w:r w:rsidR="00E807E2" w:rsidRPr="008D7A5A">
        <w:t>common measurement configuration (i.e. LTE and NR RRC share {measO</w:t>
      </w:r>
      <w:r w:rsidR="00034661">
        <w:t>bject, measID, reportConfig</w:t>
      </w:r>
      <w:r w:rsidR="00E807E2" w:rsidRPr="008D7A5A">
        <w:t>} or share the NR measObject but can configure separate reporting criteria) for EN-DC operation.</w:t>
      </w:r>
      <w:r w:rsidR="003542E3" w:rsidRPr="008D7A5A">
        <w:t xml:space="preserve">  The advantage of this option is that there will not be any duplicated measurement configuration (or at least no duplication of the measObject)</w:t>
      </w:r>
      <w:r w:rsidR="007B7BC8">
        <w:t xml:space="preserve"> and thus ensuring that there is no inconsistency issues</w:t>
      </w:r>
      <w:r w:rsidR="003542E3" w:rsidRPr="008D7A5A">
        <w:t>.</w:t>
      </w:r>
    </w:p>
    <w:p w14:paraId="028A28D0" w14:textId="77777777" w:rsidR="00946D36" w:rsidRDefault="00946D36" w:rsidP="000B6312">
      <w:pPr>
        <w:spacing w:after="0"/>
      </w:pPr>
    </w:p>
    <w:p w14:paraId="28C2623F" w14:textId="642A756F" w:rsidR="00BE0938" w:rsidRDefault="00946D36" w:rsidP="000B6312">
      <w:pPr>
        <w:spacing w:after="0"/>
      </w:pPr>
      <w:r>
        <w:lastRenderedPageBreak/>
        <w:t>From the above, regardless of Option 1 and 2, it can be seen that there is a need to ensure consistency between NR measurement configuration (particularly the meas</w:t>
      </w:r>
      <w:r w:rsidR="00034661">
        <w:t>urement o</w:t>
      </w:r>
      <w:r>
        <w:t>bject</w:t>
      </w:r>
      <w:r w:rsidR="00034661">
        <w:t xml:space="preserve"> for a NR frequency, measurement gap configuration</w:t>
      </w:r>
      <w:r>
        <w:t xml:space="preserve">) that are configured by LTE MN and NR SN. </w:t>
      </w:r>
    </w:p>
    <w:p w14:paraId="5D17C037" w14:textId="77777777" w:rsidR="00BE0938" w:rsidRDefault="00BE0938" w:rsidP="000B6312">
      <w:pPr>
        <w:spacing w:after="0"/>
      </w:pPr>
    </w:p>
    <w:p w14:paraId="094C683E" w14:textId="221555D3" w:rsidR="00946D36" w:rsidRPr="008D7A5A" w:rsidRDefault="00946D36" w:rsidP="000B6312">
      <w:pPr>
        <w:spacing w:after="0"/>
      </w:pPr>
      <w:r>
        <w:t>One approach is that the LTE MN and NR SN ensures that the NR measurement configuration is identical (e.g. every fields in the measurement object</w:t>
      </w:r>
      <w:r w:rsidR="00034661">
        <w:t xml:space="preserve"> and measurement gap configuration</w:t>
      </w:r>
      <w:r>
        <w:t xml:space="preserve"> is identical). This will be the simplest as it does not require identify</w:t>
      </w:r>
      <w:r w:rsidR="00B0212C">
        <w:t>ing</w:t>
      </w:r>
      <w:r>
        <w:t xml:space="preserve"> the fields in the measurement configuration that may cause inconsistency at the UE. Another approach is that RAN 2 works with RAN 4 to identify the fields that may cause inconsistency at the UE</w:t>
      </w:r>
      <w:r w:rsidR="00BE0938">
        <w:t xml:space="preserve"> and come up with a list of fields that require coordination between MN and SN.</w:t>
      </w:r>
      <w:r>
        <w:t xml:space="preserve"> </w:t>
      </w:r>
    </w:p>
    <w:p w14:paraId="29BEFF67" w14:textId="77777777" w:rsidR="00D75A49" w:rsidRDefault="00D75A49" w:rsidP="000B6312">
      <w:pPr>
        <w:spacing w:after="0"/>
      </w:pPr>
    </w:p>
    <w:p w14:paraId="0803E27A" w14:textId="278A342E" w:rsidR="001066AF" w:rsidRDefault="003542E3" w:rsidP="000B6312">
      <w:pPr>
        <w:spacing w:after="0"/>
      </w:pPr>
      <w:r w:rsidRPr="008D7A5A">
        <w:rPr>
          <w:b/>
        </w:rPr>
        <w:t>Proposal#1:</w:t>
      </w:r>
      <w:r>
        <w:t xml:space="preserve"> Regardless of Option 1 (Independent configuration between MCG and SCG) or Option 2 (Independent configuration between MCG and SCG), measurement configuration</w:t>
      </w:r>
      <w:r w:rsidR="00C31282">
        <w:t xml:space="preserve"> (at least on the measurement object</w:t>
      </w:r>
      <w:r w:rsidR="00034661">
        <w:t>, measurement gap configuration</w:t>
      </w:r>
      <w:r w:rsidR="00C31282">
        <w:t>)</w:t>
      </w:r>
      <w:r>
        <w:t xml:space="preserve"> coordination between the MN and SN needs to be performed to ensure that </w:t>
      </w:r>
      <w:r w:rsidR="008D7A5A">
        <w:t>there is no inconsistency issue</w:t>
      </w:r>
      <w:r w:rsidR="00976E5D">
        <w:t xml:space="preserve"> (e.g. the same max measurement bandwidth is used</w:t>
      </w:r>
      <w:r w:rsidR="00916915">
        <w:t>, measurement gap configuration is the same etc.)</w:t>
      </w:r>
      <w:r w:rsidR="008D7A5A">
        <w:t xml:space="preserve">. </w:t>
      </w:r>
    </w:p>
    <w:p w14:paraId="2B99579A" w14:textId="77777777" w:rsidR="00C31282" w:rsidRDefault="00C31282" w:rsidP="000B6312">
      <w:pPr>
        <w:spacing w:after="0"/>
      </w:pPr>
    </w:p>
    <w:p w14:paraId="66BA1063" w14:textId="65BD7223" w:rsidR="00976E5D" w:rsidRDefault="00AE7C97" w:rsidP="000B6312">
      <w:pPr>
        <w:spacing w:after="0"/>
      </w:pPr>
      <w:r>
        <w:t>To avoid</w:t>
      </w:r>
      <w:r w:rsidR="00965285">
        <w:t xml:space="preserve"> the </w:t>
      </w:r>
      <w:r>
        <w:t>in</w:t>
      </w:r>
      <w:r w:rsidR="00965285">
        <w:t>consistency</w:t>
      </w:r>
      <w:r>
        <w:t xml:space="preserve"> issue at the UE and approaching RAN 4 to identify the fields in the measurement configuration that may cause inconsistency issue,</w:t>
      </w:r>
      <w:r w:rsidR="00965285">
        <w:t xml:space="preserve"> and to ensure that the MN and SN gets the NR measurement needed</w:t>
      </w:r>
      <w:r w:rsidR="00976E5D">
        <w:t xml:space="preserve">, the expectation from the UE side </w:t>
      </w:r>
      <w:r w:rsidR="00965285">
        <w:t xml:space="preserve">should be </w:t>
      </w:r>
      <w:r w:rsidR="00976E5D">
        <w:t>as follow:</w:t>
      </w:r>
    </w:p>
    <w:p w14:paraId="44505BDE" w14:textId="77777777" w:rsidR="00976E5D" w:rsidRDefault="00976E5D" w:rsidP="000B6312">
      <w:pPr>
        <w:spacing w:after="0"/>
      </w:pPr>
    </w:p>
    <w:p w14:paraId="13C0E7D4" w14:textId="5026298D" w:rsidR="00B7184D" w:rsidRDefault="00976E5D" w:rsidP="00976E5D">
      <w:pPr>
        <w:spacing w:after="0"/>
      </w:pPr>
      <w:r>
        <w:rPr>
          <w:b/>
        </w:rPr>
        <w:t xml:space="preserve">Proposal#2: </w:t>
      </w:r>
      <w:r w:rsidRPr="00916915">
        <w:t>The NR measurement object</w:t>
      </w:r>
      <w:r w:rsidR="00965285">
        <w:t xml:space="preserve"> for a NR carrier frequency</w:t>
      </w:r>
      <w:r w:rsidRPr="00916915">
        <w:t xml:space="preserve"> configured by either t</w:t>
      </w:r>
      <w:r w:rsidR="00AE7C97">
        <w:t>he MN or SN should be identical</w:t>
      </w:r>
      <w:r w:rsidR="00916915">
        <w:rPr>
          <w:b/>
        </w:rPr>
        <w:t xml:space="preserve"> </w:t>
      </w:r>
      <w:r w:rsidR="00916915">
        <w:t>(e.g. the same max</w:t>
      </w:r>
      <w:r w:rsidR="00034661">
        <w:t xml:space="preserve"> measurement bandwidth is used </w:t>
      </w:r>
      <w:r w:rsidR="00916915">
        <w:t>etc.).</w:t>
      </w:r>
      <w:r w:rsidR="00C109C6">
        <w:t xml:space="preserve"> </w:t>
      </w:r>
    </w:p>
    <w:p w14:paraId="04B0832A" w14:textId="77777777" w:rsidR="00AE0593" w:rsidRDefault="00AE0593" w:rsidP="00976E5D">
      <w:pPr>
        <w:spacing w:after="0"/>
      </w:pPr>
    </w:p>
    <w:p w14:paraId="0C826641" w14:textId="31F6D65E" w:rsidR="00976E5D" w:rsidRDefault="00B7184D" w:rsidP="00976E5D">
      <w:pPr>
        <w:spacing w:after="0"/>
        <w:rPr>
          <w:b/>
        </w:rPr>
      </w:pPr>
      <w:r w:rsidRPr="00B7184D">
        <w:rPr>
          <w:b/>
        </w:rPr>
        <w:t>Proposal#3:</w:t>
      </w:r>
      <w:r>
        <w:t xml:space="preserve"> To achieve </w:t>
      </w:r>
      <w:r w:rsidR="00965285">
        <w:t xml:space="preserve">the </w:t>
      </w:r>
      <w:r>
        <w:t>consistency</w:t>
      </w:r>
      <w:r w:rsidR="00965285">
        <w:t xml:space="preserve"> on the NR measurement object</w:t>
      </w:r>
      <w:r>
        <w:t xml:space="preserve"> at the UE, </w:t>
      </w:r>
      <w:r w:rsidRPr="00B7184D">
        <w:t>UE is configured with only 1 measurement object for each NR carrier frequency when operating in EN-DC operation.</w:t>
      </w:r>
    </w:p>
    <w:p w14:paraId="019979C6" w14:textId="77777777" w:rsidR="00976E5D" w:rsidRDefault="00976E5D" w:rsidP="00976E5D">
      <w:pPr>
        <w:spacing w:after="0"/>
        <w:rPr>
          <w:b/>
        </w:rPr>
      </w:pPr>
    </w:p>
    <w:p w14:paraId="2EDA233D" w14:textId="36A78C29" w:rsidR="00976E5D" w:rsidRDefault="00B7184D" w:rsidP="00976E5D">
      <w:pPr>
        <w:spacing w:after="0"/>
      </w:pPr>
      <w:r>
        <w:rPr>
          <w:b/>
        </w:rPr>
        <w:t>Proposal#4</w:t>
      </w:r>
      <w:r w:rsidR="00976E5D" w:rsidRPr="00BC234D">
        <w:rPr>
          <w:b/>
        </w:rPr>
        <w:t>:</w:t>
      </w:r>
      <w:r w:rsidR="00976E5D">
        <w:t xml:space="preserve"> Each NR measurement object can be linked wit</w:t>
      </w:r>
      <w:r w:rsidR="00034661">
        <w:t>h one or more report configuration</w:t>
      </w:r>
      <w:r w:rsidR="00976E5D">
        <w:t xml:space="preserve"> that can be independently configured by the MN RRC and/or by the SN RRC.</w:t>
      </w:r>
    </w:p>
    <w:p w14:paraId="0186A69E" w14:textId="77777777" w:rsidR="00976E5D" w:rsidRDefault="00976E5D" w:rsidP="00976E5D">
      <w:pPr>
        <w:spacing w:after="0"/>
      </w:pPr>
    </w:p>
    <w:p w14:paraId="25B2AB81" w14:textId="331E55C8" w:rsidR="00976E5D" w:rsidRDefault="00916915" w:rsidP="00976E5D">
      <w:pPr>
        <w:spacing w:after="0"/>
      </w:pPr>
      <w:r>
        <w:rPr>
          <w:b/>
        </w:rPr>
        <w:t>Proposal#</w:t>
      </w:r>
      <w:r w:rsidR="00B7184D">
        <w:rPr>
          <w:b/>
        </w:rPr>
        <w:t>5</w:t>
      </w:r>
      <w:r w:rsidR="00976E5D" w:rsidRPr="00BC234D">
        <w:rPr>
          <w:b/>
        </w:rPr>
        <w:t>:</w:t>
      </w:r>
      <w:r w:rsidR="00976E5D">
        <w:t xml:space="preserve"> The measurement report will be sent to the node that configures the reporting criteria that triggered the event or periodic report.</w:t>
      </w:r>
    </w:p>
    <w:p w14:paraId="526A3EDE" w14:textId="77777777" w:rsidR="00976E5D" w:rsidRDefault="00976E5D" w:rsidP="00976E5D">
      <w:pPr>
        <w:spacing w:after="0"/>
      </w:pPr>
    </w:p>
    <w:p w14:paraId="50FAA92B" w14:textId="77777777" w:rsidR="00976E5D" w:rsidRDefault="00976E5D" w:rsidP="00976E5D">
      <w:pPr>
        <w:spacing w:after="0"/>
      </w:pPr>
      <w:r>
        <w:t xml:space="preserve">The above agreement is in line with the following agreement:  </w:t>
      </w:r>
    </w:p>
    <w:p w14:paraId="59E12F22" w14:textId="7071F931" w:rsidR="00976E5D" w:rsidRPr="00FC3DF5" w:rsidRDefault="00976E5D" w:rsidP="00FC3DF5">
      <w:pPr>
        <w:spacing w:after="0"/>
        <w:ind w:left="576"/>
        <w:rPr>
          <w:i/>
        </w:rPr>
      </w:pPr>
      <w:r w:rsidRPr="00BC234D">
        <w:rPr>
          <w:i/>
        </w:rPr>
        <w:t>NR RRC complete messages and measurement reports are mapped to the same SRB as the message initiating the procedure</w:t>
      </w:r>
    </w:p>
    <w:p w14:paraId="1CB8CFBA" w14:textId="77777777" w:rsidR="00277C15" w:rsidRDefault="00277C15" w:rsidP="00402F1C">
      <w:pPr>
        <w:spacing w:after="0"/>
      </w:pPr>
    </w:p>
    <w:p w14:paraId="24A0D101" w14:textId="3C0CBDB6" w:rsidR="009F5363" w:rsidRDefault="00B944BE" w:rsidP="009F5363">
      <w:pPr>
        <w:pStyle w:val="Heading2"/>
      </w:pPr>
      <w:r>
        <w:t>How to coordinate the NR measurement configuration between MN and SN</w:t>
      </w:r>
    </w:p>
    <w:p w14:paraId="420E5CD9" w14:textId="20FF8060" w:rsidR="00B944BE" w:rsidRPr="00B944BE" w:rsidRDefault="00B944BE" w:rsidP="00B944BE">
      <w:r>
        <w:t>If Proposal#</w:t>
      </w:r>
      <w:r w:rsidR="00AE7C97">
        <w:t>2</w:t>
      </w:r>
      <w:r w:rsidR="00034661">
        <w:t xml:space="preserve"> is agreed, the </w:t>
      </w:r>
      <w:r>
        <w:t>measurement configuration that need</w:t>
      </w:r>
      <w:r w:rsidR="000C0370">
        <w:t>s</w:t>
      </w:r>
      <w:r>
        <w:t xml:space="preserve"> coordination between MN and SN is the measurement object configuration.</w:t>
      </w:r>
      <w:r w:rsidR="00AE7C97">
        <w:t xml:space="preserve"> Through the coordination, the MN and SN have to agree on one measurement object for a NR frequency to be sent to the UE.</w:t>
      </w:r>
      <w:r w:rsidR="00CE23A7">
        <w:t xml:space="preserve"> </w:t>
      </w:r>
    </w:p>
    <w:p w14:paraId="59B25AAA" w14:textId="4D4B6495" w:rsidR="00CE23A7" w:rsidRDefault="00CE23A7" w:rsidP="00402F1C">
      <w:pPr>
        <w:spacing w:after="0"/>
      </w:pPr>
      <w:r>
        <w:t xml:space="preserve">As on the ‘FFS how to allow the MN to perform inter-RAT measurement for potential handover to the serving SN frequency’, this </w:t>
      </w:r>
      <w:r w:rsidR="00BD1A47">
        <w:t xml:space="preserve">will be needed when </w:t>
      </w:r>
      <w:r w:rsidR="000C0370">
        <w:t xml:space="preserve">the </w:t>
      </w:r>
      <w:r w:rsidR="00BD1A47">
        <w:t xml:space="preserve">NR SN can </w:t>
      </w:r>
      <w:r w:rsidR="000C0370">
        <w:t xml:space="preserve">operate in </w:t>
      </w:r>
      <w:r w:rsidR="00BD1A47">
        <w:t xml:space="preserve">standalone </w:t>
      </w:r>
      <w:r w:rsidR="000C0370">
        <w:t>mode</w:t>
      </w:r>
      <w:r>
        <w:t>. With Proposal#</w:t>
      </w:r>
      <w:r w:rsidR="00AF0B0A">
        <w:t>4</w:t>
      </w:r>
      <w:r>
        <w:t>, the MN can configure the reporting criteria to the UE linking to the measurement object related to SN  serving frequency</w:t>
      </w:r>
      <w:r w:rsidR="00BD1A47">
        <w:t xml:space="preserve"> (as well as any NR serving frequencies configured by SN)</w:t>
      </w:r>
      <w:r>
        <w:t xml:space="preserve"> so that it can get the measurement report to </w:t>
      </w:r>
      <w:r w:rsidR="000C0370">
        <w:t xml:space="preserve">trigger a </w:t>
      </w:r>
      <w:r>
        <w:t>handover to the serving SN.</w:t>
      </w:r>
    </w:p>
    <w:p w14:paraId="2F086424" w14:textId="77777777" w:rsidR="00CE23A7" w:rsidRDefault="00CE23A7" w:rsidP="00402F1C">
      <w:pPr>
        <w:spacing w:after="0"/>
      </w:pPr>
    </w:p>
    <w:p w14:paraId="610D5770" w14:textId="269244B3" w:rsidR="00CE23A7" w:rsidRDefault="00CE23A7" w:rsidP="00402F1C">
      <w:pPr>
        <w:spacing w:after="0"/>
      </w:pPr>
      <w:r w:rsidRPr="00CE23A7">
        <w:rPr>
          <w:b/>
        </w:rPr>
        <w:lastRenderedPageBreak/>
        <w:t>Observation#3:</w:t>
      </w:r>
      <w:r>
        <w:t xml:space="preserve"> The ‘FFS how to allow the MN to perform inter-RAT measurement for potential handover to the serving SN frequency’ can be achieved by </w:t>
      </w:r>
      <w:r w:rsidR="001968E7">
        <w:t xml:space="preserve">the </w:t>
      </w:r>
      <w:r>
        <w:t>MN configuring</w:t>
      </w:r>
      <w:r w:rsidRPr="00CE23A7">
        <w:t xml:space="preserve"> </w:t>
      </w:r>
      <w:r>
        <w:t>reporting criteria to the UE linking to the measurement object related to SN serving frequency</w:t>
      </w:r>
    </w:p>
    <w:p w14:paraId="0A497AC2" w14:textId="77777777" w:rsidR="00CE23A7" w:rsidRDefault="00CE23A7" w:rsidP="00402F1C">
      <w:pPr>
        <w:spacing w:after="0"/>
      </w:pPr>
    </w:p>
    <w:p w14:paraId="3FF72D88" w14:textId="399796F3" w:rsidR="00CE23A7" w:rsidRDefault="00CE23A7" w:rsidP="00CE23A7">
      <w:pPr>
        <w:pStyle w:val="Heading2"/>
      </w:pPr>
      <w:r>
        <w:t>Exchange of measurement results between MN and SN</w:t>
      </w:r>
    </w:p>
    <w:p w14:paraId="635CDBD5" w14:textId="374561D9" w:rsidR="00CE23A7" w:rsidRPr="00943FB8" w:rsidRDefault="00CE23A7" w:rsidP="00CE23A7">
      <w:pPr>
        <w:spacing w:after="0"/>
        <w:rPr>
          <w:rFonts w:cs="Intel Clear"/>
        </w:rPr>
      </w:pPr>
      <w:r>
        <w:t>In LTE, MN can provide the latest measurement results for the SCG cell(s) requested to be added. The same can be applied to the EN-DC case, where the MN provides the inter-RAT SCG measurement results to the NR SN as part of the SCG addition. As in LTE, this is need</w:t>
      </w:r>
      <w:r w:rsidR="00840FC6">
        <w:t>ed</w:t>
      </w:r>
      <w:r>
        <w:t xml:space="preserve"> for the SN to decide which serving cell should be PSCell and which serving cell(s) should be set up as SCells.</w:t>
      </w:r>
    </w:p>
    <w:p w14:paraId="7C6A60BA" w14:textId="77777777" w:rsidR="00CE23A7" w:rsidRDefault="00CE23A7" w:rsidP="00CE23A7">
      <w:pPr>
        <w:spacing w:after="0"/>
      </w:pPr>
    </w:p>
    <w:p w14:paraId="180DC46C" w14:textId="43FA246A" w:rsidR="00CE23A7" w:rsidRDefault="00991947" w:rsidP="00CE23A7">
      <w:pPr>
        <w:spacing w:after="0"/>
      </w:pPr>
      <w:r>
        <w:rPr>
          <w:b/>
        </w:rPr>
        <w:t>Proposal#6</w:t>
      </w:r>
      <w:r w:rsidR="00CE23A7" w:rsidRPr="001B7F30">
        <w:rPr>
          <w:b/>
        </w:rPr>
        <w:t>:</w:t>
      </w:r>
      <w:r w:rsidR="00CE23A7">
        <w:t xml:space="preserve"> SCG measurements are provided by MN to SN as part of the SCG addition request.</w:t>
      </w:r>
    </w:p>
    <w:p w14:paraId="7EDE15E6" w14:textId="77777777" w:rsidR="00C4788C" w:rsidRDefault="00C4788C" w:rsidP="00402F1C">
      <w:pPr>
        <w:spacing w:after="0"/>
      </w:pPr>
    </w:p>
    <w:p w14:paraId="6B22A000" w14:textId="7190CF21" w:rsidR="004C512A" w:rsidRDefault="004C512A" w:rsidP="004C512A">
      <w:pPr>
        <w:spacing w:after="0"/>
      </w:pPr>
      <w:r>
        <w:t>In LTE, in the MN initiated case for additional of SCG SCell addition request, the MN can provide measurement results for the SCG cell(s) requested to be added. The reason for this is that RRM measurement maintenance is on the MN side. For EN-DC, the NR SCG maintains its own RRM measurement for SCell addition and release. Hence it is not needed for the MN to provide measurement results for SCG SCell addition. The SCG should be able to manage its SCell based on the measurement result received via SCG SRB if configured or via MN from measurement report in encapsulated container.</w:t>
      </w:r>
    </w:p>
    <w:p w14:paraId="2A6116EA" w14:textId="77777777" w:rsidR="004C512A" w:rsidRDefault="004C512A" w:rsidP="004C512A">
      <w:pPr>
        <w:spacing w:after="0"/>
        <w:rPr>
          <w:b/>
        </w:rPr>
      </w:pPr>
    </w:p>
    <w:p w14:paraId="69B8CCAC" w14:textId="2260E181" w:rsidR="004C512A" w:rsidRDefault="00991947" w:rsidP="004C512A">
      <w:pPr>
        <w:spacing w:after="0"/>
      </w:pPr>
      <w:r>
        <w:rPr>
          <w:b/>
        </w:rPr>
        <w:t>Proposal#7</w:t>
      </w:r>
      <w:r w:rsidR="004C512A" w:rsidRPr="007E79B1">
        <w:rPr>
          <w:b/>
        </w:rPr>
        <w:t>:</w:t>
      </w:r>
      <w:r w:rsidR="004C512A">
        <w:t xml:space="preserve"> MN does not provide </w:t>
      </w:r>
      <w:r w:rsidR="001968E7">
        <w:t xml:space="preserve">an </w:t>
      </w:r>
      <w:r w:rsidR="004C512A">
        <w:t>existing SN with measurement results for SCG change. SN should maintain the inter-frequency measurement required for SCG change within the same SN.</w:t>
      </w:r>
    </w:p>
    <w:p w14:paraId="724928F5" w14:textId="77777777" w:rsidR="00904E4D" w:rsidRDefault="00904E4D" w:rsidP="00402F1C">
      <w:pPr>
        <w:spacing w:after="0"/>
      </w:pPr>
    </w:p>
    <w:p w14:paraId="7C7A7063" w14:textId="05C113AA" w:rsidR="009C595D" w:rsidRDefault="004C512A" w:rsidP="00402F1C">
      <w:pPr>
        <w:spacing w:after="0"/>
      </w:pPr>
      <w:r>
        <w:t>In the last meeting, it is agreed that SN does not provide the NR measurement results to the MN for the case of SN Initiated inter-SN change. With the proposed measurement framework, in the case of MN initiated inter-SN change</w:t>
      </w:r>
      <w:r w:rsidR="000E0BA1">
        <w:t>, the measurement can be sent directly to the MN</w:t>
      </w:r>
      <w:r w:rsidR="00A10135">
        <w:t xml:space="preserve"> by the UE.</w:t>
      </w:r>
    </w:p>
    <w:p w14:paraId="79C96136" w14:textId="77777777" w:rsidR="00943FB8" w:rsidRDefault="00943FB8" w:rsidP="00402F1C">
      <w:pPr>
        <w:spacing w:after="0"/>
      </w:pPr>
    </w:p>
    <w:p w14:paraId="49944C2B" w14:textId="0D6FFF4E" w:rsidR="00B47267" w:rsidRDefault="00991947" w:rsidP="00402F1C">
      <w:pPr>
        <w:spacing w:after="0"/>
      </w:pPr>
      <w:r>
        <w:rPr>
          <w:b/>
        </w:rPr>
        <w:t>Proposal#8</w:t>
      </w:r>
      <w:r w:rsidR="00BE3154" w:rsidRPr="003F7787">
        <w:rPr>
          <w:b/>
        </w:rPr>
        <w:t>:</w:t>
      </w:r>
      <w:r w:rsidR="004C512A">
        <w:t xml:space="preserve"> T</w:t>
      </w:r>
      <w:r w:rsidR="003F7787">
        <w:t>he MN maintains the inter-frequency measurement required for</w:t>
      </w:r>
      <w:r w:rsidR="0068583F">
        <w:t xml:space="preserve"> inter-SN SCG change</w:t>
      </w:r>
      <w:r w:rsidR="003F7787">
        <w:t>. The inter-frequency measurement results can be sent to the MN directly by the UE.</w:t>
      </w:r>
    </w:p>
    <w:p w14:paraId="3671E8F7" w14:textId="77777777" w:rsidR="00591969" w:rsidRDefault="000E78C4" w:rsidP="000E78C4">
      <w:pPr>
        <w:pStyle w:val="Heading1"/>
      </w:pPr>
      <w:r>
        <w:t>Summary and proposals</w:t>
      </w:r>
    </w:p>
    <w:p w14:paraId="3671E8F8" w14:textId="1E6E361F" w:rsidR="000E78C4" w:rsidRDefault="009A6CF9" w:rsidP="000E78C4">
      <w:r>
        <w:t>In this contribution, t</w:t>
      </w:r>
      <w:r w:rsidR="00E8125F">
        <w:t xml:space="preserve">he following observations and proposals were made. </w:t>
      </w:r>
    </w:p>
    <w:p w14:paraId="1D14E58B" w14:textId="77777777" w:rsidR="00991947" w:rsidRDefault="00991947" w:rsidP="00991947">
      <w:pPr>
        <w:spacing w:after="0"/>
      </w:pPr>
      <w:r w:rsidRPr="008D7A5A">
        <w:rPr>
          <w:b/>
        </w:rPr>
        <w:t>Proposal#1:</w:t>
      </w:r>
      <w:r>
        <w:t xml:space="preserve"> Regardless of Option 1 (Independent configuration between MCG and SCG) or Option 2 (Independent configuration between MCG and SCG), measurement configuration (at least on the </w:t>
      </w:r>
      <w:bookmarkStart w:id="0" w:name="_GoBack"/>
      <w:bookmarkEnd w:id="0"/>
      <w:r>
        <w:t xml:space="preserve">measurement object, measurement gap configuration) coordination between the MN and SN needs to be performed to ensure that there is no inconsistency issue (e.g. the same max measurement bandwidth is used, measurement gap configuration is the same etc.). </w:t>
      </w:r>
    </w:p>
    <w:p w14:paraId="4C24557A" w14:textId="77777777" w:rsidR="00991947" w:rsidRDefault="00991947" w:rsidP="00991947">
      <w:pPr>
        <w:spacing w:after="0"/>
      </w:pPr>
      <w:r>
        <w:rPr>
          <w:b/>
        </w:rPr>
        <w:t xml:space="preserve">Proposal#2: </w:t>
      </w:r>
      <w:r w:rsidRPr="00916915">
        <w:t>The NR measurement object</w:t>
      </w:r>
      <w:r>
        <w:t xml:space="preserve"> for a NR carrier frequency</w:t>
      </w:r>
      <w:r w:rsidRPr="00916915">
        <w:t xml:space="preserve"> configured by either t</w:t>
      </w:r>
      <w:r>
        <w:t>he MN or SN should be identical</w:t>
      </w:r>
      <w:r>
        <w:rPr>
          <w:b/>
        </w:rPr>
        <w:t xml:space="preserve"> </w:t>
      </w:r>
      <w:r>
        <w:t xml:space="preserve">(e.g. the same max measurement bandwidth is used etc.). </w:t>
      </w:r>
    </w:p>
    <w:p w14:paraId="1AE40B80" w14:textId="77777777" w:rsidR="00991947" w:rsidRDefault="00991947" w:rsidP="00991947">
      <w:pPr>
        <w:spacing w:after="0"/>
        <w:rPr>
          <w:b/>
        </w:rPr>
      </w:pPr>
      <w:r w:rsidRPr="00B7184D">
        <w:rPr>
          <w:b/>
        </w:rPr>
        <w:t>Proposal#3:</w:t>
      </w:r>
      <w:r>
        <w:t xml:space="preserve"> To achieve the consistency on the NR measurement object at the UE, </w:t>
      </w:r>
      <w:r w:rsidRPr="00B7184D">
        <w:t>UE is configured with only 1 measurement object for each NR carrier frequency when operating in EN-DC operation.</w:t>
      </w:r>
    </w:p>
    <w:p w14:paraId="60E556A5" w14:textId="77777777" w:rsidR="00991947" w:rsidRDefault="00991947" w:rsidP="00991947">
      <w:pPr>
        <w:spacing w:after="0"/>
      </w:pPr>
      <w:r>
        <w:rPr>
          <w:b/>
        </w:rPr>
        <w:t>Proposal#4</w:t>
      </w:r>
      <w:r w:rsidRPr="00BC234D">
        <w:rPr>
          <w:b/>
        </w:rPr>
        <w:t>:</w:t>
      </w:r>
      <w:r>
        <w:t xml:space="preserve"> Each NR measurement object can be linked with one or more report configuration that can be independently configured by the MN RRC and/or by the SN RRC.</w:t>
      </w:r>
    </w:p>
    <w:p w14:paraId="1B232C78" w14:textId="77777777" w:rsidR="00991947" w:rsidRDefault="00991947" w:rsidP="00991947">
      <w:pPr>
        <w:spacing w:after="0"/>
      </w:pPr>
      <w:r>
        <w:rPr>
          <w:b/>
        </w:rPr>
        <w:t>Proposal#5</w:t>
      </w:r>
      <w:r w:rsidRPr="00BC234D">
        <w:rPr>
          <w:b/>
        </w:rPr>
        <w:t>:</w:t>
      </w:r>
      <w:r>
        <w:t xml:space="preserve"> The measurement report will be sent to the node that configures the reporting criteria that triggered the event or periodic report.</w:t>
      </w:r>
    </w:p>
    <w:p w14:paraId="47B913B7" w14:textId="78FA6CDC" w:rsidR="00FC3DF5" w:rsidRDefault="00991947" w:rsidP="00FC3DF5">
      <w:pPr>
        <w:spacing w:after="0"/>
      </w:pPr>
      <w:r>
        <w:rPr>
          <w:b/>
        </w:rPr>
        <w:t>Proposal#6</w:t>
      </w:r>
      <w:r w:rsidR="00FC3DF5" w:rsidRPr="001B7F30">
        <w:rPr>
          <w:b/>
        </w:rPr>
        <w:t>:</w:t>
      </w:r>
      <w:r w:rsidR="00FC3DF5">
        <w:t xml:space="preserve"> SCG measurements are provided by MN to SN as part of the SCG addition request.</w:t>
      </w:r>
    </w:p>
    <w:p w14:paraId="2C988CAC" w14:textId="3CE1A48D" w:rsidR="00FC3DF5" w:rsidRDefault="00991947" w:rsidP="00FC3DF5">
      <w:pPr>
        <w:spacing w:after="0"/>
      </w:pPr>
      <w:r>
        <w:rPr>
          <w:b/>
        </w:rPr>
        <w:lastRenderedPageBreak/>
        <w:t>Proposal#7</w:t>
      </w:r>
      <w:r w:rsidR="00FC3DF5" w:rsidRPr="007E79B1">
        <w:rPr>
          <w:b/>
        </w:rPr>
        <w:t>:</w:t>
      </w:r>
      <w:r w:rsidR="00FC3DF5">
        <w:t xml:space="preserve"> MN does not provide an existing SN with measurement results for SCG change. SN should maintain the inter-frequency measurement required for SCG change within the same SN.</w:t>
      </w:r>
    </w:p>
    <w:p w14:paraId="7857C4BF" w14:textId="3D6372F7" w:rsidR="00FC3DF5" w:rsidRDefault="00991947" w:rsidP="00FC3DF5">
      <w:pPr>
        <w:spacing w:after="0"/>
      </w:pPr>
      <w:r>
        <w:rPr>
          <w:b/>
        </w:rPr>
        <w:t>Proposal#8</w:t>
      </w:r>
      <w:r w:rsidR="00FC3DF5" w:rsidRPr="003F7787">
        <w:rPr>
          <w:b/>
        </w:rPr>
        <w:t>:</w:t>
      </w:r>
      <w:r w:rsidR="00FC3DF5">
        <w:t xml:space="preserve"> The MN maintains the inter-frequency measurement required for inter-SN SCG change. The inter-frequency measurement results can be sent to the MN directly by the UE.</w:t>
      </w:r>
    </w:p>
    <w:p w14:paraId="3671E923" w14:textId="424B8D06" w:rsidR="000E78C4" w:rsidRDefault="006D73E5" w:rsidP="006D73E5">
      <w:pPr>
        <w:pStyle w:val="Heading1"/>
      </w:pPr>
      <w:r>
        <w:t>References</w:t>
      </w:r>
    </w:p>
    <w:p w14:paraId="3AB81006" w14:textId="5BB1B672" w:rsidR="006D73E5" w:rsidRPr="006D73E5" w:rsidRDefault="006D73E5" w:rsidP="006D73E5">
      <w:r w:rsidRPr="006D73E5">
        <w:t xml:space="preserve">[1] </w:t>
      </w:r>
      <w:r w:rsidRPr="006D73E5">
        <w:rPr>
          <w:rFonts w:cs="Arial"/>
        </w:rPr>
        <w:t>[9</w:t>
      </w:r>
      <w:r w:rsidRPr="006D73E5">
        <w:rPr>
          <w:rFonts w:cs="Arial"/>
          <w:lang w:eastAsia="ja-JP"/>
        </w:rPr>
        <w:t>7</w:t>
      </w:r>
      <w:r w:rsidRPr="006D73E5">
        <w:rPr>
          <w:rFonts w:cs="Arial"/>
        </w:rPr>
        <w:t>bis#</w:t>
      </w:r>
      <w:r w:rsidRPr="006D73E5">
        <w:rPr>
          <w:rFonts w:cs="Arial"/>
          <w:lang w:eastAsia="ja-JP"/>
        </w:rPr>
        <w:t>10</w:t>
      </w:r>
      <w:r w:rsidRPr="006D73E5">
        <w:rPr>
          <w:rFonts w:cs="Arial"/>
        </w:rPr>
        <w:t>][NR]</w:t>
      </w:r>
      <w:r w:rsidRPr="006D73E5">
        <w:rPr>
          <w:rFonts w:cs="Arial"/>
          <w:lang w:eastAsia="ja-JP"/>
        </w:rPr>
        <w:t xml:space="preserve"> MN/SN measurement coordination</w:t>
      </w:r>
      <w:r>
        <w:rPr>
          <w:rFonts w:cs="Arial"/>
          <w:lang w:eastAsia="ja-JP"/>
        </w:rPr>
        <w:t>, NTT DoCoMo</w:t>
      </w:r>
    </w:p>
    <w:sectPr w:rsidR="006D73E5" w:rsidRPr="006D73E5">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Intel Clear">
    <w:panose1 w:val="020B0604020203020204"/>
    <w:charset w:val="00"/>
    <w:family w:val="swiss"/>
    <w:pitch w:val="variable"/>
    <w:sig w:usb0="E10006FF" w:usb1="400060FB" w:usb2="00000028"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B85C61"/>
    <w:multiLevelType w:val="hybridMultilevel"/>
    <w:tmpl w:val="05B6757C"/>
    <w:lvl w:ilvl="0" w:tplc="703C3C08">
      <w:numFmt w:val="bullet"/>
      <w:lvlText w:val="-"/>
      <w:lvlJc w:val="left"/>
      <w:pPr>
        <w:ind w:left="928" w:hanging="644"/>
      </w:pPr>
      <w:rPr>
        <w:rFonts w:ascii="CG Times (WN)" w:eastAsia="MS Mincho" w:hAnsi="CG Times (WN)" w:cs="Times New Roman" w:hint="default"/>
        <w:i w:val="0"/>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51626484"/>
    <w:multiLevelType w:val="hybridMultilevel"/>
    <w:tmpl w:val="D596661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 w15:restartNumberingAfterBreak="0">
    <w:nsid w:val="6643703A"/>
    <w:multiLevelType w:val="hybridMultilevel"/>
    <w:tmpl w:val="695ED45C"/>
    <w:lvl w:ilvl="0" w:tplc="4E0C7BBC">
      <w:start w:val="1"/>
      <w:numFmt w:val="bullet"/>
      <w:lvlText w:val=""/>
      <w:lvlJc w:val="left"/>
      <w:pPr>
        <w:tabs>
          <w:tab w:val="num" w:pos="720"/>
        </w:tabs>
        <w:ind w:left="720" w:hanging="360"/>
      </w:pPr>
      <w:rPr>
        <w:rFonts w:ascii="Wingdings" w:hAnsi="Wingdings" w:hint="default"/>
      </w:rPr>
    </w:lvl>
    <w:lvl w:ilvl="1" w:tplc="452E6B6A">
      <w:start w:val="1"/>
      <w:numFmt w:val="bullet"/>
      <w:lvlText w:val=""/>
      <w:lvlJc w:val="left"/>
      <w:pPr>
        <w:tabs>
          <w:tab w:val="num" w:pos="1440"/>
        </w:tabs>
        <w:ind w:left="1440" w:hanging="360"/>
      </w:pPr>
      <w:rPr>
        <w:rFonts w:ascii="Wingdings" w:hAnsi="Wingdings" w:hint="default"/>
      </w:rPr>
    </w:lvl>
    <w:lvl w:ilvl="2" w:tplc="509ABC78" w:tentative="1">
      <w:start w:val="1"/>
      <w:numFmt w:val="bullet"/>
      <w:lvlText w:val=""/>
      <w:lvlJc w:val="left"/>
      <w:pPr>
        <w:tabs>
          <w:tab w:val="num" w:pos="2160"/>
        </w:tabs>
        <w:ind w:left="2160" w:hanging="360"/>
      </w:pPr>
      <w:rPr>
        <w:rFonts w:ascii="Wingdings" w:hAnsi="Wingdings" w:hint="default"/>
      </w:rPr>
    </w:lvl>
    <w:lvl w:ilvl="3" w:tplc="DA9AD6DC" w:tentative="1">
      <w:start w:val="1"/>
      <w:numFmt w:val="bullet"/>
      <w:lvlText w:val=""/>
      <w:lvlJc w:val="left"/>
      <w:pPr>
        <w:tabs>
          <w:tab w:val="num" w:pos="2880"/>
        </w:tabs>
        <w:ind w:left="2880" w:hanging="360"/>
      </w:pPr>
      <w:rPr>
        <w:rFonts w:ascii="Wingdings" w:hAnsi="Wingdings" w:hint="default"/>
      </w:rPr>
    </w:lvl>
    <w:lvl w:ilvl="4" w:tplc="5816B0C2" w:tentative="1">
      <w:start w:val="1"/>
      <w:numFmt w:val="bullet"/>
      <w:lvlText w:val=""/>
      <w:lvlJc w:val="left"/>
      <w:pPr>
        <w:tabs>
          <w:tab w:val="num" w:pos="3600"/>
        </w:tabs>
        <w:ind w:left="3600" w:hanging="360"/>
      </w:pPr>
      <w:rPr>
        <w:rFonts w:ascii="Wingdings" w:hAnsi="Wingdings" w:hint="default"/>
      </w:rPr>
    </w:lvl>
    <w:lvl w:ilvl="5" w:tplc="A538CEEC" w:tentative="1">
      <w:start w:val="1"/>
      <w:numFmt w:val="bullet"/>
      <w:lvlText w:val=""/>
      <w:lvlJc w:val="left"/>
      <w:pPr>
        <w:tabs>
          <w:tab w:val="num" w:pos="4320"/>
        </w:tabs>
        <w:ind w:left="4320" w:hanging="360"/>
      </w:pPr>
      <w:rPr>
        <w:rFonts w:ascii="Wingdings" w:hAnsi="Wingdings" w:hint="default"/>
      </w:rPr>
    </w:lvl>
    <w:lvl w:ilvl="6" w:tplc="DF208F06" w:tentative="1">
      <w:start w:val="1"/>
      <w:numFmt w:val="bullet"/>
      <w:lvlText w:val=""/>
      <w:lvlJc w:val="left"/>
      <w:pPr>
        <w:tabs>
          <w:tab w:val="num" w:pos="5040"/>
        </w:tabs>
        <w:ind w:left="5040" w:hanging="360"/>
      </w:pPr>
      <w:rPr>
        <w:rFonts w:ascii="Wingdings" w:hAnsi="Wingdings" w:hint="default"/>
      </w:rPr>
    </w:lvl>
    <w:lvl w:ilvl="7" w:tplc="5CB065FA" w:tentative="1">
      <w:start w:val="1"/>
      <w:numFmt w:val="bullet"/>
      <w:lvlText w:val=""/>
      <w:lvlJc w:val="left"/>
      <w:pPr>
        <w:tabs>
          <w:tab w:val="num" w:pos="5760"/>
        </w:tabs>
        <w:ind w:left="5760" w:hanging="360"/>
      </w:pPr>
      <w:rPr>
        <w:rFonts w:ascii="Wingdings" w:hAnsi="Wingdings" w:hint="default"/>
      </w:rPr>
    </w:lvl>
    <w:lvl w:ilvl="8" w:tplc="93DCC27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6EA33BB"/>
    <w:multiLevelType w:val="hybridMultilevel"/>
    <w:tmpl w:val="96D050E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786F7A4E"/>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171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7BAF3043"/>
    <w:multiLevelType w:val="hybridMultilevel"/>
    <w:tmpl w:val="6E0067C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817"/>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661"/>
    <w:rsid w:val="00034A19"/>
    <w:rsid w:val="00035239"/>
    <w:rsid w:val="00035C44"/>
    <w:rsid w:val="0004213C"/>
    <w:rsid w:val="000434C3"/>
    <w:rsid w:val="00043B00"/>
    <w:rsid w:val="00043F8C"/>
    <w:rsid w:val="000441F3"/>
    <w:rsid w:val="000445E3"/>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602"/>
    <w:rsid w:val="00072D10"/>
    <w:rsid w:val="00073644"/>
    <w:rsid w:val="00074CF7"/>
    <w:rsid w:val="00075E89"/>
    <w:rsid w:val="000802EF"/>
    <w:rsid w:val="0008139E"/>
    <w:rsid w:val="000821AA"/>
    <w:rsid w:val="00083A16"/>
    <w:rsid w:val="00083E69"/>
    <w:rsid w:val="00083F31"/>
    <w:rsid w:val="0008449B"/>
    <w:rsid w:val="000845D6"/>
    <w:rsid w:val="00084C99"/>
    <w:rsid w:val="0008534C"/>
    <w:rsid w:val="000864BA"/>
    <w:rsid w:val="00086B88"/>
    <w:rsid w:val="00090F4D"/>
    <w:rsid w:val="000937CA"/>
    <w:rsid w:val="00095A4A"/>
    <w:rsid w:val="000A0D11"/>
    <w:rsid w:val="000A31A1"/>
    <w:rsid w:val="000A5529"/>
    <w:rsid w:val="000A6AC1"/>
    <w:rsid w:val="000A6C96"/>
    <w:rsid w:val="000A6F4D"/>
    <w:rsid w:val="000A75B0"/>
    <w:rsid w:val="000B6312"/>
    <w:rsid w:val="000B7A4F"/>
    <w:rsid w:val="000C0370"/>
    <w:rsid w:val="000C0749"/>
    <w:rsid w:val="000C088C"/>
    <w:rsid w:val="000C1817"/>
    <w:rsid w:val="000C1FE2"/>
    <w:rsid w:val="000C2537"/>
    <w:rsid w:val="000C48A6"/>
    <w:rsid w:val="000C4BD4"/>
    <w:rsid w:val="000C523A"/>
    <w:rsid w:val="000C79F0"/>
    <w:rsid w:val="000C7A7E"/>
    <w:rsid w:val="000D031F"/>
    <w:rsid w:val="000D0609"/>
    <w:rsid w:val="000D2585"/>
    <w:rsid w:val="000D2D90"/>
    <w:rsid w:val="000D33D7"/>
    <w:rsid w:val="000D3A46"/>
    <w:rsid w:val="000D53F8"/>
    <w:rsid w:val="000D54E1"/>
    <w:rsid w:val="000D59A5"/>
    <w:rsid w:val="000D5D4E"/>
    <w:rsid w:val="000E0BA1"/>
    <w:rsid w:val="000E17F5"/>
    <w:rsid w:val="000E1A69"/>
    <w:rsid w:val="000E419D"/>
    <w:rsid w:val="000E558E"/>
    <w:rsid w:val="000E7453"/>
    <w:rsid w:val="000E78C4"/>
    <w:rsid w:val="000E7F74"/>
    <w:rsid w:val="000F0563"/>
    <w:rsid w:val="000F0E19"/>
    <w:rsid w:val="000F0FE5"/>
    <w:rsid w:val="000F16D5"/>
    <w:rsid w:val="000F43AB"/>
    <w:rsid w:val="000F4A58"/>
    <w:rsid w:val="000F4AD6"/>
    <w:rsid w:val="000F6280"/>
    <w:rsid w:val="000F7296"/>
    <w:rsid w:val="000F7422"/>
    <w:rsid w:val="00101CAC"/>
    <w:rsid w:val="001024BA"/>
    <w:rsid w:val="001032DB"/>
    <w:rsid w:val="001039BE"/>
    <w:rsid w:val="00105979"/>
    <w:rsid w:val="00105EA4"/>
    <w:rsid w:val="001066AF"/>
    <w:rsid w:val="00107B60"/>
    <w:rsid w:val="001112EA"/>
    <w:rsid w:val="00112997"/>
    <w:rsid w:val="001132F5"/>
    <w:rsid w:val="0011415B"/>
    <w:rsid w:val="00114899"/>
    <w:rsid w:val="001213C0"/>
    <w:rsid w:val="00122CA0"/>
    <w:rsid w:val="0012303A"/>
    <w:rsid w:val="001230A8"/>
    <w:rsid w:val="00124DAB"/>
    <w:rsid w:val="00125AD2"/>
    <w:rsid w:val="001262C5"/>
    <w:rsid w:val="001268BD"/>
    <w:rsid w:val="00126930"/>
    <w:rsid w:val="001272E8"/>
    <w:rsid w:val="00127538"/>
    <w:rsid w:val="001301D0"/>
    <w:rsid w:val="0013107C"/>
    <w:rsid w:val="00132EBC"/>
    <w:rsid w:val="00133E38"/>
    <w:rsid w:val="0013435E"/>
    <w:rsid w:val="00134CB8"/>
    <w:rsid w:val="001366EF"/>
    <w:rsid w:val="00141B91"/>
    <w:rsid w:val="00142324"/>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D3B"/>
    <w:rsid w:val="00156F72"/>
    <w:rsid w:val="001606A5"/>
    <w:rsid w:val="0016368A"/>
    <w:rsid w:val="00164CF9"/>
    <w:rsid w:val="00171235"/>
    <w:rsid w:val="00172FC5"/>
    <w:rsid w:val="00175A92"/>
    <w:rsid w:val="00175B61"/>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8E7"/>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B7F30"/>
    <w:rsid w:val="001C052A"/>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D767F"/>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4D50"/>
    <w:rsid w:val="00205FF3"/>
    <w:rsid w:val="0020695B"/>
    <w:rsid w:val="00206BC5"/>
    <w:rsid w:val="0020793F"/>
    <w:rsid w:val="00207C8F"/>
    <w:rsid w:val="00211121"/>
    <w:rsid w:val="00211898"/>
    <w:rsid w:val="00211BE2"/>
    <w:rsid w:val="0021388D"/>
    <w:rsid w:val="00213A2B"/>
    <w:rsid w:val="00214DA0"/>
    <w:rsid w:val="00215D01"/>
    <w:rsid w:val="002163FB"/>
    <w:rsid w:val="002169F6"/>
    <w:rsid w:val="00222601"/>
    <w:rsid w:val="00222689"/>
    <w:rsid w:val="00223696"/>
    <w:rsid w:val="00225201"/>
    <w:rsid w:val="00225A44"/>
    <w:rsid w:val="0022643E"/>
    <w:rsid w:val="00226BAF"/>
    <w:rsid w:val="002278F4"/>
    <w:rsid w:val="002304B1"/>
    <w:rsid w:val="00230AE7"/>
    <w:rsid w:val="0023108D"/>
    <w:rsid w:val="00231BD0"/>
    <w:rsid w:val="00234DCA"/>
    <w:rsid w:val="0023547A"/>
    <w:rsid w:val="00235E14"/>
    <w:rsid w:val="002368E4"/>
    <w:rsid w:val="00237B3C"/>
    <w:rsid w:val="00237E21"/>
    <w:rsid w:val="00240588"/>
    <w:rsid w:val="002409D3"/>
    <w:rsid w:val="00240A3F"/>
    <w:rsid w:val="00241E41"/>
    <w:rsid w:val="00243D3D"/>
    <w:rsid w:val="00244C3A"/>
    <w:rsid w:val="0024553B"/>
    <w:rsid w:val="002471D0"/>
    <w:rsid w:val="002523C0"/>
    <w:rsid w:val="00253C8C"/>
    <w:rsid w:val="00253DE4"/>
    <w:rsid w:val="002542F8"/>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77C15"/>
    <w:rsid w:val="002803B1"/>
    <w:rsid w:val="002845C5"/>
    <w:rsid w:val="00286C9D"/>
    <w:rsid w:val="002872E3"/>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07F2"/>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331B"/>
    <w:rsid w:val="002C42B6"/>
    <w:rsid w:val="002C4698"/>
    <w:rsid w:val="002C58E4"/>
    <w:rsid w:val="002C6412"/>
    <w:rsid w:val="002C6D7B"/>
    <w:rsid w:val="002C6E16"/>
    <w:rsid w:val="002C7010"/>
    <w:rsid w:val="002C7597"/>
    <w:rsid w:val="002D05E1"/>
    <w:rsid w:val="002D086D"/>
    <w:rsid w:val="002D0BEC"/>
    <w:rsid w:val="002D0C22"/>
    <w:rsid w:val="002D0EE4"/>
    <w:rsid w:val="002D14EE"/>
    <w:rsid w:val="002D22A9"/>
    <w:rsid w:val="002D3114"/>
    <w:rsid w:val="002D38AA"/>
    <w:rsid w:val="002D43F3"/>
    <w:rsid w:val="002D5CC5"/>
    <w:rsid w:val="002D6109"/>
    <w:rsid w:val="002D6512"/>
    <w:rsid w:val="002D702D"/>
    <w:rsid w:val="002E18D2"/>
    <w:rsid w:val="002E20F8"/>
    <w:rsid w:val="002E35FA"/>
    <w:rsid w:val="002E4701"/>
    <w:rsid w:val="002E4813"/>
    <w:rsid w:val="002E49BA"/>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2BF3"/>
    <w:rsid w:val="00313A61"/>
    <w:rsid w:val="00313C29"/>
    <w:rsid w:val="00314040"/>
    <w:rsid w:val="003149DD"/>
    <w:rsid w:val="00314ACD"/>
    <w:rsid w:val="0031731E"/>
    <w:rsid w:val="003210EC"/>
    <w:rsid w:val="00322459"/>
    <w:rsid w:val="00322821"/>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42E3"/>
    <w:rsid w:val="00356420"/>
    <w:rsid w:val="0035643F"/>
    <w:rsid w:val="00356941"/>
    <w:rsid w:val="003601E5"/>
    <w:rsid w:val="003618AB"/>
    <w:rsid w:val="00363B5B"/>
    <w:rsid w:val="00364A74"/>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B27"/>
    <w:rsid w:val="003B7D88"/>
    <w:rsid w:val="003C1E7A"/>
    <w:rsid w:val="003C2928"/>
    <w:rsid w:val="003C3505"/>
    <w:rsid w:val="003C448C"/>
    <w:rsid w:val="003C46FA"/>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36C"/>
    <w:rsid w:val="003D75D8"/>
    <w:rsid w:val="003E164B"/>
    <w:rsid w:val="003E2678"/>
    <w:rsid w:val="003E26DC"/>
    <w:rsid w:val="003E2B40"/>
    <w:rsid w:val="003E3CFD"/>
    <w:rsid w:val="003E5BEF"/>
    <w:rsid w:val="003E6853"/>
    <w:rsid w:val="003F042E"/>
    <w:rsid w:val="003F0DF6"/>
    <w:rsid w:val="003F0FBB"/>
    <w:rsid w:val="003F16B8"/>
    <w:rsid w:val="003F2413"/>
    <w:rsid w:val="003F2E40"/>
    <w:rsid w:val="003F41AD"/>
    <w:rsid w:val="003F65B5"/>
    <w:rsid w:val="003F72CE"/>
    <w:rsid w:val="003F7787"/>
    <w:rsid w:val="003F7B2C"/>
    <w:rsid w:val="00400B33"/>
    <w:rsid w:val="00402F1C"/>
    <w:rsid w:val="00403643"/>
    <w:rsid w:val="00404248"/>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69C0"/>
    <w:rsid w:val="004276FA"/>
    <w:rsid w:val="0042793A"/>
    <w:rsid w:val="00430179"/>
    <w:rsid w:val="004308F5"/>
    <w:rsid w:val="00431F0A"/>
    <w:rsid w:val="00432BE9"/>
    <w:rsid w:val="00433060"/>
    <w:rsid w:val="00434BDB"/>
    <w:rsid w:val="0043519D"/>
    <w:rsid w:val="00435AE6"/>
    <w:rsid w:val="0043678F"/>
    <w:rsid w:val="004370DB"/>
    <w:rsid w:val="0043710A"/>
    <w:rsid w:val="0043728B"/>
    <w:rsid w:val="00437EAE"/>
    <w:rsid w:val="00440808"/>
    <w:rsid w:val="004413A8"/>
    <w:rsid w:val="00442061"/>
    <w:rsid w:val="004421B4"/>
    <w:rsid w:val="0044411B"/>
    <w:rsid w:val="004460D1"/>
    <w:rsid w:val="00447B76"/>
    <w:rsid w:val="0045058F"/>
    <w:rsid w:val="004507F8"/>
    <w:rsid w:val="0045094D"/>
    <w:rsid w:val="00451DB8"/>
    <w:rsid w:val="00453272"/>
    <w:rsid w:val="00455F90"/>
    <w:rsid w:val="00457030"/>
    <w:rsid w:val="0045782C"/>
    <w:rsid w:val="00457BE0"/>
    <w:rsid w:val="00460010"/>
    <w:rsid w:val="00461DF6"/>
    <w:rsid w:val="00462A11"/>
    <w:rsid w:val="00463898"/>
    <w:rsid w:val="004640D7"/>
    <w:rsid w:val="00465732"/>
    <w:rsid w:val="00465787"/>
    <w:rsid w:val="00466649"/>
    <w:rsid w:val="004675B1"/>
    <w:rsid w:val="00467B88"/>
    <w:rsid w:val="00470616"/>
    <w:rsid w:val="0047090D"/>
    <w:rsid w:val="00470A03"/>
    <w:rsid w:val="00471658"/>
    <w:rsid w:val="00473BAE"/>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6BDD"/>
    <w:rsid w:val="004A7411"/>
    <w:rsid w:val="004B04D0"/>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12A"/>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3EEA"/>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0DCF"/>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4456"/>
    <w:rsid w:val="00535EDF"/>
    <w:rsid w:val="005377DA"/>
    <w:rsid w:val="00540EE4"/>
    <w:rsid w:val="00541413"/>
    <w:rsid w:val="00542002"/>
    <w:rsid w:val="005428F0"/>
    <w:rsid w:val="00543DF5"/>
    <w:rsid w:val="00545022"/>
    <w:rsid w:val="005466CE"/>
    <w:rsid w:val="005505C2"/>
    <w:rsid w:val="00550966"/>
    <w:rsid w:val="005510C8"/>
    <w:rsid w:val="00552335"/>
    <w:rsid w:val="0055388C"/>
    <w:rsid w:val="00553F1E"/>
    <w:rsid w:val="00554481"/>
    <w:rsid w:val="0055481C"/>
    <w:rsid w:val="00554FF5"/>
    <w:rsid w:val="00555AB8"/>
    <w:rsid w:val="00555BB7"/>
    <w:rsid w:val="00556216"/>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14A"/>
    <w:rsid w:val="00590694"/>
    <w:rsid w:val="00590DDE"/>
    <w:rsid w:val="00591969"/>
    <w:rsid w:val="005922E7"/>
    <w:rsid w:val="0059294B"/>
    <w:rsid w:val="005A1241"/>
    <w:rsid w:val="005A1A58"/>
    <w:rsid w:val="005A2536"/>
    <w:rsid w:val="005A4BA7"/>
    <w:rsid w:val="005A4C61"/>
    <w:rsid w:val="005A571B"/>
    <w:rsid w:val="005A5F29"/>
    <w:rsid w:val="005A73B4"/>
    <w:rsid w:val="005B10D0"/>
    <w:rsid w:val="005B4698"/>
    <w:rsid w:val="005B513E"/>
    <w:rsid w:val="005B5276"/>
    <w:rsid w:val="005B577B"/>
    <w:rsid w:val="005B58BE"/>
    <w:rsid w:val="005B613E"/>
    <w:rsid w:val="005B63EA"/>
    <w:rsid w:val="005B66A7"/>
    <w:rsid w:val="005B6AD4"/>
    <w:rsid w:val="005C0507"/>
    <w:rsid w:val="005C1F14"/>
    <w:rsid w:val="005C1FA3"/>
    <w:rsid w:val="005C26BB"/>
    <w:rsid w:val="005C2B39"/>
    <w:rsid w:val="005C2B45"/>
    <w:rsid w:val="005C3B70"/>
    <w:rsid w:val="005C42E3"/>
    <w:rsid w:val="005C4607"/>
    <w:rsid w:val="005C513C"/>
    <w:rsid w:val="005C6EF1"/>
    <w:rsid w:val="005D0986"/>
    <w:rsid w:val="005D0A07"/>
    <w:rsid w:val="005D0E30"/>
    <w:rsid w:val="005D1691"/>
    <w:rsid w:val="005D2980"/>
    <w:rsid w:val="005D327E"/>
    <w:rsid w:val="005D4967"/>
    <w:rsid w:val="005D4968"/>
    <w:rsid w:val="005D74CE"/>
    <w:rsid w:val="005D7E7C"/>
    <w:rsid w:val="005E20C1"/>
    <w:rsid w:val="005E33FE"/>
    <w:rsid w:val="005E54A8"/>
    <w:rsid w:val="005E5F42"/>
    <w:rsid w:val="005E71C4"/>
    <w:rsid w:val="005F00EE"/>
    <w:rsid w:val="005F0D72"/>
    <w:rsid w:val="005F2D8C"/>
    <w:rsid w:val="005F308D"/>
    <w:rsid w:val="005F35C2"/>
    <w:rsid w:val="005F428F"/>
    <w:rsid w:val="005F48E7"/>
    <w:rsid w:val="005F5319"/>
    <w:rsid w:val="005F6F33"/>
    <w:rsid w:val="005F76C2"/>
    <w:rsid w:val="005F79F3"/>
    <w:rsid w:val="00600E33"/>
    <w:rsid w:val="00601286"/>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0FDD"/>
    <w:rsid w:val="0064286D"/>
    <w:rsid w:val="0064450D"/>
    <w:rsid w:val="00645660"/>
    <w:rsid w:val="00646761"/>
    <w:rsid w:val="00646933"/>
    <w:rsid w:val="00647009"/>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135A"/>
    <w:rsid w:val="00672463"/>
    <w:rsid w:val="006725C1"/>
    <w:rsid w:val="00674043"/>
    <w:rsid w:val="0067661D"/>
    <w:rsid w:val="00677232"/>
    <w:rsid w:val="0068052E"/>
    <w:rsid w:val="00680E72"/>
    <w:rsid w:val="00681090"/>
    <w:rsid w:val="006816C2"/>
    <w:rsid w:val="0068301E"/>
    <w:rsid w:val="006849B8"/>
    <w:rsid w:val="0068583F"/>
    <w:rsid w:val="006870D8"/>
    <w:rsid w:val="006914E8"/>
    <w:rsid w:val="006915F7"/>
    <w:rsid w:val="00693049"/>
    <w:rsid w:val="006937F1"/>
    <w:rsid w:val="00695EBA"/>
    <w:rsid w:val="006960E2"/>
    <w:rsid w:val="00696D53"/>
    <w:rsid w:val="006974A1"/>
    <w:rsid w:val="006A1C3A"/>
    <w:rsid w:val="006A205A"/>
    <w:rsid w:val="006A345F"/>
    <w:rsid w:val="006A3D67"/>
    <w:rsid w:val="006A50E6"/>
    <w:rsid w:val="006A5D85"/>
    <w:rsid w:val="006A65D9"/>
    <w:rsid w:val="006A669D"/>
    <w:rsid w:val="006A6C74"/>
    <w:rsid w:val="006A774D"/>
    <w:rsid w:val="006B01F0"/>
    <w:rsid w:val="006B049E"/>
    <w:rsid w:val="006B117D"/>
    <w:rsid w:val="006B1F1E"/>
    <w:rsid w:val="006B2CB3"/>
    <w:rsid w:val="006B36CB"/>
    <w:rsid w:val="006B3A6A"/>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D73E5"/>
    <w:rsid w:val="006E0187"/>
    <w:rsid w:val="006E0577"/>
    <w:rsid w:val="006E0843"/>
    <w:rsid w:val="006E0D2E"/>
    <w:rsid w:val="006E1DB3"/>
    <w:rsid w:val="006E5E18"/>
    <w:rsid w:val="006E5EE9"/>
    <w:rsid w:val="006E637F"/>
    <w:rsid w:val="006E7FB8"/>
    <w:rsid w:val="006F3737"/>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3FE0"/>
    <w:rsid w:val="00724710"/>
    <w:rsid w:val="007247AA"/>
    <w:rsid w:val="00725B35"/>
    <w:rsid w:val="007268B0"/>
    <w:rsid w:val="00726AED"/>
    <w:rsid w:val="00727A3A"/>
    <w:rsid w:val="00730368"/>
    <w:rsid w:val="007304C1"/>
    <w:rsid w:val="00734059"/>
    <w:rsid w:val="00734EF7"/>
    <w:rsid w:val="00735037"/>
    <w:rsid w:val="00736E12"/>
    <w:rsid w:val="00737721"/>
    <w:rsid w:val="00740386"/>
    <w:rsid w:val="00741BB0"/>
    <w:rsid w:val="0074214A"/>
    <w:rsid w:val="00742178"/>
    <w:rsid w:val="00742FB0"/>
    <w:rsid w:val="00743902"/>
    <w:rsid w:val="00744542"/>
    <w:rsid w:val="00745715"/>
    <w:rsid w:val="007461E4"/>
    <w:rsid w:val="00746C36"/>
    <w:rsid w:val="007479A4"/>
    <w:rsid w:val="00747C4E"/>
    <w:rsid w:val="00752304"/>
    <w:rsid w:val="00753796"/>
    <w:rsid w:val="0075404D"/>
    <w:rsid w:val="00754649"/>
    <w:rsid w:val="00754A27"/>
    <w:rsid w:val="00754E33"/>
    <w:rsid w:val="00756D16"/>
    <w:rsid w:val="007607D1"/>
    <w:rsid w:val="007628BB"/>
    <w:rsid w:val="007633F3"/>
    <w:rsid w:val="00764628"/>
    <w:rsid w:val="00764899"/>
    <w:rsid w:val="00764965"/>
    <w:rsid w:val="00764F1B"/>
    <w:rsid w:val="007671CA"/>
    <w:rsid w:val="007678A9"/>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B7BC8"/>
    <w:rsid w:val="007C1094"/>
    <w:rsid w:val="007C11EC"/>
    <w:rsid w:val="007C40E9"/>
    <w:rsid w:val="007C4AF4"/>
    <w:rsid w:val="007C5A03"/>
    <w:rsid w:val="007C5A3B"/>
    <w:rsid w:val="007D01A9"/>
    <w:rsid w:val="007D0F8B"/>
    <w:rsid w:val="007D2012"/>
    <w:rsid w:val="007D23EB"/>
    <w:rsid w:val="007D5206"/>
    <w:rsid w:val="007D570D"/>
    <w:rsid w:val="007D5C2A"/>
    <w:rsid w:val="007D600D"/>
    <w:rsid w:val="007E06C4"/>
    <w:rsid w:val="007E0832"/>
    <w:rsid w:val="007E1DEA"/>
    <w:rsid w:val="007E242F"/>
    <w:rsid w:val="007E2494"/>
    <w:rsid w:val="007E5B4F"/>
    <w:rsid w:val="007E5D85"/>
    <w:rsid w:val="007E659E"/>
    <w:rsid w:val="007E6837"/>
    <w:rsid w:val="007E68BA"/>
    <w:rsid w:val="007E6C6E"/>
    <w:rsid w:val="007E7965"/>
    <w:rsid w:val="007E79B1"/>
    <w:rsid w:val="007F27C8"/>
    <w:rsid w:val="007F2FC7"/>
    <w:rsid w:val="007F3479"/>
    <w:rsid w:val="007F3EA4"/>
    <w:rsid w:val="007F4930"/>
    <w:rsid w:val="007F6468"/>
    <w:rsid w:val="007F680F"/>
    <w:rsid w:val="0080122D"/>
    <w:rsid w:val="00801F3B"/>
    <w:rsid w:val="008020A3"/>
    <w:rsid w:val="00802A69"/>
    <w:rsid w:val="008036F7"/>
    <w:rsid w:val="008040DB"/>
    <w:rsid w:val="008046E7"/>
    <w:rsid w:val="00804D98"/>
    <w:rsid w:val="008055EC"/>
    <w:rsid w:val="00806DB3"/>
    <w:rsid w:val="00807AC3"/>
    <w:rsid w:val="00807BFD"/>
    <w:rsid w:val="00810E6D"/>
    <w:rsid w:val="00811ECD"/>
    <w:rsid w:val="00812E5D"/>
    <w:rsid w:val="00813C21"/>
    <w:rsid w:val="0081513B"/>
    <w:rsid w:val="00817115"/>
    <w:rsid w:val="00817664"/>
    <w:rsid w:val="00817AC9"/>
    <w:rsid w:val="0082043F"/>
    <w:rsid w:val="008224BD"/>
    <w:rsid w:val="00823801"/>
    <w:rsid w:val="008239B7"/>
    <w:rsid w:val="008239E6"/>
    <w:rsid w:val="00824EF8"/>
    <w:rsid w:val="008272B6"/>
    <w:rsid w:val="008307E2"/>
    <w:rsid w:val="00833904"/>
    <w:rsid w:val="00835BCE"/>
    <w:rsid w:val="0083691B"/>
    <w:rsid w:val="00837D12"/>
    <w:rsid w:val="00840285"/>
    <w:rsid w:val="00840FC6"/>
    <w:rsid w:val="00841BDA"/>
    <w:rsid w:val="00845886"/>
    <w:rsid w:val="0084635C"/>
    <w:rsid w:val="0084702C"/>
    <w:rsid w:val="00850AC0"/>
    <w:rsid w:val="00851CAE"/>
    <w:rsid w:val="00851D73"/>
    <w:rsid w:val="00855703"/>
    <w:rsid w:val="00856631"/>
    <w:rsid w:val="00856968"/>
    <w:rsid w:val="00860AA1"/>
    <w:rsid w:val="008642B8"/>
    <w:rsid w:val="00864726"/>
    <w:rsid w:val="00864B1E"/>
    <w:rsid w:val="00865C64"/>
    <w:rsid w:val="00865F74"/>
    <w:rsid w:val="00866011"/>
    <w:rsid w:val="00867B6F"/>
    <w:rsid w:val="00871A8C"/>
    <w:rsid w:val="00871A9C"/>
    <w:rsid w:val="00872C85"/>
    <w:rsid w:val="00873BC8"/>
    <w:rsid w:val="00873E83"/>
    <w:rsid w:val="008754FE"/>
    <w:rsid w:val="008756F0"/>
    <w:rsid w:val="008757F3"/>
    <w:rsid w:val="00875C7A"/>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014"/>
    <w:rsid w:val="008A2541"/>
    <w:rsid w:val="008A2A66"/>
    <w:rsid w:val="008A2E65"/>
    <w:rsid w:val="008A3599"/>
    <w:rsid w:val="008A428E"/>
    <w:rsid w:val="008A5226"/>
    <w:rsid w:val="008A683C"/>
    <w:rsid w:val="008A6F57"/>
    <w:rsid w:val="008B107B"/>
    <w:rsid w:val="008B1478"/>
    <w:rsid w:val="008B167F"/>
    <w:rsid w:val="008B26D9"/>
    <w:rsid w:val="008B28C5"/>
    <w:rsid w:val="008B5C30"/>
    <w:rsid w:val="008C0859"/>
    <w:rsid w:val="008C0A8E"/>
    <w:rsid w:val="008C0B59"/>
    <w:rsid w:val="008C0D29"/>
    <w:rsid w:val="008C0EAC"/>
    <w:rsid w:val="008C19C3"/>
    <w:rsid w:val="008C2103"/>
    <w:rsid w:val="008C2C50"/>
    <w:rsid w:val="008C2CE9"/>
    <w:rsid w:val="008C38C0"/>
    <w:rsid w:val="008C65DE"/>
    <w:rsid w:val="008C705B"/>
    <w:rsid w:val="008D0E41"/>
    <w:rsid w:val="008D16D8"/>
    <w:rsid w:val="008D240E"/>
    <w:rsid w:val="008D29B1"/>
    <w:rsid w:val="008D34B5"/>
    <w:rsid w:val="008D4008"/>
    <w:rsid w:val="008D4097"/>
    <w:rsid w:val="008D4A5C"/>
    <w:rsid w:val="008D56D1"/>
    <w:rsid w:val="008D7252"/>
    <w:rsid w:val="008D7A5A"/>
    <w:rsid w:val="008D7D7D"/>
    <w:rsid w:val="008E4758"/>
    <w:rsid w:val="008F0FD3"/>
    <w:rsid w:val="008F1BF2"/>
    <w:rsid w:val="008F235D"/>
    <w:rsid w:val="008F2B4B"/>
    <w:rsid w:val="008F3B2E"/>
    <w:rsid w:val="008F4925"/>
    <w:rsid w:val="008F5091"/>
    <w:rsid w:val="008F6481"/>
    <w:rsid w:val="008F7389"/>
    <w:rsid w:val="0090109C"/>
    <w:rsid w:val="00901A51"/>
    <w:rsid w:val="00902309"/>
    <w:rsid w:val="00904E4D"/>
    <w:rsid w:val="00906EE4"/>
    <w:rsid w:val="0091135C"/>
    <w:rsid w:val="0091149E"/>
    <w:rsid w:val="009119D1"/>
    <w:rsid w:val="00912AC5"/>
    <w:rsid w:val="009138CD"/>
    <w:rsid w:val="00913A62"/>
    <w:rsid w:val="00915834"/>
    <w:rsid w:val="00916915"/>
    <w:rsid w:val="00916944"/>
    <w:rsid w:val="00920769"/>
    <w:rsid w:val="00921D6A"/>
    <w:rsid w:val="00921FB8"/>
    <w:rsid w:val="009226C4"/>
    <w:rsid w:val="00924524"/>
    <w:rsid w:val="009245F2"/>
    <w:rsid w:val="00925023"/>
    <w:rsid w:val="00926077"/>
    <w:rsid w:val="00926478"/>
    <w:rsid w:val="009272FA"/>
    <w:rsid w:val="009276ED"/>
    <w:rsid w:val="00927D31"/>
    <w:rsid w:val="00927D6F"/>
    <w:rsid w:val="009303CE"/>
    <w:rsid w:val="0093266C"/>
    <w:rsid w:val="00932808"/>
    <w:rsid w:val="00932B19"/>
    <w:rsid w:val="00933D4E"/>
    <w:rsid w:val="00935C54"/>
    <w:rsid w:val="00936B22"/>
    <w:rsid w:val="009409C0"/>
    <w:rsid w:val="00940F8C"/>
    <w:rsid w:val="009416DA"/>
    <w:rsid w:val="009435D7"/>
    <w:rsid w:val="00943A7C"/>
    <w:rsid w:val="00943FB8"/>
    <w:rsid w:val="009454F0"/>
    <w:rsid w:val="009456F0"/>
    <w:rsid w:val="00946D36"/>
    <w:rsid w:val="00947168"/>
    <w:rsid w:val="00947690"/>
    <w:rsid w:val="009513D7"/>
    <w:rsid w:val="009514B4"/>
    <w:rsid w:val="009516E1"/>
    <w:rsid w:val="009518EA"/>
    <w:rsid w:val="00953544"/>
    <w:rsid w:val="009548CF"/>
    <w:rsid w:val="00955091"/>
    <w:rsid w:val="00955EC7"/>
    <w:rsid w:val="00955FFC"/>
    <w:rsid w:val="009566D6"/>
    <w:rsid w:val="009567AA"/>
    <w:rsid w:val="00961A01"/>
    <w:rsid w:val="00962766"/>
    <w:rsid w:val="00962EFB"/>
    <w:rsid w:val="00963BFE"/>
    <w:rsid w:val="00963D4A"/>
    <w:rsid w:val="009643EF"/>
    <w:rsid w:val="00964411"/>
    <w:rsid w:val="00965285"/>
    <w:rsid w:val="0096560D"/>
    <w:rsid w:val="00965DFA"/>
    <w:rsid w:val="00965E9D"/>
    <w:rsid w:val="00966D57"/>
    <w:rsid w:val="009670FD"/>
    <w:rsid w:val="00970AA0"/>
    <w:rsid w:val="009716E0"/>
    <w:rsid w:val="00972030"/>
    <w:rsid w:val="00974689"/>
    <w:rsid w:val="00974B94"/>
    <w:rsid w:val="00976E5D"/>
    <w:rsid w:val="00980781"/>
    <w:rsid w:val="00980C7D"/>
    <w:rsid w:val="00981F35"/>
    <w:rsid w:val="0098317B"/>
    <w:rsid w:val="0098437C"/>
    <w:rsid w:val="009843EB"/>
    <w:rsid w:val="0098485C"/>
    <w:rsid w:val="00984950"/>
    <w:rsid w:val="00984FD5"/>
    <w:rsid w:val="0098673B"/>
    <w:rsid w:val="00987B80"/>
    <w:rsid w:val="009907F1"/>
    <w:rsid w:val="00990867"/>
    <w:rsid w:val="0099144A"/>
    <w:rsid w:val="00991947"/>
    <w:rsid w:val="00991A2E"/>
    <w:rsid w:val="00993816"/>
    <w:rsid w:val="00993BA6"/>
    <w:rsid w:val="00994AA4"/>
    <w:rsid w:val="00994AF0"/>
    <w:rsid w:val="009970A4"/>
    <w:rsid w:val="009971F1"/>
    <w:rsid w:val="00997437"/>
    <w:rsid w:val="009A0820"/>
    <w:rsid w:val="009A13BA"/>
    <w:rsid w:val="009A13C8"/>
    <w:rsid w:val="009A1911"/>
    <w:rsid w:val="009A268F"/>
    <w:rsid w:val="009A38C4"/>
    <w:rsid w:val="009A5952"/>
    <w:rsid w:val="009A5D42"/>
    <w:rsid w:val="009A60A1"/>
    <w:rsid w:val="009A6CF9"/>
    <w:rsid w:val="009A76F2"/>
    <w:rsid w:val="009B082A"/>
    <w:rsid w:val="009B130A"/>
    <w:rsid w:val="009B314C"/>
    <w:rsid w:val="009B3495"/>
    <w:rsid w:val="009B34A1"/>
    <w:rsid w:val="009B3882"/>
    <w:rsid w:val="009B4024"/>
    <w:rsid w:val="009B41CA"/>
    <w:rsid w:val="009B4FE3"/>
    <w:rsid w:val="009B68C4"/>
    <w:rsid w:val="009C30C1"/>
    <w:rsid w:val="009C376B"/>
    <w:rsid w:val="009C5833"/>
    <w:rsid w:val="009C595D"/>
    <w:rsid w:val="009C7D34"/>
    <w:rsid w:val="009D067A"/>
    <w:rsid w:val="009D1071"/>
    <w:rsid w:val="009D2422"/>
    <w:rsid w:val="009D383F"/>
    <w:rsid w:val="009D412A"/>
    <w:rsid w:val="009D49F1"/>
    <w:rsid w:val="009D6227"/>
    <w:rsid w:val="009D6BAC"/>
    <w:rsid w:val="009D76A7"/>
    <w:rsid w:val="009D76F4"/>
    <w:rsid w:val="009D792E"/>
    <w:rsid w:val="009E0632"/>
    <w:rsid w:val="009E0861"/>
    <w:rsid w:val="009E0C33"/>
    <w:rsid w:val="009E14D0"/>
    <w:rsid w:val="009E3E64"/>
    <w:rsid w:val="009E4E74"/>
    <w:rsid w:val="009E6D77"/>
    <w:rsid w:val="009F02B3"/>
    <w:rsid w:val="009F115A"/>
    <w:rsid w:val="009F115F"/>
    <w:rsid w:val="009F147C"/>
    <w:rsid w:val="009F1E43"/>
    <w:rsid w:val="009F1EFE"/>
    <w:rsid w:val="009F290E"/>
    <w:rsid w:val="009F2E5C"/>
    <w:rsid w:val="009F4605"/>
    <w:rsid w:val="009F4A57"/>
    <w:rsid w:val="009F521E"/>
    <w:rsid w:val="009F5363"/>
    <w:rsid w:val="009F5ABC"/>
    <w:rsid w:val="009F5AF9"/>
    <w:rsid w:val="009F6324"/>
    <w:rsid w:val="009F663E"/>
    <w:rsid w:val="009F6719"/>
    <w:rsid w:val="009F7CBD"/>
    <w:rsid w:val="00A02717"/>
    <w:rsid w:val="00A02FAC"/>
    <w:rsid w:val="00A051D0"/>
    <w:rsid w:val="00A052AC"/>
    <w:rsid w:val="00A06178"/>
    <w:rsid w:val="00A0719C"/>
    <w:rsid w:val="00A07DF6"/>
    <w:rsid w:val="00A10135"/>
    <w:rsid w:val="00A1048A"/>
    <w:rsid w:val="00A10685"/>
    <w:rsid w:val="00A12D64"/>
    <w:rsid w:val="00A131E6"/>
    <w:rsid w:val="00A1398A"/>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2C9B"/>
    <w:rsid w:val="00A55AF8"/>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817"/>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781"/>
    <w:rsid w:val="00AD2D25"/>
    <w:rsid w:val="00AD37FF"/>
    <w:rsid w:val="00AD4414"/>
    <w:rsid w:val="00AD4A8A"/>
    <w:rsid w:val="00AD4B1B"/>
    <w:rsid w:val="00AD4B97"/>
    <w:rsid w:val="00AD4DC4"/>
    <w:rsid w:val="00AD52E5"/>
    <w:rsid w:val="00AD60A3"/>
    <w:rsid w:val="00AD6770"/>
    <w:rsid w:val="00AD67DC"/>
    <w:rsid w:val="00AD7002"/>
    <w:rsid w:val="00AD7CAB"/>
    <w:rsid w:val="00AE0593"/>
    <w:rsid w:val="00AE1F10"/>
    <w:rsid w:val="00AE34A9"/>
    <w:rsid w:val="00AE3B17"/>
    <w:rsid w:val="00AE4CCD"/>
    <w:rsid w:val="00AE51F8"/>
    <w:rsid w:val="00AE63CA"/>
    <w:rsid w:val="00AE7045"/>
    <w:rsid w:val="00AE773C"/>
    <w:rsid w:val="00AE7C97"/>
    <w:rsid w:val="00AE7DC8"/>
    <w:rsid w:val="00AF0B0A"/>
    <w:rsid w:val="00AF13D2"/>
    <w:rsid w:val="00AF15D8"/>
    <w:rsid w:val="00AF1BFD"/>
    <w:rsid w:val="00AF218A"/>
    <w:rsid w:val="00AF4011"/>
    <w:rsid w:val="00AF4A7B"/>
    <w:rsid w:val="00AF4EAF"/>
    <w:rsid w:val="00AF69FD"/>
    <w:rsid w:val="00AF6D55"/>
    <w:rsid w:val="00AF75FD"/>
    <w:rsid w:val="00B015F3"/>
    <w:rsid w:val="00B01B58"/>
    <w:rsid w:val="00B0212C"/>
    <w:rsid w:val="00B02280"/>
    <w:rsid w:val="00B03F42"/>
    <w:rsid w:val="00B05F0A"/>
    <w:rsid w:val="00B06DD1"/>
    <w:rsid w:val="00B13BF3"/>
    <w:rsid w:val="00B15D2A"/>
    <w:rsid w:val="00B1695D"/>
    <w:rsid w:val="00B205B6"/>
    <w:rsid w:val="00B20D44"/>
    <w:rsid w:val="00B230BF"/>
    <w:rsid w:val="00B23259"/>
    <w:rsid w:val="00B237AA"/>
    <w:rsid w:val="00B237B1"/>
    <w:rsid w:val="00B25497"/>
    <w:rsid w:val="00B254B8"/>
    <w:rsid w:val="00B261B9"/>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AE2"/>
    <w:rsid w:val="00B46B65"/>
    <w:rsid w:val="00B46FA2"/>
    <w:rsid w:val="00B47267"/>
    <w:rsid w:val="00B47EED"/>
    <w:rsid w:val="00B50531"/>
    <w:rsid w:val="00B50CED"/>
    <w:rsid w:val="00B510DC"/>
    <w:rsid w:val="00B5110C"/>
    <w:rsid w:val="00B52CA7"/>
    <w:rsid w:val="00B536A6"/>
    <w:rsid w:val="00B55B0E"/>
    <w:rsid w:val="00B56F87"/>
    <w:rsid w:val="00B6046E"/>
    <w:rsid w:val="00B61D0C"/>
    <w:rsid w:val="00B62314"/>
    <w:rsid w:val="00B62FC2"/>
    <w:rsid w:val="00B63DBE"/>
    <w:rsid w:val="00B646E6"/>
    <w:rsid w:val="00B6533C"/>
    <w:rsid w:val="00B6650F"/>
    <w:rsid w:val="00B66C2C"/>
    <w:rsid w:val="00B6775E"/>
    <w:rsid w:val="00B67BF0"/>
    <w:rsid w:val="00B7032E"/>
    <w:rsid w:val="00B7184D"/>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4BE"/>
    <w:rsid w:val="00B946F3"/>
    <w:rsid w:val="00B95C02"/>
    <w:rsid w:val="00B95FA9"/>
    <w:rsid w:val="00B96946"/>
    <w:rsid w:val="00B97132"/>
    <w:rsid w:val="00B97671"/>
    <w:rsid w:val="00BA0B68"/>
    <w:rsid w:val="00BA2A3D"/>
    <w:rsid w:val="00BA3F63"/>
    <w:rsid w:val="00BA4291"/>
    <w:rsid w:val="00BA5D92"/>
    <w:rsid w:val="00BA63F0"/>
    <w:rsid w:val="00BA6A70"/>
    <w:rsid w:val="00BA6FB0"/>
    <w:rsid w:val="00BB09BB"/>
    <w:rsid w:val="00BB1108"/>
    <w:rsid w:val="00BB2526"/>
    <w:rsid w:val="00BB2614"/>
    <w:rsid w:val="00BB2B91"/>
    <w:rsid w:val="00BB40C1"/>
    <w:rsid w:val="00BB4344"/>
    <w:rsid w:val="00BB59B9"/>
    <w:rsid w:val="00BB5C22"/>
    <w:rsid w:val="00BB5FB6"/>
    <w:rsid w:val="00BB6EF7"/>
    <w:rsid w:val="00BB72D7"/>
    <w:rsid w:val="00BC1356"/>
    <w:rsid w:val="00BC18F8"/>
    <w:rsid w:val="00BC234D"/>
    <w:rsid w:val="00BC2A33"/>
    <w:rsid w:val="00BC2B69"/>
    <w:rsid w:val="00BC35CD"/>
    <w:rsid w:val="00BC3D1C"/>
    <w:rsid w:val="00BC43FC"/>
    <w:rsid w:val="00BC443F"/>
    <w:rsid w:val="00BC4BDB"/>
    <w:rsid w:val="00BC4C22"/>
    <w:rsid w:val="00BC514E"/>
    <w:rsid w:val="00BC6AC3"/>
    <w:rsid w:val="00BD1A47"/>
    <w:rsid w:val="00BD2D48"/>
    <w:rsid w:val="00BD309C"/>
    <w:rsid w:val="00BD4B47"/>
    <w:rsid w:val="00BD51C0"/>
    <w:rsid w:val="00BD62ED"/>
    <w:rsid w:val="00BD7BEB"/>
    <w:rsid w:val="00BE0938"/>
    <w:rsid w:val="00BE1069"/>
    <w:rsid w:val="00BE1777"/>
    <w:rsid w:val="00BE21DD"/>
    <w:rsid w:val="00BE2D2B"/>
    <w:rsid w:val="00BE2E9C"/>
    <w:rsid w:val="00BE2F8F"/>
    <w:rsid w:val="00BE3013"/>
    <w:rsid w:val="00BE3154"/>
    <w:rsid w:val="00BE5E1E"/>
    <w:rsid w:val="00BE637D"/>
    <w:rsid w:val="00BE67B4"/>
    <w:rsid w:val="00BE6B49"/>
    <w:rsid w:val="00BE7965"/>
    <w:rsid w:val="00BE7EA9"/>
    <w:rsid w:val="00BF03D4"/>
    <w:rsid w:val="00BF0B64"/>
    <w:rsid w:val="00BF11F0"/>
    <w:rsid w:val="00BF18FD"/>
    <w:rsid w:val="00BF24E5"/>
    <w:rsid w:val="00BF29BF"/>
    <w:rsid w:val="00BF32B5"/>
    <w:rsid w:val="00BF35D4"/>
    <w:rsid w:val="00BF387D"/>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9C6"/>
    <w:rsid w:val="00C10EA6"/>
    <w:rsid w:val="00C11594"/>
    <w:rsid w:val="00C13118"/>
    <w:rsid w:val="00C132DA"/>
    <w:rsid w:val="00C1356D"/>
    <w:rsid w:val="00C13C86"/>
    <w:rsid w:val="00C16304"/>
    <w:rsid w:val="00C16E7A"/>
    <w:rsid w:val="00C20EE9"/>
    <w:rsid w:val="00C216C7"/>
    <w:rsid w:val="00C2289D"/>
    <w:rsid w:val="00C228D0"/>
    <w:rsid w:val="00C247BE"/>
    <w:rsid w:val="00C24DB7"/>
    <w:rsid w:val="00C304A1"/>
    <w:rsid w:val="00C3105F"/>
    <w:rsid w:val="00C31282"/>
    <w:rsid w:val="00C31317"/>
    <w:rsid w:val="00C3183F"/>
    <w:rsid w:val="00C31CCD"/>
    <w:rsid w:val="00C335DF"/>
    <w:rsid w:val="00C33CCE"/>
    <w:rsid w:val="00C35871"/>
    <w:rsid w:val="00C3692E"/>
    <w:rsid w:val="00C36C68"/>
    <w:rsid w:val="00C373BE"/>
    <w:rsid w:val="00C374C4"/>
    <w:rsid w:val="00C434F0"/>
    <w:rsid w:val="00C43886"/>
    <w:rsid w:val="00C4415D"/>
    <w:rsid w:val="00C44302"/>
    <w:rsid w:val="00C44A03"/>
    <w:rsid w:val="00C45DEE"/>
    <w:rsid w:val="00C46607"/>
    <w:rsid w:val="00C47460"/>
    <w:rsid w:val="00C474ED"/>
    <w:rsid w:val="00C4787B"/>
    <w:rsid w:val="00C4788C"/>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86152"/>
    <w:rsid w:val="00C90553"/>
    <w:rsid w:val="00C9135C"/>
    <w:rsid w:val="00C92618"/>
    <w:rsid w:val="00C92835"/>
    <w:rsid w:val="00C92D11"/>
    <w:rsid w:val="00C93DEF"/>
    <w:rsid w:val="00C94A7B"/>
    <w:rsid w:val="00CA1719"/>
    <w:rsid w:val="00CA22B0"/>
    <w:rsid w:val="00CA2327"/>
    <w:rsid w:val="00CA2D97"/>
    <w:rsid w:val="00CA3E7D"/>
    <w:rsid w:val="00CA4D21"/>
    <w:rsid w:val="00CA7568"/>
    <w:rsid w:val="00CA79CD"/>
    <w:rsid w:val="00CB0466"/>
    <w:rsid w:val="00CB147F"/>
    <w:rsid w:val="00CB1C5C"/>
    <w:rsid w:val="00CB1CAE"/>
    <w:rsid w:val="00CB3137"/>
    <w:rsid w:val="00CB3AB1"/>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23A7"/>
    <w:rsid w:val="00CE3843"/>
    <w:rsid w:val="00CE580D"/>
    <w:rsid w:val="00CE5C88"/>
    <w:rsid w:val="00CE7003"/>
    <w:rsid w:val="00CE7F87"/>
    <w:rsid w:val="00CF0BEB"/>
    <w:rsid w:val="00CF30CF"/>
    <w:rsid w:val="00CF58FC"/>
    <w:rsid w:val="00CF73C4"/>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5986"/>
    <w:rsid w:val="00D268EC"/>
    <w:rsid w:val="00D30B0C"/>
    <w:rsid w:val="00D3286F"/>
    <w:rsid w:val="00D35E0D"/>
    <w:rsid w:val="00D35F67"/>
    <w:rsid w:val="00D360B4"/>
    <w:rsid w:val="00D3665F"/>
    <w:rsid w:val="00D36A9B"/>
    <w:rsid w:val="00D41305"/>
    <w:rsid w:val="00D4243B"/>
    <w:rsid w:val="00D42BB9"/>
    <w:rsid w:val="00D440C8"/>
    <w:rsid w:val="00D44441"/>
    <w:rsid w:val="00D44C7A"/>
    <w:rsid w:val="00D469A0"/>
    <w:rsid w:val="00D46AB8"/>
    <w:rsid w:val="00D46B2D"/>
    <w:rsid w:val="00D5259B"/>
    <w:rsid w:val="00D53800"/>
    <w:rsid w:val="00D5498D"/>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5A49"/>
    <w:rsid w:val="00D76C12"/>
    <w:rsid w:val="00D76D8E"/>
    <w:rsid w:val="00D80D4C"/>
    <w:rsid w:val="00D81A6A"/>
    <w:rsid w:val="00D82F31"/>
    <w:rsid w:val="00D853D1"/>
    <w:rsid w:val="00D85D73"/>
    <w:rsid w:val="00D85E3D"/>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005D"/>
    <w:rsid w:val="00DD15F4"/>
    <w:rsid w:val="00DD1CA1"/>
    <w:rsid w:val="00DD2FD5"/>
    <w:rsid w:val="00DD448F"/>
    <w:rsid w:val="00DD4B60"/>
    <w:rsid w:val="00DD4F46"/>
    <w:rsid w:val="00DD55F2"/>
    <w:rsid w:val="00DE05DE"/>
    <w:rsid w:val="00DE313F"/>
    <w:rsid w:val="00DE4110"/>
    <w:rsid w:val="00DE4D71"/>
    <w:rsid w:val="00DE561E"/>
    <w:rsid w:val="00DE566B"/>
    <w:rsid w:val="00DE61B2"/>
    <w:rsid w:val="00DE632C"/>
    <w:rsid w:val="00DE63C4"/>
    <w:rsid w:val="00DF067C"/>
    <w:rsid w:val="00DF0F81"/>
    <w:rsid w:val="00DF2535"/>
    <w:rsid w:val="00DF2636"/>
    <w:rsid w:val="00DF3031"/>
    <w:rsid w:val="00DF5EB4"/>
    <w:rsid w:val="00DF65B4"/>
    <w:rsid w:val="00DF71DA"/>
    <w:rsid w:val="00DF7EF7"/>
    <w:rsid w:val="00E00310"/>
    <w:rsid w:val="00E00E58"/>
    <w:rsid w:val="00E02418"/>
    <w:rsid w:val="00E0285A"/>
    <w:rsid w:val="00E028AC"/>
    <w:rsid w:val="00E02CB0"/>
    <w:rsid w:val="00E030E4"/>
    <w:rsid w:val="00E03D34"/>
    <w:rsid w:val="00E04088"/>
    <w:rsid w:val="00E05608"/>
    <w:rsid w:val="00E0571A"/>
    <w:rsid w:val="00E066AA"/>
    <w:rsid w:val="00E066EA"/>
    <w:rsid w:val="00E07ECF"/>
    <w:rsid w:val="00E10347"/>
    <w:rsid w:val="00E115BD"/>
    <w:rsid w:val="00E11DA4"/>
    <w:rsid w:val="00E11DEE"/>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246"/>
    <w:rsid w:val="00E43AAE"/>
    <w:rsid w:val="00E44273"/>
    <w:rsid w:val="00E44B14"/>
    <w:rsid w:val="00E46C82"/>
    <w:rsid w:val="00E509E7"/>
    <w:rsid w:val="00E5122C"/>
    <w:rsid w:val="00E518BC"/>
    <w:rsid w:val="00E5250C"/>
    <w:rsid w:val="00E52E40"/>
    <w:rsid w:val="00E5408F"/>
    <w:rsid w:val="00E54627"/>
    <w:rsid w:val="00E54D20"/>
    <w:rsid w:val="00E56A48"/>
    <w:rsid w:val="00E600AE"/>
    <w:rsid w:val="00E6026E"/>
    <w:rsid w:val="00E60387"/>
    <w:rsid w:val="00E607D7"/>
    <w:rsid w:val="00E61893"/>
    <w:rsid w:val="00E62CD5"/>
    <w:rsid w:val="00E63322"/>
    <w:rsid w:val="00E63A8C"/>
    <w:rsid w:val="00E64986"/>
    <w:rsid w:val="00E65206"/>
    <w:rsid w:val="00E65212"/>
    <w:rsid w:val="00E654CD"/>
    <w:rsid w:val="00E6617A"/>
    <w:rsid w:val="00E66D8B"/>
    <w:rsid w:val="00E67E6F"/>
    <w:rsid w:val="00E70923"/>
    <w:rsid w:val="00E73F62"/>
    <w:rsid w:val="00E74072"/>
    <w:rsid w:val="00E7615D"/>
    <w:rsid w:val="00E7778E"/>
    <w:rsid w:val="00E779BA"/>
    <w:rsid w:val="00E80723"/>
    <w:rsid w:val="00E807E2"/>
    <w:rsid w:val="00E8125F"/>
    <w:rsid w:val="00E8178A"/>
    <w:rsid w:val="00E81BC8"/>
    <w:rsid w:val="00E8323C"/>
    <w:rsid w:val="00E837B1"/>
    <w:rsid w:val="00E8467A"/>
    <w:rsid w:val="00E8497F"/>
    <w:rsid w:val="00E906A0"/>
    <w:rsid w:val="00E90C69"/>
    <w:rsid w:val="00E91C09"/>
    <w:rsid w:val="00E9221B"/>
    <w:rsid w:val="00E92EEE"/>
    <w:rsid w:val="00E949F0"/>
    <w:rsid w:val="00E967B1"/>
    <w:rsid w:val="00E96D2D"/>
    <w:rsid w:val="00EA0660"/>
    <w:rsid w:val="00EA0FF6"/>
    <w:rsid w:val="00EA246E"/>
    <w:rsid w:val="00EA547F"/>
    <w:rsid w:val="00EA6190"/>
    <w:rsid w:val="00EA7519"/>
    <w:rsid w:val="00EB07DB"/>
    <w:rsid w:val="00EB1287"/>
    <w:rsid w:val="00EB3F65"/>
    <w:rsid w:val="00EB5AF6"/>
    <w:rsid w:val="00EB6B81"/>
    <w:rsid w:val="00EB78F0"/>
    <w:rsid w:val="00EB7BEA"/>
    <w:rsid w:val="00EC078D"/>
    <w:rsid w:val="00EC0929"/>
    <w:rsid w:val="00EC235C"/>
    <w:rsid w:val="00EC2758"/>
    <w:rsid w:val="00EC29D4"/>
    <w:rsid w:val="00EC442C"/>
    <w:rsid w:val="00EC60D9"/>
    <w:rsid w:val="00EC730F"/>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BC3"/>
    <w:rsid w:val="00EE4C06"/>
    <w:rsid w:val="00EE625C"/>
    <w:rsid w:val="00EE718B"/>
    <w:rsid w:val="00EE7B38"/>
    <w:rsid w:val="00EF0018"/>
    <w:rsid w:val="00EF0A72"/>
    <w:rsid w:val="00EF0A94"/>
    <w:rsid w:val="00EF2AA6"/>
    <w:rsid w:val="00EF2D25"/>
    <w:rsid w:val="00EF3EB2"/>
    <w:rsid w:val="00EF49C7"/>
    <w:rsid w:val="00EF6B2A"/>
    <w:rsid w:val="00EF7F3A"/>
    <w:rsid w:val="00F00187"/>
    <w:rsid w:val="00F00311"/>
    <w:rsid w:val="00F00F77"/>
    <w:rsid w:val="00F02228"/>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37260"/>
    <w:rsid w:val="00F41F1D"/>
    <w:rsid w:val="00F433FB"/>
    <w:rsid w:val="00F4411C"/>
    <w:rsid w:val="00F455B3"/>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B4B"/>
    <w:rsid w:val="00FA5E05"/>
    <w:rsid w:val="00FA6478"/>
    <w:rsid w:val="00FA7F40"/>
    <w:rsid w:val="00FB03C8"/>
    <w:rsid w:val="00FB253C"/>
    <w:rsid w:val="00FB449A"/>
    <w:rsid w:val="00FB5865"/>
    <w:rsid w:val="00FC0689"/>
    <w:rsid w:val="00FC0953"/>
    <w:rsid w:val="00FC1224"/>
    <w:rsid w:val="00FC177A"/>
    <w:rsid w:val="00FC30DB"/>
    <w:rsid w:val="00FC3DF5"/>
    <w:rsid w:val="00FC45ED"/>
    <w:rsid w:val="00FC4B7E"/>
    <w:rsid w:val="00FC4F00"/>
    <w:rsid w:val="00FC5D27"/>
    <w:rsid w:val="00FC6988"/>
    <w:rsid w:val="00FD0F41"/>
    <w:rsid w:val="00FD1214"/>
    <w:rsid w:val="00FD46DB"/>
    <w:rsid w:val="00FE1D98"/>
    <w:rsid w:val="00FE1DF4"/>
    <w:rsid w:val="00FE3E3F"/>
    <w:rsid w:val="00FE4777"/>
    <w:rsid w:val="00FE680F"/>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1E874"/>
  <w15:chartTrackingRefBased/>
  <w15:docId w15:val="{83044979-28D3-4865-8ECF-B1AF47C49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91969"/>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91969"/>
    <w:pPr>
      <w:keepNext/>
      <w:keepLines/>
      <w:numPr>
        <w:ilvl w:val="1"/>
        <w:numId w:val="1"/>
      </w:numPr>
      <w:spacing w:before="40" w:after="0"/>
      <w:ind w:left="576"/>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591969"/>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591969"/>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591969"/>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591969"/>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591969"/>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591969"/>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1969"/>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rsid w:val="00AA2817"/>
    <w:pPr>
      <w:spacing w:before="60" w:after="0" w:line="240" w:lineRule="auto"/>
      <w:ind w:left="1259" w:hanging="1259"/>
    </w:pPr>
    <w:rPr>
      <w:rFonts w:ascii="Arial" w:eastAsia="MS Mincho" w:hAnsi="Arial" w:cs="Times New Roman"/>
      <w:noProof/>
      <w:sz w:val="20"/>
      <w:szCs w:val="24"/>
      <w:lang w:eastAsia="en-GB"/>
    </w:rPr>
  </w:style>
  <w:style w:type="paragraph" w:customStyle="1" w:styleId="Doc-text2">
    <w:name w:val="Doc-text2"/>
    <w:basedOn w:val="Normal"/>
    <w:link w:val="Doc-text2Char"/>
    <w:qFormat/>
    <w:rsid w:val="00AA2817"/>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AA2817"/>
    <w:rPr>
      <w:rFonts w:ascii="Arial" w:eastAsia="MS Mincho" w:hAnsi="Arial" w:cs="Times New Roman"/>
      <w:sz w:val="20"/>
      <w:szCs w:val="24"/>
      <w:lang w:eastAsia="en-GB"/>
    </w:rPr>
  </w:style>
  <w:style w:type="character" w:customStyle="1" w:styleId="Doc-titleChar">
    <w:name w:val="Doc-title Char"/>
    <w:link w:val="Doc-title"/>
    <w:rsid w:val="00AA2817"/>
    <w:rPr>
      <w:rFonts w:ascii="Arial" w:eastAsia="MS Mincho" w:hAnsi="Arial" w:cs="Times New Roman"/>
      <w:noProof/>
      <w:sz w:val="20"/>
      <w:szCs w:val="24"/>
      <w:lang w:eastAsia="en-GB"/>
    </w:rPr>
  </w:style>
  <w:style w:type="character" w:styleId="Hyperlink">
    <w:name w:val="Hyperlink"/>
    <w:uiPriority w:val="99"/>
    <w:rsid w:val="00AA2817"/>
    <w:rPr>
      <w:color w:val="0000FF"/>
      <w:u w:val="single"/>
    </w:rPr>
  </w:style>
  <w:style w:type="paragraph" w:styleId="Header">
    <w:name w:val="header"/>
    <w:basedOn w:val="Normal"/>
    <w:link w:val="HeaderChar"/>
    <w:uiPriority w:val="99"/>
    <w:rsid w:val="00591969"/>
    <w:pPr>
      <w:widowControl w:val="0"/>
      <w:tabs>
        <w:tab w:val="left" w:pos="1701"/>
        <w:tab w:val="right" w:pos="9923"/>
      </w:tabs>
      <w:spacing w:before="120" w:after="0" w:line="240" w:lineRule="auto"/>
    </w:pPr>
    <w:rPr>
      <w:rFonts w:ascii="Arial" w:eastAsia="MS Mincho" w:hAnsi="Arial" w:cs="Times New Roman"/>
      <w:b/>
      <w:sz w:val="24"/>
      <w:szCs w:val="24"/>
      <w:lang w:val="de-DE" w:eastAsia="x-none"/>
    </w:rPr>
  </w:style>
  <w:style w:type="character" w:customStyle="1" w:styleId="HeaderChar">
    <w:name w:val="Header Char"/>
    <w:basedOn w:val="DefaultParagraphFont"/>
    <w:link w:val="Header"/>
    <w:uiPriority w:val="99"/>
    <w:rsid w:val="00591969"/>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59196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59196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59196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591969"/>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591969"/>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591969"/>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591969"/>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591969"/>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91969"/>
    <w:rPr>
      <w:rFonts w:asciiTheme="majorHAnsi" w:eastAsiaTheme="majorEastAsia" w:hAnsiTheme="majorHAnsi" w:cstheme="majorBidi"/>
      <w:i/>
      <w:iCs/>
      <w:color w:val="272727" w:themeColor="text1" w:themeTint="D8"/>
      <w:sz w:val="21"/>
      <w:szCs w:val="21"/>
    </w:rPr>
  </w:style>
  <w:style w:type="paragraph" w:styleId="TOC5">
    <w:name w:val="toc 5"/>
    <w:basedOn w:val="TOC4"/>
    <w:uiPriority w:val="39"/>
    <w:rsid w:val="00C3105F"/>
    <w:pPr>
      <w:keepLines/>
      <w:widowControl w:val="0"/>
      <w:tabs>
        <w:tab w:val="right" w:leader="dot" w:pos="9639"/>
      </w:tabs>
      <w:spacing w:after="0" w:line="240" w:lineRule="auto"/>
      <w:ind w:left="1701" w:right="425" w:hanging="1701"/>
    </w:pPr>
    <w:rPr>
      <w:rFonts w:ascii="Times New Roman" w:eastAsia="MS Mincho" w:hAnsi="Times New Roman" w:cs="Times New Roman"/>
      <w:noProof/>
      <w:sz w:val="20"/>
      <w:szCs w:val="20"/>
    </w:rPr>
  </w:style>
  <w:style w:type="paragraph" w:styleId="TOC6">
    <w:name w:val="toc 6"/>
    <w:basedOn w:val="TOC5"/>
    <w:next w:val="Normal"/>
    <w:uiPriority w:val="39"/>
    <w:rsid w:val="00C3105F"/>
    <w:pPr>
      <w:ind w:left="1985" w:hanging="1985"/>
    </w:pPr>
  </w:style>
  <w:style w:type="paragraph" w:styleId="TOC4">
    <w:name w:val="toc 4"/>
    <w:basedOn w:val="Normal"/>
    <w:next w:val="Normal"/>
    <w:autoRedefine/>
    <w:uiPriority w:val="39"/>
    <w:semiHidden/>
    <w:unhideWhenUsed/>
    <w:rsid w:val="00C3105F"/>
    <w:pPr>
      <w:spacing w:after="100"/>
      <w:ind w:left="660"/>
    </w:pPr>
  </w:style>
  <w:style w:type="table" w:styleId="TableGrid">
    <w:name w:val="Table Grid"/>
    <w:basedOn w:val="TableNormal"/>
    <w:uiPriority w:val="39"/>
    <w:rsid w:val="00C310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F387D"/>
    <w:pPr>
      <w:ind w:left="720"/>
      <w:contextualSpacing/>
    </w:pPr>
  </w:style>
  <w:style w:type="paragraph" w:styleId="BalloonText">
    <w:name w:val="Balloon Text"/>
    <w:basedOn w:val="Normal"/>
    <w:link w:val="BalloonTextChar"/>
    <w:uiPriority w:val="99"/>
    <w:semiHidden/>
    <w:unhideWhenUsed/>
    <w:rsid w:val="00BE5E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5E1E"/>
    <w:rPr>
      <w:rFonts w:ascii="Segoe UI" w:hAnsi="Segoe UI" w:cs="Segoe UI"/>
      <w:sz w:val="18"/>
      <w:szCs w:val="18"/>
    </w:rPr>
  </w:style>
  <w:style w:type="character" w:styleId="CommentReference">
    <w:name w:val="annotation reference"/>
    <w:basedOn w:val="DefaultParagraphFont"/>
    <w:uiPriority w:val="99"/>
    <w:semiHidden/>
    <w:unhideWhenUsed/>
    <w:rsid w:val="00BE5E1E"/>
    <w:rPr>
      <w:sz w:val="16"/>
      <w:szCs w:val="16"/>
    </w:rPr>
  </w:style>
  <w:style w:type="paragraph" w:styleId="CommentText">
    <w:name w:val="annotation text"/>
    <w:basedOn w:val="Normal"/>
    <w:link w:val="CommentTextChar"/>
    <w:uiPriority w:val="99"/>
    <w:unhideWhenUsed/>
    <w:rsid w:val="00BE5E1E"/>
    <w:pPr>
      <w:spacing w:line="240" w:lineRule="auto"/>
    </w:pPr>
    <w:rPr>
      <w:sz w:val="20"/>
      <w:szCs w:val="20"/>
    </w:rPr>
  </w:style>
  <w:style w:type="character" w:customStyle="1" w:styleId="CommentTextChar">
    <w:name w:val="Comment Text Char"/>
    <w:basedOn w:val="DefaultParagraphFont"/>
    <w:link w:val="CommentText"/>
    <w:uiPriority w:val="99"/>
    <w:rsid w:val="00BE5E1E"/>
    <w:rPr>
      <w:sz w:val="20"/>
      <w:szCs w:val="20"/>
    </w:rPr>
  </w:style>
  <w:style w:type="paragraph" w:styleId="CommentSubject">
    <w:name w:val="annotation subject"/>
    <w:basedOn w:val="CommentText"/>
    <w:next w:val="CommentText"/>
    <w:link w:val="CommentSubjectChar"/>
    <w:uiPriority w:val="99"/>
    <w:semiHidden/>
    <w:unhideWhenUsed/>
    <w:rsid w:val="00BE5E1E"/>
    <w:rPr>
      <w:b/>
      <w:bCs/>
    </w:rPr>
  </w:style>
  <w:style w:type="character" w:customStyle="1" w:styleId="CommentSubjectChar">
    <w:name w:val="Comment Subject Char"/>
    <w:basedOn w:val="CommentTextChar"/>
    <w:link w:val="CommentSubject"/>
    <w:uiPriority w:val="99"/>
    <w:semiHidden/>
    <w:rsid w:val="00BE5E1E"/>
    <w:rPr>
      <w:b/>
      <w:bCs/>
      <w:sz w:val="20"/>
      <w:szCs w:val="20"/>
    </w:rPr>
  </w:style>
  <w:style w:type="paragraph" w:customStyle="1" w:styleId="B1">
    <w:name w:val="B1"/>
    <w:basedOn w:val="List"/>
    <w:rsid w:val="00C94A7B"/>
    <w:pPr>
      <w:spacing w:after="180" w:line="240" w:lineRule="auto"/>
      <w:ind w:left="568" w:hanging="284"/>
      <w:contextualSpacing w:val="0"/>
    </w:pPr>
    <w:rPr>
      <w:rFonts w:ascii="CG Times (WN)" w:eastAsia="MS Mincho" w:hAnsi="CG Times (WN)" w:cs="Times New Roman"/>
      <w:sz w:val="20"/>
      <w:szCs w:val="20"/>
      <w:lang w:eastAsia="ja-JP"/>
    </w:rPr>
  </w:style>
  <w:style w:type="paragraph" w:styleId="List">
    <w:name w:val="List"/>
    <w:basedOn w:val="Normal"/>
    <w:uiPriority w:val="99"/>
    <w:semiHidden/>
    <w:unhideWhenUsed/>
    <w:rsid w:val="00C94A7B"/>
    <w:pPr>
      <w:ind w:left="283" w:hanging="283"/>
      <w:contextualSpacing/>
    </w:pPr>
  </w:style>
  <w:style w:type="paragraph" w:styleId="Revision">
    <w:name w:val="Revision"/>
    <w:hidden/>
    <w:uiPriority w:val="99"/>
    <w:semiHidden/>
    <w:rsid w:val="0091691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567579">
      <w:bodyDiv w:val="1"/>
      <w:marLeft w:val="0"/>
      <w:marRight w:val="0"/>
      <w:marTop w:val="0"/>
      <w:marBottom w:val="0"/>
      <w:divBdr>
        <w:top w:val="none" w:sz="0" w:space="0" w:color="auto"/>
        <w:left w:val="none" w:sz="0" w:space="0" w:color="auto"/>
        <w:bottom w:val="none" w:sz="0" w:space="0" w:color="auto"/>
        <w:right w:val="none" w:sz="0" w:space="0" w:color="auto"/>
      </w:divBdr>
    </w:div>
    <w:div w:id="893128227">
      <w:bodyDiv w:val="1"/>
      <w:marLeft w:val="0"/>
      <w:marRight w:val="0"/>
      <w:marTop w:val="0"/>
      <w:marBottom w:val="0"/>
      <w:divBdr>
        <w:top w:val="none" w:sz="0" w:space="0" w:color="auto"/>
        <w:left w:val="none" w:sz="0" w:space="0" w:color="auto"/>
        <w:bottom w:val="none" w:sz="0" w:space="0" w:color="auto"/>
        <w:right w:val="none" w:sz="0" w:space="0" w:color="auto"/>
      </w:divBdr>
      <w:divsChild>
        <w:div w:id="57091257">
          <w:marLeft w:val="360"/>
          <w:marRight w:val="0"/>
          <w:marTop w:val="240"/>
          <w:marBottom w:val="0"/>
          <w:divBdr>
            <w:top w:val="none" w:sz="0" w:space="0" w:color="auto"/>
            <w:left w:val="none" w:sz="0" w:space="0" w:color="auto"/>
            <w:bottom w:val="none" w:sz="0" w:space="0" w:color="auto"/>
            <w:right w:val="none" w:sz="0" w:space="0" w:color="auto"/>
          </w:divBdr>
        </w:div>
        <w:div w:id="222721617">
          <w:marLeft w:val="360"/>
          <w:marRight w:val="0"/>
          <w:marTop w:val="240"/>
          <w:marBottom w:val="0"/>
          <w:divBdr>
            <w:top w:val="none" w:sz="0" w:space="0" w:color="auto"/>
            <w:left w:val="none" w:sz="0" w:space="0" w:color="auto"/>
            <w:bottom w:val="none" w:sz="0" w:space="0" w:color="auto"/>
            <w:right w:val="none" w:sz="0" w:space="0" w:color="auto"/>
          </w:divBdr>
        </w:div>
        <w:div w:id="1516844518">
          <w:marLeft w:val="360"/>
          <w:marRight w:val="0"/>
          <w:marTop w:val="240"/>
          <w:marBottom w:val="0"/>
          <w:divBdr>
            <w:top w:val="none" w:sz="0" w:space="0" w:color="auto"/>
            <w:left w:val="none" w:sz="0" w:space="0" w:color="auto"/>
            <w:bottom w:val="none" w:sz="0" w:space="0" w:color="auto"/>
            <w:right w:val="none" w:sz="0" w:space="0" w:color="auto"/>
          </w:divBdr>
        </w:div>
      </w:divsChild>
    </w:div>
    <w:div w:id="1318194866">
      <w:bodyDiv w:val="1"/>
      <w:marLeft w:val="0"/>
      <w:marRight w:val="0"/>
      <w:marTop w:val="0"/>
      <w:marBottom w:val="0"/>
      <w:divBdr>
        <w:top w:val="none" w:sz="0" w:space="0" w:color="auto"/>
        <w:left w:val="none" w:sz="0" w:space="0" w:color="auto"/>
        <w:bottom w:val="none" w:sz="0" w:space="0" w:color="auto"/>
        <w:right w:val="none" w:sz="0" w:space="0" w:color="auto"/>
      </w:divBdr>
    </w:div>
    <w:div w:id="200628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2.xml"/><Relationship Id="rId7" Type="http://schemas.openxmlformats.org/officeDocument/2006/relationships/styles" Target="styl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621CD-C832-4E64-8AD4-BB6A9B870CD8}">
  <ds:schemaRefs>
    <ds:schemaRef ds:uri="http://schemas.microsoft.com/sharepoint/v3/contenttype/forms"/>
  </ds:schemaRefs>
</ds:datastoreItem>
</file>

<file path=customXml/itemProps2.xml><?xml version="1.0" encoding="utf-8"?>
<ds:datastoreItem xmlns:ds="http://schemas.openxmlformats.org/officeDocument/2006/customXml" ds:itemID="{17D0FF43-D1C1-45E8-BE38-8D7C67883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DAB4FC-8101-41B7-BBC8-6B189FB92AB8}">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28F169B-39C2-4DCF-B476-06FC6ED2A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1997</Words>
  <Characters>10244</Characters>
  <Application>Microsoft Office Word</Application>
  <DocSecurity>0</DocSecurity>
  <Lines>183</Lines>
  <Paragraphs>65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CTPClassification=CTP_IC:VisualMarkings=</cp:keywords>
  <dc:description/>
  <cp:lastModifiedBy>Intel</cp:lastModifiedBy>
  <cp:revision>4</cp:revision>
  <dcterms:created xsi:type="dcterms:W3CDTF">2017-05-05T20:59:00Z</dcterms:created>
  <dcterms:modified xsi:type="dcterms:W3CDTF">2017-05-05T23:45:00Z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1aaf82ba-9e5b-4ea4-b6d4-71d6abad4be5</vt:lpwstr>
  </property>
  <property fmtid="{D5CDD505-2E9C-101B-9397-08002B2CF9AE}" pid="4" name="CTP_BU">
    <vt:lpwstr>NEXT GEN AND STANDARDS GROUP</vt:lpwstr>
  </property>
  <property fmtid="{D5CDD505-2E9C-101B-9397-08002B2CF9AE}" pid="5" name="CTP_TimeStamp">
    <vt:lpwstr>2017-05-05 23:45:12Z</vt:lpwstr>
  </property>
  <property fmtid="{D5CDD505-2E9C-101B-9397-08002B2CF9AE}" pid="6" name="CTPClassification">
    <vt:lpwstr>CTP_IC</vt:lpwstr>
  </property>
</Properties>
</file>