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t>
      </w:r>
      <w:r w:rsidR="00AB708D">
        <w:rPr>
          <w:rFonts w:eastAsia="Times New Roman" w:cs="Arial"/>
          <w:bCs/>
          <w:noProof/>
          <w:sz w:val="20"/>
          <w:szCs w:val="18"/>
          <w:lang w:val="en-US" w:eastAsia="zh-CN"/>
        </w:rPr>
        <w:t xml:space="preserve">WG2 </w:t>
      </w:r>
      <w:r>
        <w:rPr>
          <w:rFonts w:eastAsia="Times New Roman" w:cs="Arial"/>
          <w:bCs/>
          <w:noProof/>
          <w:sz w:val="20"/>
          <w:szCs w:val="18"/>
          <w:lang w:val="en-US" w:eastAsia="zh-CN"/>
        </w:rPr>
        <w:t>Meeting #</w:t>
      </w:r>
      <w:r w:rsidR="00AB708D">
        <w:rPr>
          <w:rFonts w:eastAsia="Times New Roman" w:cs="Arial"/>
          <w:bCs/>
          <w:noProof/>
          <w:sz w:val="20"/>
          <w:szCs w:val="18"/>
          <w:lang w:val="en-US" w:eastAsia="zh-CN"/>
        </w:rPr>
        <w:t xml:space="preserve">96                                               </w:t>
      </w:r>
      <w:r>
        <w:rPr>
          <w:rFonts w:eastAsia="Times New Roman" w:cs="Arial"/>
          <w:bCs/>
          <w:noProof/>
          <w:sz w:val="20"/>
          <w:szCs w:val="18"/>
          <w:lang w:val="en-US" w:eastAsia="zh-CN"/>
        </w:rPr>
        <w:tab/>
      </w:r>
      <w:r w:rsidR="00AB708D" w:rsidRPr="00BE54FA">
        <w:rPr>
          <w:rFonts w:eastAsia="Times New Roman" w:cs="Arial"/>
          <w:bCs/>
          <w:noProof/>
          <w:sz w:val="20"/>
          <w:szCs w:val="18"/>
          <w:lang w:val="en-US" w:eastAsia="zh-CN"/>
        </w:rPr>
        <w:t>R</w:t>
      </w:r>
      <w:r w:rsidR="00AB708D">
        <w:rPr>
          <w:rFonts w:eastAsia="Times New Roman" w:cs="Arial"/>
          <w:bCs/>
          <w:noProof/>
          <w:sz w:val="20"/>
          <w:szCs w:val="18"/>
          <w:lang w:val="en-US" w:eastAsia="zh-CN"/>
        </w:rPr>
        <w:t>2</w:t>
      </w:r>
      <w:r w:rsidR="00A83695" w:rsidRPr="009F56DA">
        <w:rPr>
          <w:rFonts w:eastAsia="Times New Roman" w:cs="Arial"/>
          <w:bCs/>
          <w:noProof/>
          <w:sz w:val="20"/>
          <w:szCs w:val="18"/>
          <w:lang w:val="en-US" w:eastAsia="zh-CN"/>
        </w:rPr>
        <w:t>-</w:t>
      </w:r>
      <w:r w:rsidR="00AB708D">
        <w:rPr>
          <w:rFonts w:eastAsia="Times New Roman" w:cs="Arial"/>
          <w:bCs/>
          <w:noProof/>
          <w:sz w:val="20"/>
          <w:szCs w:val="18"/>
          <w:lang w:val="en-US" w:eastAsia="zh-CN"/>
        </w:rPr>
        <w:t>16</w:t>
      </w:r>
      <w:r w:rsidR="001C00C8">
        <w:rPr>
          <w:rFonts w:eastAsia="Times New Roman" w:cs="Arial"/>
          <w:bCs/>
          <w:noProof/>
          <w:sz w:val="20"/>
          <w:szCs w:val="18"/>
          <w:lang w:val="en-US" w:eastAsia="zh-CN"/>
        </w:rPr>
        <w:t>8265</w:t>
      </w:r>
    </w:p>
    <w:p w:rsidR="006A1A84" w:rsidRDefault="00F85CF4" w:rsidP="006A1A84">
      <w:pPr>
        <w:pStyle w:val="TdocHeader2"/>
        <w:rPr>
          <w:sz w:val="20"/>
          <w:lang w:val="en-US"/>
        </w:rPr>
      </w:pPr>
      <w:r>
        <w:rPr>
          <w:rFonts w:eastAsia="Times New Roman" w:cs="Arial"/>
          <w:bCs/>
          <w:noProof/>
          <w:sz w:val="20"/>
          <w:szCs w:val="18"/>
          <w:lang w:val="en-US" w:eastAsia="zh-CN"/>
        </w:rPr>
        <w:t>Reno, Nevada 14</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18</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November 2016</w:t>
      </w:r>
    </w:p>
    <w:p w:rsidR="00F85CF4" w:rsidRDefault="00F85CF4" w:rsidP="006A1A84">
      <w:pPr>
        <w:pStyle w:val="TdocHeader2"/>
        <w:rPr>
          <w:sz w:val="20"/>
          <w:lang w:val="en-US"/>
        </w:rPr>
      </w:pPr>
    </w:p>
    <w:p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sidR="00C6525E">
        <w:rPr>
          <w:sz w:val="20"/>
          <w:lang w:val="en-US"/>
        </w:rPr>
        <w:t>Thales</w:t>
      </w:r>
      <w:r>
        <w:rPr>
          <w:sz w:val="20"/>
          <w:lang w:val="en-US"/>
        </w:rPr>
        <w:t xml:space="preserve">, </w:t>
      </w:r>
      <w:r w:rsidR="009B31EB">
        <w:rPr>
          <w:sz w:val="20"/>
          <w:lang w:val="en-US"/>
        </w:rPr>
        <w:t>Fraunhofer IIS</w:t>
      </w:r>
      <w:r w:rsidR="00C42D08">
        <w:rPr>
          <w:sz w:val="20"/>
          <w:lang w:val="en-US"/>
        </w:rPr>
        <w:t>, Dish Networks</w:t>
      </w:r>
    </w:p>
    <w:p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AB708D" w:rsidRPr="00AB708D">
        <w:rPr>
          <w:sz w:val="20"/>
          <w:lang w:val="en-US"/>
        </w:rPr>
        <w:t>Forward compatibility of New Radio Access Technology with satellite</w:t>
      </w:r>
      <w:r w:rsidR="001B53EC">
        <w:rPr>
          <w:sz w:val="20"/>
          <w:lang w:val="en-US"/>
        </w:rPr>
        <w:t xml:space="preserve"> </w:t>
      </w:r>
    </w:p>
    <w:p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AB708D" w:rsidRPr="00AB708D">
        <w:rPr>
          <w:sz w:val="20"/>
          <w:lang w:val="en-US"/>
        </w:rPr>
        <w:t>9.2.1.4</w:t>
      </w:r>
      <w:r w:rsidR="0068119E">
        <w:rPr>
          <w:sz w:val="20"/>
          <w:lang w:val="en-US"/>
        </w:rPr>
        <w:t xml:space="preserve"> </w:t>
      </w:r>
      <w:r w:rsidR="00AB708D" w:rsidRPr="00AB708D">
        <w:rPr>
          <w:sz w:val="20"/>
          <w:lang w:val="en-US"/>
        </w:rPr>
        <w:t>MAC</w:t>
      </w:r>
    </w:p>
    <w:p w:rsidR="006A1A84" w:rsidRDefault="006A1A84" w:rsidP="006A1A84">
      <w:pPr>
        <w:pStyle w:val="TdocHeader2"/>
        <w:rPr>
          <w:sz w:val="20"/>
          <w:lang w:val="en-US"/>
        </w:rPr>
      </w:pPr>
      <w:r>
        <w:rPr>
          <w:sz w:val="20"/>
          <w:lang w:val="en-US"/>
        </w:rPr>
        <w:t>Document for:</w:t>
      </w:r>
      <w:r>
        <w:rPr>
          <w:sz w:val="20"/>
          <w:lang w:val="en-US"/>
        </w:rPr>
        <w:tab/>
        <w:t>Discussion</w:t>
      </w:r>
      <w:r w:rsidR="00700027">
        <w:rPr>
          <w:sz w:val="20"/>
          <w:lang w:val="en-US"/>
        </w:rPr>
        <w:t xml:space="preserve"> and approval</w:t>
      </w:r>
    </w:p>
    <w:p w:rsidR="006A1A84" w:rsidRDefault="006A1A84" w:rsidP="006A1A84">
      <w:pPr>
        <w:pStyle w:val="TdocHeader2"/>
        <w:rPr>
          <w:sz w:val="20"/>
          <w:lang w:val="en-US"/>
        </w:rPr>
      </w:pPr>
    </w:p>
    <w:p w:rsidR="006A1A84" w:rsidRDefault="006A1A84" w:rsidP="006A1A84">
      <w:pPr>
        <w:pStyle w:val="TdocHeader2"/>
        <w:rPr>
          <w:sz w:val="20"/>
          <w:lang w:val="en-US"/>
        </w:rPr>
      </w:pPr>
    </w:p>
    <w:p w:rsidR="006A1A84" w:rsidRDefault="006A1A84" w:rsidP="006A1A84">
      <w:pPr>
        <w:pStyle w:val="Titre1"/>
        <w:numPr>
          <w:ilvl w:val="0"/>
          <w:numId w:val="4"/>
        </w:numPr>
        <w:textAlignment w:val="auto"/>
        <w:rPr>
          <w:lang w:val="en-US"/>
        </w:rPr>
      </w:pPr>
      <w:bookmarkStart w:id="3" w:name="_Ref298777854"/>
      <w:bookmarkEnd w:id="0"/>
      <w:bookmarkEnd w:id="1"/>
      <w:r>
        <w:rPr>
          <w:lang w:val="en-US"/>
        </w:rPr>
        <w:t>Introduction</w:t>
      </w:r>
      <w:bookmarkEnd w:id="3"/>
    </w:p>
    <w:p w:rsidR="000C0956" w:rsidRDefault="000C0956" w:rsidP="000C0956">
      <w:pPr>
        <w:jc w:val="both"/>
        <w:rPr>
          <w:sz w:val="24"/>
          <w:szCs w:val="24"/>
        </w:rPr>
      </w:pPr>
      <w:r w:rsidRPr="000C0956">
        <w:rPr>
          <w:sz w:val="24"/>
          <w:szCs w:val="24"/>
        </w:rPr>
        <w:t xml:space="preserve">This contribution </w:t>
      </w:r>
      <w:r w:rsidR="003876A3">
        <w:rPr>
          <w:sz w:val="24"/>
          <w:szCs w:val="24"/>
        </w:rPr>
        <w:t>propose</w:t>
      </w:r>
      <w:r w:rsidR="0068119E">
        <w:rPr>
          <w:sz w:val="24"/>
          <w:szCs w:val="24"/>
        </w:rPr>
        <w:t>s</w:t>
      </w:r>
      <w:r w:rsidR="003876A3">
        <w:rPr>
          <w:sz w:val="24"/>
          <w:szCs w:val="24"/>
        </w:rPr>
        <w:t xml:space="preserve"> to </w:t>
      </w:r>
      <w:r w:rsidRPr="000C0956">
        <w:rPr>
          <w:sz w:val="24"/>
          <w:szCs w:val="24"/>
        </w:rPr>
        <w:t xml:space="preserve">introduce </w:t>
      </w:r>
      <w:r w:rsidR="00700027">
        <w:rPr>
          <w:sz w:val="24"/>
          <w:szCs w:val="24"/>
        </w:rPr>
        <w:t xml:space="preserve">in </w:t>
      </w:r>
      <w:r w:rsidR="00700027" w:rsidRPr="00574D50">
        <w:rPr>
          <w:sz w:val="24"/>
          <w:szCs w:val="24"/>
        </w:rPr>
        <w:t>TR 38.80</w:t>
      </w:r>
      <w:r w:rsidR="003876A3">
        <w:rPr>
          <w:sz w:val="24"/>
          <w:szCs w:val="24"/>
        </w:rPr>
        <w:t>4</w:t>
      </w:r>
      <w:r w:rsidR="00700027" w:rsidRPr="00574D50">
        <w:rPr>
          <w:sz w:val="24"/>
          <w:szCs w:val="24"/>
        </w:rPr>
        <w:t xml:space="preserve"> “Study on New Radio (NR) Access Technology; </w:t>
      </w:r>
      <w:r w:rsidR="003876A3" w:rsidRPr="00AB708D">
        <w:t>Radio Interface Protocol Aspects</w:t>
      </w:r>
      <w:r w:rsidR="003876A3" w:rsidRPr="00AB708D" w:rsidDel="00AB708D">
        <w:t xml:space="preserve"> </w:t>
      </w:r>
      <w:r w:rsidR="00700027" w:rsidRPr="00574D50">
        <w:rPr>
          <w:sz w:val="24"/>
          <w:szCs w:val="24"/>
        </w:rPr>
        <w:t xml:space="preserve">(Release 14)” </w:t>
      </w:r>
      <w:r w:rsidR="003876A3">
        <w:rPr>
          <w:sz w:val="24"/>
          <w:szCs w:val="24"/>
        </w:rPr>
        <w:t xml:space="preserve">some approaches to </w:t>
      </w:r>
      <w:r w:rsidR="0068119E">
        <w:rPr>
          <w:sz w:val="24"/>
          <w:szCs w:val="24"/>
        </w:rPr>
        <w:t xml:space="preserve">enable </w:t>
      </w:r>
      <w:r w:rsidR="003876A3">
        <w:rPr>
          <w:sz w:val="24"/>
          <w:szCs w:val="24"/>
        </w:rPr>
        <w:t>the use of the NR</w:t>
      </w:r>
      <w:r w:rsidR="0068119E">
        <w:rPr>
          <w:sz w:val="24"/>
          <w:szCs w:val="24"/>
        </w:rPr>
        <w:t>AT’s</w:t>
      </w:r>
      <w:r w:rsidR="003876A3">
        <w:rPr>
          <w:sz w:val="24"/>
          <w:szCs w:val="24"/>
        </w:rPr>
        <w:t xml:space="preserve"> radio interface protocol in</w:t>
      </w:r>
      <w:r w:rsidRPr="000C0956">
        <w:rPr>
          <w:sz w:val="24"/>
          <w:szCs w:val="24"/>
        </w:rPr>
        <w:t xml:space="preserve"> satellite systems operating below 3GHz or in Ka band (17</w:t>
      </w:r>
      <w:r>
        <w:rPr>
          <w:sz w:val="24"/>
          <w:szCs w:val="24"/>
        </w:rPr>
        <w:t xml:space="preserve"> </w:t>
      </w:r>
      <w:r w:rsidRPr="000C0956">
        <w:rPr>
          <w:sz w:val="24"/>
          <w:szCs w:val="24"/>
        </w:rPr>
        <w:t xml:space="preserve">- 31 GHz). The main purpose of this contribution is to </w:t>
      </w:r>
      <w:r w:rsidR="0068119E">
        <w:rPr>
          <w:sz w:val="24"/>
          <w:szCs w:val="24"/>
        </w:rPr>
        <w:t>ensure</w:t>
      </w:r>
      <w:r w:rsidR="0068119E" w:rsidRPr="000C0956">
        <w:rPr>
          <w:sz w:val="24"/>
          <w:szCs w:val="24"/>
        </w:rPr>
        <w:t xml:space="preserve"> </w:t>
      </w:r>
      <w:r w:rsidRPr="000C0956">
        <w:rPr>
          <w:sz w:val="24"/>
          <w:szCs w:val="24"/>
        </w:rPr>
        <w:t xml:space="preserve">the forward compatibility of the proposed NRAT </w:t>
      </w:r>
      <w:r w:rsidR="0068119E">
        <w:rPr>
          <w:sz w:val="24"/>
          <w:szCs w:val="24"/>
        </w:rPr>
        <w:t xml:space="preserve">radio interface protocols </w:t>
      </w:r>
      <w:r w:rsidRPr="000C0956">
        <w:rPr>
          <w:sz w:val="24"/>
          <w:szCs w:val="24"/>
        </w:rPr>
        <w:t>with satellite systems for Phase II design.</w:t>
      </w:r>
    </w:p>
    <w:p w:rsidR="001712ED" w:rsidRDefault="001712ED" w:rsidP="004C5F6D">
      <w:pPr>
        <w:rPr>
          <w:sz w:val="24"/>
          <w:szCs w:val="24"/>
        </w:rPr>
      </w:pPr>
    </w:p>
    <w:p w:rsidR="003B47A7" w:rsidRPr="006A1A84" w:rsidRDefault="003B47A7" w:rsidP="006A1A84">
      <w:pPr>
        <w:pStyle w:val="Titre1"/>
        <w:numPr>
          <w:ilvl w:val="0"/>
          <w:numId w:val="4"/>
        </w:numPr>
        <w:textAlignment w:val="auto"/>
        <w:rPr>
          <w:lang w:val="en-US"/>
        </w:rPr>
      </w:pPr>
      <w:r w:rsidRPr="006A1A84">
        <w:rPr>
          <w:lang w:val="en-US"/>
        </w:rPr>
        <w:t>Discussion</w:t>
      </w:r>
    </w:p>
    <w:p w:rsidR="001B53EC" w:rsidRDefault="001B53EC" w:rsidP="002B4623">
      <w:pPr>
        <w:jc w:val="both"/>
        <w:rPr>
          <w:sz w:val="24"/>
          <w:szCs w:val="24"/>
        </w:rPr>
      </w:pPr>
    </w:p>
    <w:p w:rsidR="00BB0340" w:rsidRPr="00BF7E8C" w:rsidRDefault="00BB0340" w:rsidP="00BB0340">
      <w:pPr>
        <w:pStyle w:val="Titre2"/>
      </w:pPr>
      <w:r w:rsidRPr="00BF7E8C">
        <w:t>Rational</w:t>
      </w:r>
    </w:p>
    <w:p w:rsidR="00BF7E8C" w:rsidRDefault="00BF7E8C" w:rsidP="002B4623">
      <w:pPr>
        <w:jc w:val="both"/>
        <w:rPr>
          <w:sz w:val="24"/>
          <w:szCs w:val="24"/>
        </w:rPr>
      </w:pPr>
      <w:r>
        <w:rPr>
          <w:sz w:val="24"/>
          <w:szCs w:val="24"/>
        </w:rPr>
        <w:t>Adopting 3GPP defined Radio Access Technology in future satellite systems will foster their integration in the Next Gen system</w:t>
      </w:r>
      <w:r w:rsidR="00E55DF6">
        <w:rPr>
          <w:sz w:val="24"/>
          <w:szCs w:val="24"/>
        </w:rPr>
        <w:t xml:space="preserve"> [1]</w:t>
      </w:r>
      <w:r>
        <w:rPr>
          <w:sz w:val="24"/>
          <w:szCs w:val="24"/>
        </w:rPr>
        <w:t xml:space="preserve"> </w:t>
      </w:r>
      <w:r w:rsidR="0091216D">
        <w:rPr>
          <w:sz w:val="24"/>
          <w:szCs w:val="24"/>
        </w:rPr>
        <w:t xml:space="preserve">in particular </w:t>
      </w:r>
      <w:r>
        <w:rPr>
          <w:sz w:val="24"/>
          <w:szCs w:val="24"/>
        </w:rPr>
        <w:t>to support the recently adopted use case “</w:t>
      </w:r>
      <w:r w:rsidRPr="003E1A44">
        <w:rPr>
          <w:sz w:val="24"/>
          <w:szCs w:val="24"/>
        </w:rPr>
        <w:t xml:space="preserve">Satellite extension </w:t>
      </w:r>
      <w:r>
        <w:rPr>
          <w:sz w:val="24"/>
          <w:szCs w:val="24"/>
        </w:rPr>
        <w:t>to terrestrial”</w:t>
      </w:r>
      <w:r w:rsidR="0091216D">
        <w:rPr>
          <w:sz w:val="24"/>
          <w:szCs w:val="24"/>
        </w:rPr>
        <w:t xml:space="preserve"> </w:t>
      </w:r>
      <w:r w:rsidR="00E55DF6">
        <w:rPr>
          <w:sz w:val="24"/>
          <w:lang w:eastAsia="zh-CN"/>
        </w:rPr>
        <w:t>[2</w:t>
      </w:r>
      <w:r w:rsidR="0091216D">
        <w:rPr>
          <w:sz w:val="24"/>
          <w:lang w:eastAsia="zh-CN"/>
        </w:rPr>
        <w:t>]</w:t>
      </w:r>
      <w:r>
        <w:rPr>
          <w:sz w:val="24"/>
          <w:szCs w:val="24"/>
        </w:rPr>
        <w:t>.</w:t>
      </w:r>
    </w:p>
    <w:p w:rsidR="003876A3" w:rsidRDefault="00BF7E8C" w:rsidP="002B4623">
      <w:pPr>
        <w:jc w:val="both"/>
        <w:rPr>
          <w:sz w:val="24"/>
          <w:szCs w:val="24"/>
        </w:rPr>
      </w:pPr>
      <w:r>
        <w:rPr>
          <w:sz w:val="24"/>
          <w:szCs w:val="24"/>
        </w:rPr>
        <w:t xml:space="preserve">In order to prepare the study of such satellite radio access network as part of phase 2, we propose </w:t>
      </w:r>
      <w:r w:rsidR="0091216D">
        <w:rPr>
          <w:sz w:val="24"/>
          <w:szCs w:val="24"/>
        </w:rPr>
        <w:t>to take into account satellite specific aspects due to its altitude and orbital mechanics</w:t>
      </w:r>
      <w:r w:rsidR="003876A3">
        <w:rPr>
          <w:sz w:val="24"/>
          <w:szCs w:val="24"/>
        </w:rPr>
        <w:t>.</w:t>
      </w:r>
    </w:p>
    <w:p w:rsidR="00BF7E8C" w:rsidRDefault="00BF7E8C" w:rsidP="002B4623">
      <w:pPr>
        <w:jc w:val="both"/>
        <w:rPr>
          <w:sz w:val="24"/>
          <w:szCs w:val="24"/>
        </w:rPr>
      </w:pPr>
    </w:p>
    <w:p w:rsidR="0068119E" w:rsidRDefault="0068119E" w:rsidP="0068119E">
      <w:pPr>
        <w:pStyle w:val="Titre2"/>
        <w:textAlignment w:val="auto"/>
      </w:pPr>
      <w:r>
        <w:t>Satellite Architecture</w:t>
      </w:r>
    </w:p>
    <w:p w:rsidR="0068119E" w:rsidRDefault="0068119E" w:rsidP="0068119E">
      <w:pPr>
        <w:jc w:val="both"/>
        <w:rPr>
          <w:sz w:val="24"/>
          <w:szCs w:val="24"/>
        </w:rPr>
      </w:pPr>
      <w:r>
        <w:rPr>
          <w:sz w:val="24"/>
          <w:szCs w:val="24"/>
        </w:rPr>
        <w:t xml:space="preserve">There are some important differences between the satellite and terrestrial architecture that will have impact on the physical layer design. In general, Satellites are classified based on service provided, orbits, spot beams and etc. </w:t>
      </w:r>
    </w:p>
    <w:p w:rsidR="0068119E" w:rsidRDefault="0068119E" w:rsidP="0068119E">
      <w:pPr>
        <w:jc w:val="both"/>
        <w:rPr>
          <w:sz w:val="24"/>
          <w:szCs w:val="24"/>
        </w:rPr>
      </w:pPr>
      <w:r>
        <w:rPr>
          <w:sz w:val="24"/>
          <w:szCs w:val="24"/>
        </w:rPr>
        <w:t xml:space="preserve">Figure 1 depicts the architecture of new radio access technology via satellite, denoted as NextGen satellite network, in which NextGen UE is connected to the network through satellite. An access link connects the UE to the satellite; the satellite is connected to the gateway using the feeder link. The gateway can be connected to the NextGen RAN either via wired or wireless link. </w:t>
      </w:r>
    </w:p>
    <w:p w:rsidR="0068119E" w:rsidRDefault="0068119E" w:rsidP="0068119E">
      <w:pPr>
        <w:jc w:val="both"/>
        <w:rPr>
          <w:sz w:val="24"/>
          <w:szCs w:val="24"/>
        </w:rPr>
      </w:pPr>
      <w:r>
        <w:rPr>
          <w:sz w:val="24"/>
          <w:szCs w:val="24"/>
        </w:rPr>
        <w:lastRenderedPageBreak/>
        <w:t xml:space="preserve">For the downlink, the radio signal from RAN is transmitted via gateway to the satellite, where the signal is down converted and sent for UE reception. On the uplink, a similar path is traversed but in opposite direction. </w:t>
      </w:r>
    </w:p>
    <w:p w:rsidR="0068119E" w:rsidRDefault="0068119E" w:rsidP="0068119E">
      <w:pPr>
        <w:jc w:val="center"/>
        <w:rPr>
          <w:sz w:val="24"/>
          <w:szCs w:val="24"/>
        </w:rPr>
      </w:pPr>
      <w:r>
        <w:rPr>
          <w:noProof/>
          <w:sz w:val="24"/>
          <w:szCs w:val="24"/>
          <w:lang w:val="en-GB" w:eastAsia="en-GB"/>
        </w:rPr>
        <w:drawing>
          <wp:inline distT="0" distB="0" distL="0" distR="0" wp14:anchorId="025B8811" wp14:editId="0C7FA34F">
            <wp:extent cx="6435090" cy="1561465"/>
            <wp:effectExtent l="0" t="0" r="381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35090" cy="1561465"/>
                    </a:xfrm>
                    <a:prstGeom prst="rect">
                      <a:avLst/>
                    </a:prstGeom>
                    <a:noFill/>
                    <a:ln>
                      <a:noFill/>
                    </a:ln>
                  </pic:spPr>
                </pic:pic>
              </a:graphicData>
            </a:graphic>
          </wp:inline>
        </w:drawing>
      </w:r>
    </w:p>
    <w:p w:rsidR="0068119E" w:rsidRDefault="0068119E" w:rsidP="0068119E">
      <w:pPr>
        <w:jc w:val="center"/>
        <w:rPr>
          <w:sz w:val="24"/>
          <w:szCs w:val="24"/>
        </w:rPr>
      </w:pPr>
      <w:r>
        <w:rPr>
          <w:sz w:val="24"/>
          <w:szCs w:val="24"/>
        </w:rPr>
        <w:t>Figure 1 – Next generation (NextGen) network with satellite access</w:t>
      </w:r>
    </w:p>
    <w:p w:rsidR="0068119E" w:rsidRDefault="0068119E" w:rsidP="0068119E">
      <w:pPr>
        <w:jc w:val="center"/>
        <w:rPr>
          <w:sz w:val="24"/>
          <w:szCs w:val="24"/>
        </w:rPr>
      </w:pPr>
    </w:p>
    <w:p w:rsidR="0068119E" w:rsidRDefault="0068119E" w:rsidP="0068119E">
      <w:pPr>
        <w:pStyle w:val="Titre2"/>
        <w:textAlignment w:val="auto"/>
      </w:pPr>
      <w:r>
        <w:t>Satellite Specific Aspects</w:t>
      </w:r>
    </w:p>
    <w:p w:rsidR="00A23BDB" w:rsidRDefault="0068119E" w:rsidP="0068119E">
      <w:pPr>
        <w:jc w:val="both"/>
        <w:rPr>
          <w:sz w:val="24"/>
          <w:szCs w:val="24"/>
        </w:rPr>
      </w:pPr>
      <w:r>
        <w:rPr>
          <w:sz w:val="24"/>
          <w:szCs w:val="24"/>
        </w:rPr>
        <w:t xml:space="preserve">The NR </w:t>
      </w:r>
      <w:r w:rsidR="00A23BDB">
        <w:rPr>
          <w:sz w:val="24"/>
          <w:szCs w:val="24"/>
        </w:rPr>
        <w:t xml:space="preserve">radio interface protocol </w:t>
      </w:r>
      <w:r>
        <w:rPr>
          <w:sz w:val="24"/>
          <w:szCs w:val="24"/>
        </w:rPr>
        <w:t xml:space="preserve">design </w:t>
      </w:r>
      <w:r w:rsidR="00A23BDB">
        <w:rPr>
          <w:sz w:val="24"/>
          <w:szCs w:val="24"/>
        </w:rPr>
        <w:t xml:space="preserve">between the UE and the RAN </w:t>
      </w:r>
      <w:r>
        <w:rPr>
          <w:sz w:val="24"/>
          <w:szCs w:val="24"/>
        </w:rPr>
        <w:t>should be flexible and take into account the impact of the larger round trip delay over satellite of 100 msec- 600 msec (depending on the satellite orbit)</w:t>
      </w:r>
      <w:r w:rsidR="00A23BDB">
        <w:rPr>
          <w:sz w:val="24"/>
          <w:szCs w:val="24"/>
        </w:rPr>
        <w:t>, cell size etc.</w:t>
      </w:r>
      <w:r>
        <w:rPr>
          <w:sz w:val="24"/>
          <w:szCs w:val="24"/>
        </w:rPr>
        <w:t xml:space="preserve">,. </w:t>
      </w:r>
    </w:p>
    <w:p w:rsidR="0068119E" w:rsidRDefault="0068119E" w:rsidP="0068119E">
      <w:pPr>
        <w:jc w:val="both"/>
        <w:rPr>
          <w:sz w:val="24"/>
          <w:szCs w:val="24"/>
        </w:rPr>
      </w:pPr>
    </w:p>
    <w:p w:rsidR="00BE7B08" w:rsidRDefault="00BE7B08" w:rsidP="0068119E">
      <w:pPr>
        <w:jc w:val="both"/>
        <w:rPr>
          <w:sz w:val="24"/>
          <w:szCs w:val="24"/>
        </w:rPr>
      </w:pPr>
      <w:r>
        <w:rPr>
          <w:sz w:val="24"/>
          <w:szCs w:val="24"/>
        </w:rPr>
        <w:t xml:space="preserve">In </w:t>
      </w:r>
      <w:r w:rsidR="0038327F">
        <w:rPr>
          <w:sz w:val="24"/>
          <w:szCs w:val="24"/>
        </w:rPr>
        <w:t>consequence</w:t>
      </w:r>
      <w:r>
        <w:rPr>
          <w:sz w:val="24"/>
          <w:szCs w:val="24"/>
        </w:rPr>
        <w:t xml:space="preserve">, </w:t>
      </w:r>
      <w:r w:rsidR="0038327F">
        <w:rPr>
          <w:sz w:val="24"/>
          <w:szCs w:val="24"/>
        </w:rPr>
        <w:t xml:space="preserve">the NR radio interface </w:t>
      </w:r>
      <w:r>
        <w:rPr>
          <w:sz w:val="24"/>
          <w:szCs w:val="24"/>
        </w:rPr>
        <w:t>protocol can be optimised to maximise the performance over satellite:</w:t>
      </w:r>
    </w:p>
    <w:p w:rsidR="0038327F" w:rsidRPr="0038327F" w:rsidRDefault="0038327F" w:rsidP="0038327F">
      <w:pPr>
        <w:pStyle w:val="Paragraphedeliste"/>
        <w:numPr>
          <w:ilvl w:val="0"/>
          <w:numId w:val="13"/>
        </w:numPr>
        <w:jc w:val="both"/>
        <w:rPr>
          <w:sz w:val="24"/>
          <w:szCs w:val="24"/>
        </w:rPr>
      </w:pPr>
      <w:r w:rsidRPr="0038327F">
        <w:rPr>
          <w:sz w:val="24"/>
          <w:szCs w:val="24"/>
        </w:rPr>
        <w:t>Access protocol optimisations</w:t>
      </w:r>
    </w:p>
    <w:p w:rsidR="0038327F" w:rsidRDefault="0038327F" w:rsidP="0038327F">
      <w:pPr>
        <w:pStyle w:val="Paragraphedeliste"/>
        <w:numPr>
          <w:ilvl w:val="1"/>
          <w:numId w:val="13"/>
        </w:numPr>
        <w:spacing w:line="256" w:lineRule="auto"/>
        <w:jc w:val="both"/>
        <w:rPr>
          <w:sz w:val="24"/>
          <w:szCs w:val="24"/>
        </w:rPr>
      </w:pPr>
      <w:r>
        <w:rPr>
          <w:sz w:val="24"/>
          <w:szCs w:val="24"/>
        </w:rPr>
        <w:t>Flexible (actived or deactivated) ARQ/HARQ Design to take into account the larger delay for feedback</w:t>
      </w:r>
    </w:p>
    <w:p w:rsidR="0038327F" w:rsidRDefault="0038327F" w:rsidP="0038327F">
      <w:pPr>
        <w:pStyle w:val="Paragraphedeliste"/>
        <w:numPr>
          <w:ilvl w:val="1"/>
          <w:numId w:val="13"/>
        </w:numPr>
        <w:spacing w:line="256" w:lineRule="auto"/>
        <w:jc w:val="both"/>
        <w:rPr>
          <w:sz w:val="24"/>
          <w:szCs w:val="24"/>
        </w:rPr>
      </w:pPr>
      <w:r>
        <w:rPr>
          <w:sz w:val="24"/>
          <w:szCs w:val="24"/>
        </w:rPr>
        <w:t>Flexible (Open and closed) Power and/or modulation/coding control loops to take into account the larger delay for feedback</w:t>
      </w:r>
    </w:p>
    <w:p w:rsidR="0038327F" w:rsidRDefault="0038327F" w:rsidP="0038327F">
      <w:pPr>
        <w:pStyle w:val="Paragraphedeliste"/>
        <w:numPr>
          <w:ilvl w:val="1"/>
          <w:numId w:val="13"/>
        </w:numPr>
        <w:spacing w:line="256" w:lineRule="auto"/>
        <w:jc w:val="both"/>
        <w:rPr>
          <w:sz w:val="24"/>
          <w:szCs w:val="24"/>
        </w:rPr>
      </w:pPr>
      <w:r>
        <w:rPr>
          <w:sz w:val="24"/>
          <w:szCs w:val="24"/>
        </w:rPr>
        <w:t>RACH Procedures able to cope with long and variable delays</w:t>
      </w:r>
    </w:p>
    <w:p w:rsidR="0038327F" w:rsidRDefault="0038327F" w:rsidP="0038327F">
      <w:pPr>
        <w:pStyle w:val="Paragraphedeliste"/>
        <w:numPr>
          <w:ilvl w:val="1"/>
          <w:numId w:val="13"/>
        </w:numPr>
        <w:spacing w:line="256" w:lineRule="auto"/>
        <w:jc w:val="both"/>
        <w:rPr>
          <w:sz w:val="24"/>
          <w:szCs w:val="24"/>
        </w:rPr>
      </w:pPr>
      <w:r>
        <w:rPr>
          <w:sz w:val="24"/>
          <w:szCs w:val="24"/>
        </w:rPr>
        <w:t>Increased distribution delay for UL access grants</w:t>
      </w:r>
    </w:p>
    <w:p w:rsidR="0038327F" w:rsidRDefault="0038327F" w:rsidP="0068119E">
      <w:pPr>
        <w:jc w:val="both"/>
        <w:rPr>
          <w:sz w:val="24"/>
          <w:szCs w:val="24"/>
        </w:rPr>
      </w:pPr>
    </w:p>
    <w:p w:rsidR="00A126D0" w:rsidRDefault="00A126D0" w:rsidP="00A126D0">
      <w:pPr>
        <w:pStyle w:val="Paragraphedeliste"/>
        <w:numPr>
          <w:ilvl w:val="0"/>
          <w:numId w:val="12"/>
        </w:numPr>
        <w:spacing w:line="252" w:lineRule="auto"/>
        <w:jc w:val="both"/>
        <w:rPr>
          <w:sz w:val="24"/>
          <w:szCs w:val="24"/>
        </w:rPr>
      </w:pPr>
      <w:r>
        <w:rPr>
          <w:sz w:val="24"/>
          <w:szCs w:val="24"/>
        </w:rPr>
        <w:t>Traffic and protocol optimization:</w:t>
      </w:r>
    </w:p>
    <w:p w:rsidR="00A126D0" w:rsidRDefault="00A126D0" w:rsidP="00A126D0">
      <w:pPr>
        <w:pStyle w:val="Paragraphedeliste"/>
        <w:numPr>
          <w:ilvl w:val="1"/>
          <w:numId w:val="12"/>
        </w:numPr>
        <w:spacing w:line="252" w:lineRule="auto"/>
        <w:jc w:val="both"/>
        <w:rPr>
          <w:sz w:val="24"/>
          <w:szCs w:val="24"/>
        </w:rPr>
      </w:pPr>
      <w:r>
        <w:rPr>
          <w:sz w:val="24"/>
          <w:szCs w:val="24"/>
        </w:rPr>
        <w:t>Definition and scheduling of QoS classes in 5G networks comprising satellite</w:t>
      </w:r>
    </w:p>
    <w:p w:rsidR="00A126D0" w:rsidRDefault="00A126D0" w:rsidP="00A126D0">
      <w:pPr>
        <w:pStyle w:val="Paragraphedeliste"/>
        <w:numPr>
          <w:ilvl w:val="1"/>
          <w:numId w:val="12"/>
        </w:numPr>
        <w:spacing w:line="252" w:lineRule="auto"/>
        <w:jc w:val="both"/>
        <w:rPr>
          <w:sz w:val="24"/>
          <w:szCs w:val="24"/>
        </w:rPr>
      </w:pPr>
      <w:r>
        <w:rPr>
          <w:sz w:val="24"/>
          <w:szCs w:val="24"/>
        </w:rPr>
        <w:t>Traffic offloading, e.g. delay tolerant user data over satellite, and control plane over terrestrial networks</w:t>
      </w:r>
    </w:p>
    <w:p w:rsidR="00A126D0" w:rsidRDefault="00A126D0" w:rsidP="00A126D0">
      <w:pPr>
        <w:pStyle w:val="Paragraphedeliste"/>
        <w:numPr>
          <w:ilvl w:val="1"/>
          <w:numId w:val="12"/>
        </w:numPr>
        <w:spacing w:line="252" w:lineRule="auto"/>
        <w:jc w:val="both"/>
        <w:rPr>
          <w:sz w:val="24"/>
          <w:szCs w:val="24"/>
        </w:rPr>
      </w:pPr>
      <w:r>
        <w:rPr>
          <w:sz w:val="24"/>
          <w:szCs w:val="24"/>
        </w:rPr>
        <w:t>Performance Enhancement Proxy (PEP) for protocols like TCP over satellite due to higher delays</w:t>
      </w:r>
    </w:p>
    <w:p w:rsidR="00A126D0" w:rsidRDefault="00A126D0" w:rsidP="00A126D0">
      <w:pPr>
        <w:pStyle w:val="Paragraphedeliste"/>
        <w:numPr>
          <w:ilvl w:val="1"/>
          <w:numId w:val="12"/>
        </w:numPr>
        <w:spacing w:line="252" w:lineRule="auto"/>
        <w:jc w:val="both"/>
        <w:rPr>
          <w:sz w:val="24"/>
          <w:szCs w:val="24"/>
        </w:rPr>
      </w:pPr>
      <w:r>
        <w:rPr>
          <w:sz w:val="24"/>
          <w:szCs w:val="24"/>
        </w:rPr>
        <w:t>Timeouts in 5G protocols to be adjusted for ACK/NACK (applicable both for backhauling of remote cells over satellite as well as direct-to-UE access)</w:t>
      </w:r>
    </w:p>
    <w:p w:rsidR="00A126D0" w:rsidRDefault="00A126D0" w:rsidP="00A126D0">
      <w:pPr>
        <w:pStyle w:val="Paragraphedeliste"/>
        <w:numPr>
          <w:ilvl w:val="1"/>
          <w:numId w:val="12"/>
        </w:numPr>
        <w:spacing w:line="252" w:lineRule="auto"/>
        <w:jc w:val="both"/>
        <w:rPr>
          <w:sz w:val="24"/>
          <w:szCs w:val="24"/>
        </w:rPr>
      </w:pPr>
      <w:r>
        <w:rPr>
          <w:sz w:val="24"/>
          <w:szCs w:val="24"/>
        </w:rPr>
        <w:lastRenderedPageBreak/>
        <w:t>Payload compression (which is only beneficial for compressible data streams, not video, audio, https, ssh, etc.)</w:t>
      </w:r>
    </w:p>
    <w:p w:rsidR="00A126D0" w:rsidRDefault="00A126D0" w:rsidP="00A126D0">
      <w:pPr>
        <w:pStyle w:val="Paragraphedeliste"/>
        <w:numPr>
          <w:ilvl w:val="0"/>
          <w:numId w:val="12"/>
        </w:numPr>
        <w:spacing w:line="252" w:lineRule="auto"/>
        <w:jc w:val="both"/>
        <w:rPr>
          <w:sz w:val="24"/>
          <w:szCs w:val="24"/>
        </w:rPr>
      </w:pPr>
      <w:r>
        <w:rPr>
          <w:sz w:val="24"/>
          <w:szCs w:val="24"/>
        </w:rPr>
        <w:t>Reselection / handover:</w:t>
      </w:r>
    </w:p>
    <w:p w:rsidR="00A126D0" w:rsidRDefault="00A126D0" w:rsidP="00A126D0">
      <w:pPr>
        <w:pStyle w:val="Paragraphedeliste"/>
        <w:numPr>
          <w:ilvl w:val="1"/>
          <w:numId w:val="12"/>
        </w:numPr>
        <w:spacing w:line="252" w:lineRule="auto"/>
        <w:jc w:val="both"/>
        <w:rPr>
          <w:sz w:val="24"/>
          <w:szCs w:val="24"/>
        </w:rPr>
      </w:pPr>
      <w:r>
        <w:rPr>
          <w:sz w:val="24"/>
          <w:szCs w:val="24"/>
        </w:rPr>
        <w:t>RRC: SIB design for handover sat network to/from terrestrial network, both for single users as well as for a group of users</w:t>
      </w:r>
    </w:p>
    <w:p w:rsidR="00A126D0" w:rsidRDefault="00A126D0" w:rsidP="00A126D0">
      <w:pPr>
        <w:pStyle w:val="Paragraphedeliste"/>
        <w:numPr>
          <w:ilvl w:val="1"/>
          <w:numId w:val="12"/>
        </w:numPr>
        <w:spacing w:line="252" w:lineRule="auto"/>
        <w:jc w:val="both"/>
        <w:rPr>
          <w:sz w:val="24"/>
          <w:szCs w:val="24"/>
        </w:rPr>
      </w:pPr>
      <w:r>
        <w:rPr>
          <w:sz w:val="24"/>
          <w:szCs w:val="24"/>
        </w:rPr>
        <w:t>RRC: Optimized tracking area updates for larger satellite cell sizes</w:t>
      </w:r>
    </w:p>
    <w:p w:rsidR="00A126D0" w:rsidRDefault="00A126D0" w:rsidP="0068119E">
      <w:pPr>
        <w:jc w:val="both"/>
        <w:rPr>
          <w:sz w:val="24"/>
          <w:szCs w:val="24"/>
        </w:rPr>
      </w:pPr>
    </w:p>
    <w:p w:rsidR="0068119E" w:rsidRDefault="0068119E" w:rsidP="0068119E">
      <w:pPr>
        <w:jc w:val="both"/>
        <w:rPr>
          <w:sz w:val="24"/>
          <w:szCs w:val="24"/>
        </w:rPr>
      </w:pPr>
      <w:r>
        <w:rPr>
          <w:sz w:val="24"/>
          <w:szCs w:val="24"/>
        </w:rPr>
        <w:t xml:space="preserve">These </w:t>
      </w:r>
      <w:r w:rsidR="0038327F">
        <w:rPr>
          <w:sz w:val="24"/>
          <w:szCs w:val="24"/>
        </w:rPr>
        <w:t xml:space="preserve">optimisations </w:t>
      </w:r>
      <w:r>
        <w:rPr>
          <w:sz w:val="24"/>
          <w:szCs w:val="24"/>
        </w:rPr>
        <w:t xml:space="preserve">require some specific configurations of </w:t>
      </w:r>
      <w:r w:rsidR="0038327F">
        <w:rPr>
          <w:sz w:val="24"/>
          <w:szCs w:val="24"/>
        </w:rPr>
        <w:t xml:space="preserve">parameters, </w:t>
      </w:r>
      <w:r>
        <w:rPr>
          <w:sz w:val="24"/>
          <w:szCs w:val="24"/>
        </w:rPr>
        <w:t xml:space="preserve">procedures and possibly enhanced flexibility in the 3GPP Next Gen RAT </w:t>
      </w:r>
      <w:r w:rsidR="00A126D0">
        <w:rPr>
          <w:sz w:val="24"/>
          <w:szCs w:val="24"/>
        </w:rPr>
        <w:t xml:space="preserve">radio interface protocol </w:t>
      </w:r>
      <w:r>
        <w:rPr>
          <w:sz w:val="24"/>
          <w:szCs w:val="24"/>
        </w:rPr>
        <w:t>design.</w:t>
      </w:r>
    </w:p>
    <w:p w:rsidR="00BF7E8C" w:rsidRDefault="00BF7E8C" w:rsidP="002B4623">
      <w:pPr>
        <w:jc w:val="both"/>
        <w:rPr>
          <w:sz w:val="24"/>
          <w:szCs w:val="24"/>
        </w:rPr>
      </w:pPr>
    </w:p>
    <w:p w:rsidR="00BB0340" w:rsidRPr="00772ED6" w:rsidRDefault="00BB0340" w:rsidP="00BB0340">
      <w:pPr>
        <w:pStyle w:val="Titre2"/>
      </w:pPr>
      <w:r w:rsidRPr="00772ED6">
        <w:t>References</w:t>
      </w:r>
    </w:p>
    <w:p w:rsidR="00E55DF6" w:rsidRDefault="00751161" w:rsidP="00E55DF6">
      <w:pPr>
        <w:rPr>
          <w:sz w:val="24"/>
        </w:rPr>
      </w:pPr>
      <w:r w:rsidRPr="00144667">
        <w:rPr>
          <w:sz w:val="24"/>
        </w:rPr>
        <w:t>[</w:t>
      </w:r>
      <w:r w:rsidR="00E55DF6">
        <w:rPr>
          <w:sz w:val="24"/>
        </w:rPr>
        <w:t>1</w:t>
      </w:r>
      <w:r w:rsidRPr="00144667">
        <w:rPr>
          <w:sz w:val="24"/>
        </w:rPr>
        <w:t xml:space="preserve">] </w:t>
      </w:r>
      <w:r w:rsidR="00E55DF6">
        <w:rPr>
          <w:sz w:val="24"/>
        </w:rPr>
        <w:t>3GPP TS 22.261, “</w:t>
      </w:r>
      <w:r w:rsidR="00E55DF6" w:rsidRPr="00E55DF6">
        <w:rPr>
          <w:sz w:val="24"/>
        </w:rPr>
        <w:t>Service requirements for next gener</w:t>
      </w:r>
      <w:r w:rsidR="00E55DF6">
        <w:rPr>
          <w:sz w:val="24"/>
        </w:rPr>
        <w:t xml:space="preserve">ation new services and markets; </w:t>
      </w:r>
      <w:r w:rsidR="00E55DF6" w:rsidRPr="00E55DF6">
        <w:rPr>
          <w:sz w:val="24"/>
        </w:rPr>
        <w:t>Stage 1</w:t>
      </w:r>
      <w:r w:rsidR="00E55DF6">
        <w:rPr>
          <w:sz w:val="24"/>
        </w:rPr>
        <w:t xml:space="preserve"> </w:t>
      </w:r>
      <w:r w:rsidR="00E55DF6" w:rsidRPr="00E55DF6">
        <w:rPr>
          <w:sz w:val="24"/>
        </w:rPr>
        <w:t>(Release 15)</w:t>
      </w:r>
      <w:r w:rsidR="00E55DF6">
        <w:rPr>
          <w:sz w:val="24"/>
        </w:rPr>
        <w:t>”</w:t>
      </w:r>
    </w:p>
    <w:p w:rsidR="00E55DF6" w:rsidRPr="003E1A44" w:rsidRDefault="00E55DF6" w:rsidP="00E55DF6">
      <w:pPr>
        <w:jc w:val="both"/>
        <w:rPr>
          <w:sz w:val="24"/>
          <w:szCs w:val="24"/>
        </w:rPr>
      </w:pPr>
      <w:r>
        <w:rPr>
          <w:sz w:val="24"/>
          <w:lang w:eastAsia="zh-CN"/>
        </w:rPr>
        <w:t xml:space="preserve">[2] 3GPP TR 38.931, “Study on Scenarios and Requirements for Next Generation Access Technologies, Release 14”: </w:t>
      </w:r>
      <w:r w:rsidRPr="003E1A44">
        <w:rPr>
          <w:sz w:val="24"/>
          <w:szCs w:val="24"/>
        </w:rPr>
        <w:t>“Satellite extension to terrestrial” use case</w:t>
      </w:r>
      <w:r>
        <w:rPr>
          <w:sz w:val="24"/>
          <w:szCs w:val="24"/>
        </w:rPr>
        <w:t>.</w:t>
      </w:r>
    </w:p>
    <w:p w:rsidR="00751161" w:rsidRDefault="00751161" w:rsidP="00751161">
      <w:pPr>
        <w:pStyle w:val="TdocHeader2"/>
        <w:rPr>
          <w:sz w:val="20"/>
          <w:lang w:val="en-US"/>
        </w:rPr>
      </w:pPr>
    </w:p>
    <w:p w:rsidR="00F15CD3" w:rsidRDefault="00F15CD3" w:rsidP="00F15CD3">
      <w:pPr>
        <w:jc w:val="both"/>
        <w:rPr>
          <w:sz w:val="24"/>
          <w:szCs w:val="24"/>
          <w:lang w:val="en-GB"/>
        </w:rPr>
      </w:pPr>
    </w:p>
    <w:p w:rsidR="00BB0340" w:rsidRDefault="00BB0340" w:rsidP="00BB0340">
      <w:pPr>
        <w:pStyle w:val="Titre1"/>
        <w:rPr>
          <w:color w:val="000000"/>
        </w:rPr>
      </w:pPr>
      <w:r>
        <w:rPr>
          <w:color w:val="000000"/>
        </w:rPr>
        <w:t>Proposal for approval</w:t>
      </w:r>
    </w:p>
    <w:p w:rsidR="00BB0340" w:rsidRDefault="00BB0340" w:rsidP="00BB0340">
      <w:pPr>
        <w:ind w:left="426" w:hanging="426"/>
      </w:pPr>
    </w:p>
    <w:p w:rsidR="00BB0340" w:rsidRDefault="00BB0340" w:rsidP="00700027">
      <w:pPr>
        <w:jc w:val="both"/>
      </w:pPr>
      <w:r w:rsidRPr="003C56DC">
        <w:t xml:space="preserve">Based on the above discussion, we propose </w:t>
      </w:r>
      <w:r>
        <w:t xml:space="preserve">some additions to </w:t>
      </w:r>
      <w:r w:rsidRPr="003C56DC">
        <w:t xml:space="preserve">TR </w:t>
      </w:r>
      <w:r>
        <w:t>38.</w:t>
      </w:r>
      <w:r w:rsidR="00AB708D">
        <w:t xml:space="preserve">804 </w:t>
      </w:r>
      <w:r w:rsidR="00700027">
        <w:t xml:space="preserve">“Study on New Radio (NR) Access Technology; </w:t>
      </w:r>
      <w:r w:rsidR="00AB708D" w:rsidRPr="00AB708D">
        <w:t>Radio Interface Protocol Aspects</w:t>
      </w:r>
      <w:r w:rsidR="00AB708D" w:rsidRPr="00AB708D" w:rsidDel="00AB708D">
        <w:t xml:space="preserve"> </w:t>
      </w:r>
      <w:r w:rsidR="00700027">
        <w:t>(Release 14)”</w:t>
      </w:r>
      <w:r w:rsidRPr="003C56DC">
        <w:t>.</w:t>
      </w:r>
    </w:p>
    <w:p w:rsidR="00BB0340" w:rsidRDefault="00BB0340" w:rsidP="00BB0340">
      <w:pPr>
        <w:rPr>
          <w:rFonts w:ascii="Arial" w:hAnsi="Arial"/>
          <w:sz w:val="32"/>
          <w:u w:val="single"/>
          <w:lang w:eastAsia="zh-CN"/>
        </w:rPr>
      </w:pPr>
    </w:p>
    <w:p w:rsidR="00BB0340" w:rsidRPr="00A409C1" w:rsidRDefault="00BB0340" w:rsidP="00BB0340">
      <w:pPr>
        <w:pStyle w:val="B1"/>
        <w:ind w:left="0" w:firstLine="0"/>
        <w:rPr>
          <w:lang w:eastAsia="zh-CN"/>
        </w:rPr>
      </w:pPr>
    </w:p>
    <w:p w:rsidR="00BB0340" w:rsidRPr="00A409C1" w:rsidRDefault="00BB0340" w:rsidP="00BB034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r>
        <w:rPr>
          <w:color w:val="FF0000"/>
          <w:sz w:val="28"/>
          <w:szCs w:val="28"/>
        </w:rPr>
        <w:t xml:space="preserve"> in </w:t>
      </w:r>
      <w:r w:rsidR="009315DC">
        <w:rPr>
          <w:color w:val="FF0000"/>
          <w:sz w:val="28"/>
          <w:szCs w:val="28"/>
        </w:rPr>
        <w:t>red</w:t>
      </w:r>
      <w:r w:rsidRPr="00A409C1">
        <w:rPr>
          <w:color w:val="FF0000"/>
          <w:sz w:val="28"/>
          <w:szCs w:val="28"/>
        </w:rPr>
        <w:t>)</w:t>
      </w:r>
    </w:p>
    <w:p w:rsidR="00BB0340" w:rsidRDefault="00BB0340" w:rsidP="00F15CD3">
      <w:pPr>
        <w:jc w:val="both"/>
        <w:rPr>
          <w:sz w:val="24"/>
          <w:szCs w:val="24"/>
        </w:rPr>
      </w:pPr>
    </w:p>
    <w:p w:rsidR="00AB708D" w:rsidRDefault="00AB708D" w:rsidP="00AB708D">
      <w:pPr>
        <w:pStyle w:val="Titre2"/>
        <w:numPr>
          <w:ilvl w:val="0"/>
          <w:numId w:val="0"/>
        </w:numPr>
        <w:ind w:left="576" w:hanging="576"/>
      </w:pPr>
      <w:r>
        <w:t>9.2</w:t>
      </w:r>
      <w:r w:rsidRPr="00235394">
        <w:tab/>
      </w:r>
      <w:r w:rsidRPr="00B13F2C">
        <w:rPr>
          <w:rFonts w:hint="eastAsia"/>
          <w:lang w:eastAsia="ja-JP"/>
        </w:rPr>
        <w:t>Random Access Procedure</w:t>
      </w:r>
    </w:p>
    <w:p w:rsidR="00AB708D" w:rsidRPr="00B24507" w:rsidRDefault="00AB708D" w:rsidP="00AB708D">
      <w:pPr>
        <w:pStyle w:val="Guidance"/>
        <w:rPr>
          <w:iCs/>
          <w:color w:val="FF0000"/>
          <w:lang w:eastAsia="ja-JP"/>
        </w:rPr>
      </w:pPr>
      <w:r w:rsidRPr="00B13F2C">
        <w:rPr>
          <w:rFonts w:hint="eastAsia"/>
          <w:iCs/>
          <w:color w:val="FF0000"/>
          <w:lang w:eastAsia="ja-JP"/>
        </w:rPr>
        <w:t>Editor</w:t>
      </w:r>
      <w:r w:rsidRPr="00B13F2C">
        <w:rPr>
          <w:iCs/>
          <w:color w:val="FF0000"/>
          <w:lang w:eastAsia="ja-JP"/>
        </w:rPr>
        <w:t>’</w:t>
      </w:r>
      <w:r w:rsidRPr="00B13F2C">
        <w:rPr>
          <w:rFonts w:hint="eastAsia"/>
          <w:iCs/>
          <w:color w:val="FF0000"/>
          <w:lang w:eastAsia="ja-JP"/>
        </w:rPr>
        <w:t>s note: intended to capture RA procedure for NR.</w:t>
      </w:r>
    </w:p>
    <w:p w:rsidR="00AB708D" w:rsidRDefault="00AB708D" w:rsidP="00AB708D">
      <w:pPr>
        <w:rPr>
          <w:lang w:val="en-GB" w:eastAsia="ja-JP"/>
        </w:rPr>
      </w:pPr>
    </w:p>
    <w:p w:rsidR="00DC4DA8" w:rsidRPr="001C00C8" w:rsidRDefault="00DA294C">
      <w:pPr>
        <w:rPr>
          <w:lang w:val="en-GB" w:eastAsia="ja-JP"/>
        </w:rPr>
      </w:pPr>
      <w:r w:rsidRPr="001C00C8">
        <w:rPr>
          <w:color w:val="FF0000"/>
          <w:highlight w:val="yellow"/>
          <w:lang w:val="en-GB" w:eastAsia="ja-JP"/>
        </w:rPr>
        <w:t>Note: T</w:t>
      </w:r>
      <w:r w:rsidR="00AB708D" w:rsidRPr="001C00C8">
        <w:rPr>
          <w:color w:val="FF0000"/>
          <w:highlight w:val="yellow"/>
          <w:lang w:val="en-GB" w:eastAsia="ja-JP"/>
        </w:rPr>
        <w:t xml:space="preserve">he </w:t>
      </w:r>
      <w:r w:rsidR="0038327F">
        <w:rPr>
          <w:color w:val="FF0000"/>
          <w:highlight w:val="yellow"/>
          <w:lang w:val="en-GB" w:eastAsia="ja-JP"/>
        </w:rPr>
        <w:t xml:space="preserve">Random access </w:t>
      </w:r>
      <w:r w:rsidR="00AB708D" w:rsidRPr="001C00C8">
        <w:rPr>
          <w:color w:val="FF0000"/>
          <w:highlight w:val="yellow"/>
          <w:lang w:val="en-GB" w:eastAsia="ja-JP"/>
        </w:rPr>
        <w:t xml:space="preserve">procedure </w:t>
      </w:r>
      <w:r w:rsidRPr="001C00C8">
        <w:rPr>
          <w:color w:val="FF0000"/>
          <w:highlight w:val="yellow"/>
          <w:lang w:val="en-GB" w:eastAsia="ja-JP"/>
        </w:rPr>
        <w:t>will allow</w:t>
      </w:r>
      <w:r w:rsidR="00AB708D" w:rsidRPr="001C00C8">
        <w:rPr>
          <w:color w:val="FF0000"/>
          <w:highlight w:val="yellow"/>
          <w:lang w:val="en-GB" w:eastAsia="ja-JP"/>
        </w:rPr>
        <w:t xml:space="preserve"> to select between one or two stages approach for the transmission of the preamble and the data packet</w:t>
      </w:r>
      <w:r w:rsidR="0038327F">
        <w:rPr>
          <w:color w:val="FF0000"/>
          <w:highlight w:val="yellow"/>
          <w:lang w:val="en-GB" w:eastAsia="ja-JP"/>
        </w:rPr>
        <w:t xml:space="preserve"> to allow optimum performance with long latency radio interface</w:t>
      </w:r>
      <w:r w:rsidR="00AB708D" w:rsidRPr="001C00C8">
        <w:rPr>
          <w:color w:val="FF0000"/>
          <w:highlight w:val="yellow"/>
          <w:lang w:val="en-GB" w:eastAsia="ja-JP"/>
        </w:rPr>
        <w:t>.</w:t>
      </w:r>
    </w:p>
    <w:p w:rsidR="00DC4DA8" w:rsidRPr="00A409C1" w:rsidRDefault="00DC4DA8" w:rsidP="00DC4DA8">
      <w:pPr>
        <w:pStyle w:val="B1"/>
        <w:ind w:left="0" w:firstLine="0"/>
        <w:rPr>
          <w:lang w:eastAsia="zh-CN"/>
        </w:rPr>
      </w:pPr>
    </w:p>
    <w:p w:rsidR="00DC4DA8" w:rsidRPr="00A409C1" w:rsidRDefault="00DC4DA8" w:rsidP="00DC4DA8">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w:t>
      </w:r>
      <w:r>
        <w:rPr>
          <w:color w:val="FF0000"/>
          <w:sz w:val="28"/>
          <w:szCs w:val="28"/>
        </w:rPr>
        <w:t>End of changes * * * *</w:t>
      </w:r>
    </w:p>
    <w:p w:rsidR="00DC4DA8" w:rsidRDefault="00DC4DA8">
      <w:pPr>
        <w:rPr>
          <w:lang w:eastAsia="ja-JP"/>
        </w:rPr>
      </w:pPr>
    </w:p>
    <w:p w:rsidR="004D1152" w:rsidRDefault="004D1152" w:rsidP="004D1152">
      <w:pPr>
        <w:jc w:val="both"/>
        <w:rPr>
          <w:sz w:val="24"/>
          <w:szCs w:val="24"/>
        </w:rPr>
      </w:pPr>
    </w:p>
    <w:p w:rsidR="00DA294C" w:rsidRPr="00A409C1" w:rsidRDefault="00DA294C" w:rsidP="00DA294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r>
        <w:rPr>
          <w:color w:val="FF0000"/>
          <w:sz w:val="28"/>
          <w:szCs w:val="28"/>
        </w:rPr>
        <w:t xml:space="preserve"> in red</w:t>
      </w:r>
      <w:r w:rsidRPr="00A409C1">
        <w:rPr>
          <w:color w:val="FF0000"/>
          <w:sz w:val="28"/>
          <w:szCs w:val="28"/>
        </w:rPr>
        <w:t>)</w:t>
      </w:r>
    </w:p>
    <w:p w:rsidR="00DA294C" w:rsidRDefault="00DA294C" w:rsidP="00DA294C">
      <w:pPr>
        <w:jc w:val="both"/>
        <w:rPr>
          <w:sz w:val="24"/>
          <w:szCs w:val="24"/>
        </w:rPr>
      </w:pPr>
    </w:p>
    <w:p w:rsidR="00DA294C" w:rsidRPr="00235394" w:rsidRDefault="00DA294C" w:rsidP="00DA294C">
      <w:pPr>
        <w:pStyle w:val="Titre1"/>
        <w:numPr>
          <w:ilvl w:val="0"/>
          <w:numId w:val="0"/>
        </w:numPr>
      </w:pPr>
      <w:bookmarkStart w:id="4" w:name="_Toc460841961"/>
      <w:r>
        <w:rPr>
          <w:rFonts w:hint="eastAsia"/>
          <w:lang w:eastAsia="ja-JP"/>
        </w:rPr>
        <w:t>6</w:t>
      </w:r>
      <w:r w:rsidRPr="00235394">
        <w:tab/>
      </w:r>
      <w:r>
        <w:rPr>
          <w:rFonts w:hint="eastAsia"/>
          <w:lang w:eastAsia="ja-JP"/>
        </w:rPr>
        <w:t>ARQ and HARQ</w:t>
      </w:r>
      <w:bookmarkEnd w:id="4"/>
    </w:p>
    <w:p w:rsidR="00DA294C" w:rsidRPr="00B24507" w:rsidRDefault="00DA294C" w:rsidP="00DA294C">
      <w:pPr>
        <w:pStyle w:val="Guidance"/>
        <w:rPr>
          <w:iCs/>
          <w:color w:val="FF0000"/>
          <w:lang w:eastAsia="ja-JP"/>
        </w:rPr>
      </w:pPr>
      <w:r w:rsidRPr="00B13F2C">
        <w:rPr>
          <w:rFonts w:hint="eastAsia"/>
          <w:iCs/>
          <w:color w:val="FF0000"/>
          <w:lang w:eastAsia="ja-JP"/>
        </w:rPr>
        <w:t>Editor</w:t>
      </w:r>
      <w:r w:rsidRPr="00B13F2C">
        <w:rPr>
          <w:iCs/>
          <w:color w:val="FF0000"/>
          <w:lang w:eastAsia="ja-JP"/>
        </w:rPr>
        <w:t>’</w:t>
      </w:r>
      <w:r w:rsidRPr="00B13F2C">
        <w:rPr>
          <w:rFonts w:hint="eastAsia"/>
          <w:iCs/>
          <w:color w:val="FF0000"/>
          <w:lang w:eastAsia="ja-JP"/>
        </w:rPr>
        <w:t>s note: intended to capture ARQ and HARQ operation from L2 viewpoints.</w:t>
      </w:r>
    </w:p>
    <w:p w:rsidR="00DA294C" w:rsidRDefault="00DA294C" w:rsidP="00DA294C">
      <w:pPr>
        <w:pStyle w:val="B1"/>
        <w:ind w:left="0" w:firstLine="0"/>
        <w:rPr>
          <w:lang w:eastAsia="zh-CN"/>
        </w:rPr>
      </w:pPr>
    </w:p>
    <w:p w:rsidR="0038327F" w:rsidRPr="001C00C8" w:rsidRDefault="0038327F" w:rsidP="0038327F">
      <w:pPr>
        <w:rPr>
          <w:lang w:val="en-GB" w:eastAsia="ja-JP"/>
        </w:rPr>
      </w:pPr>
      <w:r w:rsidRPr="001C00C8">
        <w:rPr>
          <w:color w:val="FF0000"/>
          <w:highlight w:val="yellow"/>
          <w:lang w:val="en-GB" w:eastAsia="ja-JP"/>
        </w:rPr>
        <w:t xml:space="preserve">Note: The </w:t>
      </w:r>
      <w:r>
        <w:rPr>
          <w:color w:val="FF0000"/>
          <w:highlight w:val="yellow"/>
          <w:lang w:val="en-GB" w:eastAsia="ja-JP"/>
        </w:rPr>
        <w:t>ARQ/HARQ scheme</w:t>
      </w:r>
      <w:r w:rsidRPr="001C00C8">
        <w:rPr>
          <w:color w:val="FF0000"/>
          <w:highlight w:val="yellow"/>
          <w:lang w:val="en-GB" w:eastAsia="ja-JP"/>
        </w:rPr>
        <w:t xml:space="preserve"> </w:t>
      </w:r>
      <w:r>
        <w:rPr>
          <w:color w:val="FF0000"/>
          <w:highlight w:val="yellow"/>
          <w:lang w:val="en-GB" w:eastAsia="ja-JP"/>
        </w:rPr>
        <w:t>should be designed to accommodate long latency radio interface. This requires flexibility in the configuration of this scheme by allowing deactivation of the acknowledgment or extended time window to receive a late the acknowledgement</w:t>
      </w:r>
      <w:r w:rsidRPr="001C00C8">
        <w:rPr>
          <w:color w:val="FF0000"/>
          <w:highlight w:val="yellow"/>
          <w:lang w:val="en-GB" w:eastAsia="ja-JP"/>
        </w:rPr>
        <w:t>.</w:t>
      </w:r>
      <w:bookmarkStart w:id="5" w:name="_GoBack"/>
      <w:bookmarkEnd w:id="5"/>
    </w:p>
    <w:p w:rsidR="00CA0C54" w:rsidRPr="00A409C1" w:rsidRDefault="00CA0C54" w:rsidP="00DA294C">
      <w:pPr>
        <w:pStyle w:val="B1"/>
        <w:ind w:left="0" w:firstLine="0"/>
        <w:rPr>
          <w:lang w:eastAsia="zh-CN"/>
        </w:rPr>
      </w:pPr>
    </w:p>
    <w:p w:rsidR="00DA294C" w:rsidRPr="00A409C1" w:rsidRDefault="00DA294C" w:rsidP="00DA294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w:t>
      </w:r>
      <w:r>
        <w:rPr>
          <w:color w:val="FF0000"/>
          <w:sz w:val="28"/>
          <w:szCs w:val="28"/>
        </w:rPr>
        <w:t>End of changes * * * *</w:t>
      </w:r>
    </w:p>
    <w:p w:rsidR="00DA294C" w:rsidRDefault="00DA294C" w:rsidP="00DA294C">
      <w:pPr>
        <w:rPr>
          <w:lang w:eastAsia="ja-JP"/>
        </w:rPr>
      </w:pPr>
    </w:p>
    <w:p w:rsidR="00DA294C" w:rsidRPr="004D1152" w:rsidRDefault="00DA294C" w:rsidP="004D1152">
      <w:pPr>
        <w:jc w:val="both"/>
        <w:rPr>
          <w:sz w:val="24"/>
          <w:szCs w:val="24"/>
        </w:rPr>
      </w:pPr>
    </w:p>
    <w:sectPr w:rsidR="00DA294C" w:rsidRPr="004D1152">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F5A" w:rsidRDefault="00446F5A" w:rsidP="000519FA">
      <w:pPr>
        <w:spacing w:after="0" w:line="240" w:lineRule="auto"/>
      </w:pPr>
      <w:r>
        <w:separator/>
      </w:r>
    </w:p>
  </w:endnote>
  <w:endnote w:type="continuationSeparator" w:id="0">
    <w:p w:rsidR="00446F5A" w:rsidRDefault="00446F5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890864"/>
      <w:docPartObj>
        <w:docPartGallery w:val="Page Numbers (Bottom of Page)"/>
        <w:docPartUnique/>
      </w:docPartObj>
    </w:sdtPr>
    <w:sdtEndPr/>
    <w:sdtContent>
      <w:p w:rsidR="009B31EB" w:rsidRDefault="009B31EB">
        <w:pPr>
          <w:pStyle w:val="Pieddepage"/>
          <w:jc w:val="right"/>
        </w:pPr>
        <w:r>
          <w:fldChar w:fldCharType="begin"/>
        </w:r>
        <w:r>
          <w:instrText>PAGE   \* MERGEFORMAT</w:instrText>
        </w:r>
        <w:r>
          <w:fldChar w:fldCharType="separate"/>
        </w:r>
        <w:r w:rsidR="000E2FBE" w:rsidRPr="000E2FBE">
          <w:rPr>
            <w:noProof/>
            <w:lang w:val="fr-FR"/>
          </w:rPr>
          <w:t>4</w:t>
        </w:r>
        <w:r>
          <w:fldChar w:fldCharType="end"/>
        </w:r>
      </w:p>
    </w:sdtContent>
  </w:sdt>
  <w:p w:rsidR="009B31EB" w:rsidRDefault="009B31E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F5A" w:rsidRDefault="00446F5A" w:rsidP="000519FA">
      <w:pPr>
        <w:spacing w:after="0" w:line="240" w:lineRule="auto"/>
      </w:pPr>
      <w:r>
        <w:separator/>
      </w:r>
    </w:p>
  </w:footnote>
  <w:footnote w:type="continuationSeparator" w:id="0">
    <w:p w:rsidR="00446F5A" w:rsidRDefault="00446F5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nsid w:val="1B293B35"/>
    <w:multiLevelType w:val="hybridMultilevel"/>
    <w:tmpl w:val="63867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264D0387"/>
    <w:multiLevelType w:val="hybridMultilevel"/>
    <w:tmpl w:val="F2E84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192781"/>
    <w:multiLevelType w:val="hybridMultilevel"/>
    <w:tmpl w:val="5DFE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5"/>
  </w:num>
  <w:num w:numId="8">
    <w:abstractNumId w:val="4"/>
  </w:num>
  <w:num w:numId="9">
    <w:abstractNumId w:val="0"/>
  </w:num>
  <w:num w:numId="10">
    <w:abstractNumId w:val="1"/>
  </w:num>
  <w:num w:numId="11">
    <w:abstractNumId w:val="6"/>
  </w:num>
  <w:num w:numId="12">
    <w:abstractNumId w:val="2"/>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asti, Mehdi">
    <w15:presenceInfo w15:providerId="AD" w15:userId="S-1-5-21-53694668-648618266-1194094237-734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10861"/>
    <w:rsid w:val="000330CB"/>
    <w:rsid w:val="00042C03"/>
    <w:rsid w:val="000519FA"/>
    <w:rsid w:val="000648F1"/>
    <w:rsid w:val="000746F1"/>
    <w:rsid w:val="000852A4"/>
    <w:rsid w:val="000C0956"/>
    <w:rsid w:val="000C6CF6"/>
    <w:rsid w:val="000C7447"/>
    <w:rsid w:val="000E20D5"/>
    <w:rsid w:val="000E2FBE"/>
    <w:rsid w:val="000E7F24"/>
    <w:rsid w:val="000F05B2"/>
    <w:rsid w:val="0010616A"/>
    <w:rsid w:val="00110759"/>
    <w:rsid w:val="0012649B"/>
    <w:rsid w:val="00132E99"/>
    <w:rsid w:val="00144667"/>
    <w:rsid w:val="00147D27"/>
    <w:rsid w:val="00166182"/>
    <w:rsid w:val="001712ED"/>
    <w:rsid w:val="00177FD1"/>
    <w:rsid w:val="00181673"/>
    <w:rsid w:val="00187C6F"/>
    <w:rsid w:val="00197F0E"/>
    <w:rsid w:val="001A5D61"/>
    <w:rsid w:val="001A6D9F"/>
    <w:rsid w:val="001B0FDB"/>
    <w:rsid w:val="001B4C0A"/>
    <w:rsid w:val="001B53EC"/>
    <w:rsid w:val="001C00C8"/>
    <w:rsid w:val="001D1872"/>
    <w:rsid w:val="001D7850"/>
    <w:rsid w:val="001D7C16"/>
    <w:rsid w:val="001E1EC4"/>
    <w:rsid w:val="001F427B"/>
    <w:rsid w:val="00215249"/>
    <w:rsid w:val="0021618C"/>
    <w:rsid w:val="0022483F"/>
    <w:rsid w:val="00231EB5"/>
    <w:rsid w:val="00237687"/>
    <w:rsid w:val="002443A3"/>
    <w:rsid w:val="00247C98"/>
    <w:rsid w:val="00250232"/>
    <w:rsid w:val="002B0B4B"/>
    <w:rsid w:val="002B4623"/>
    <w:rsid w:val="002D6E8E"/>
    <w:rsid w:val="002E1513"/>
    <w:rsid w:val="002F2C1F"/>
    <w:rsid w:val="00303B71"/>
    <w:rsid w:val="003211C6"/>
    <w:rsid w:val="003306C1"/>
    <w:rsid w:val="00355ACC"/>
    <w:rsid w:val="0038327F"/>
    <w:rsid w:val="003876A3"/>
    <w:rsid w:val="0039273B"/>
    <w:rsid w:val="00395995"/>
    <w:rsid w:val="003B47A7"/>
    <w:rsid w:val="003D7128"/>
    <w:rsid w:val="003D7F2C"/>
    <w:rsid w:val="003E1A44"/>
    <w:rsid w:val="003F6482"/>
    <w:rsid w:val="0041109B"/>
    <w:rsid w:val="00413E0F"/>
    <w:rsid w:val="004246FC"/>
    <w:rsid w:val="00446F5A"/>
    <w:rsid w:val="004C5F6D"/>
    <w:rsid w:val="004D1152"/>
    <w:rsid w:val="004E7F29"/>
    <w:rsid w:val="00501D22"/>
    <w:rsid w:val="00521AFC"/>
    <w:rsid w:val="00530DCF"/>
    <w:rsid w:val="0053790E"/>
    <w:rsid w:val="00540590"/>
    <w:rsid w:val="00574D50"/>
    <w:rsid w:val="00584949"/>
    <w:rsid w:val="005D1725"/>
    <w:rsid w:val="005E7812"/>
    <w:rsid w:val="00614996"/>
    <w:rsid w:val="006253FE"/>
    <w:rsid w:val="00651485"/>
    <w:rsid w:val="00652514"/>
    <w:rsid w:val="00664BA3"/>
    <w:rsid w:val="0068119E"/>
    <w:rsid w:val="006A1A84"/>
    <w:rsid w:val="006E4969"/>
    <w:rsid w:val="006E652B"/>
    <w:rsid w:val="00700027"/>
    <w:rsid w:val="00710456"/>
    <w:rsid w:val="00714CCC"/>
    <w:rsid w:val="007252BF"/>
    <w:rsid w:val="007447B2"/>
    <w:rsid w:val="007508E2"/>
    <w:rsid w:val="00751161"/>
    <w:rsid w:val="00763492"/>
    <w:rsid w:val="007762C7"/>
    <w:rsid w:val="00777C69"/>
    <w:rsid w:val="00790B75"/>
    <w:rsid w:val="007A25C7"/>
    <w:rsid w:val="007B02FF"/>
    <w:rsid w:val="007B6675"/>
    <w:rsid w:val="007C3C38"/>
    <w:rsid w:val="008230F0"/>
    <w:rsid w:val="008344EF"/>
    <w:rsid w:val="008552E3"/>
    <w:rsid w:val="008620EC"/>
    <w:rsid w:val="0086464C"/>
    <w:rsid w:val="008750ED"/>
    <w:rsid w:val="0087550C"/>
    <w:rsid w:val="00877AF9"/>
    <w:rsid w:val="00891A8D"/>
    <w:rsid w:val="008A2E85"/>
    <w:rsid w:val="008A4E94"/>
    <w:rsid w:val="008B75C8"/>
    <w:rsid w:val="008C4DE5"/>
    <w:rsid w:val="008D3E9E"/>
    <w:rsid w:val="008E04E0"/>
    <w:rsid w:val="008F7FBF"/>
    <w:rsid w:val="0091216D"/>
    <w:rsid w:val="00917303"/>
    <w:rsid w:val="00924280"/>
    <w:rsid w:val="009315DC"/>
    <w:rsid w:val="009352EF"/>
    <w:rsid w:val="009502F0"/>
    <w:rsid w:val="00955EE1"/>
    <w:rsid w:val="009561A4"/>
    <w:rsid w:val="00957264"/>
    <w:rsid w:val="00960547"/>
    <w:rsid w:val="00966371"/>
    <w:rsid w:val="00980747"/>
    <w:rsid w:val="00997C2D"/>
    <w:rsid w:val="009B31EB"/>
    <w:rsid w:val="009B423B"/>
    <w:rsid w:val="009D49BC"/>
    <w:rsid w:val="009F110A"/>
    <w:rsid w:val="009F56DA"/>
    <w:rsid w:val="00A126D0"/>
    <w:rsid w:val="00A168CC"/>
    <w:rsid w:val="00A23BDB"/>
    <w:rsid w:val="00A37A7A"/>
    <w:rsid w:val="00A42634"/>
    <w:rsid w:val="00A82539"/>
    <w:rsid w:val="00A83695"/>
    <w:rsid w:val="00A83E33"/>
    <w:rsid w:val="00A94073"/>
    <w:rsid w:val="00AB708D"/>
    <w:rsid w:val="00AD411B"/>
    <w:rsid w:val="00AD7E4C"/>
    <w:rsid w:val="00AE4B14"/>
    <w:rsid w:val="00AF1C6B"/>
    <w:rsid w:val="00B00552"/>
    <w:rsid w:val="00B044EA"/>
    <w:rsid w:val="00B120E7"/>
    <w:rsid w:val="00B2320A"/>
    <w:rsid w:val="00B25F5C"/>
    <w:rsid w:val="00B7230D"/>
    <w:rsid w:val="00B740D5"/>
    <w:rsid w:val="00B870C1"/>
    <w:rsid w:val="00BA7E38"/>
    <w:rsid w:val="00BB0340"/>
    <w:rsid w:val="00BB2868"/>
    <w:rsid w:val="00BB7706"/>
    <w:rsid w:val="00BE7B08"/>
    <w:rsid w:val="00BF7226"/>
    <w:rsid w:val="00BF7E8C"/>
    <w:rsid w:val="00C240C4"/>
    <w:rsid w:val="00C26631"/>
    <w:rsid w:val="00C42D08"/>
    <w:rsid w:val="00C4421D"/>
    <w:rsid w:val="00C4425D"/>
    <w:rsid w:val="00C6525E"/>
    <w:rsid w:val="00C75F10"/>
    <w:rsid w:val="00C85BDC"/>
    <w:rsid w:val="00C8739D"/>
    <w:rsid w:val="00C9106F"/>
    <w:rsid w:val="00C967C5"/>
    <w:rsid w:val="00C969BD"/>
    <w:rsid w:val="00CA0C54"/>
    <w:rsid w:val="00CD1FC8"/>
    <w:rsid w:val="00CE0752"/>
    <w:rsid w:val="00CF3B36"/>
    <w:rsid w:val="00D00BA5"/>
    <w:rsid w:val="00D135C3"/>
    <w:rsid w:val="00D4032D"/>
    <w:rsid w:val="00D46C0D"/>
    <w:rsid w:val="00D63899"/>
    <w:rsid w:val="00D90826"/>
    <w:rsid w:val="00D932EA"/>
    <w:rsid w:val="00D9398F"/>
    <w:rsid w:val="00DA294C"/>
    <w:rsid w:val="00DC4DA8"/>
    <w:rsid w:val="00DD7407"/>
    <w:rsid w:val="00DF436E"/>
    <w:rsid w:val="00E023EA"/>
    <w:rsid w:val="00E22F3B"/>
    <w:rsid w:val="00E358DF"/>
    <w:rsid w:val="00E447DE"/>
    <w:rsid w:val="00E558B6"/>
    <w:rsid w:val="00E55DF6"/>
    <w:rsid w:val="00EB3E81"/>
    <w:rsid w:val="00EC0444"/>
    <w:rsid w:val="00EC73D5"/>
    <w:rsid w:val="00EE4EB4"/>
    <w:rsid w:val="00F06DF9"/>
    <w:rsid w:val="00F1032C"/>
    <w:rsid w:val="00F15CD3"/>
    <w:rsid w:val="00F324AB"/>
    <w:rsid w:val="00F81C3F"/>
    <w:rsid w:val="00F83F05"/>
    <w:rsid w:val="00F85CF4"/>
    <w:rsid w:val="00F95EFB"/>
    <w:rsid w:val="00FA1A82"/>
    <w:rsid w:val="00FA1FAF"/>
    <w:rsid w:val="00FA34B2"/>
    <w:rsid w:val="00FA3DF2"/>
    <w:rsid w:val="00FC28F5"/>
    <w:rsid w:val="00FE2DE3"/>
    <w:rsid w:val="00FE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AB708D"/>
    <w:pPr>
      <w:spacing w:after="180" w:line="240" w:lineRule="auto"/>
    </w:pPr>
    <w:rPr>
      <w:rFonts w:ascii="Times New Roman" w:eastAsia="MS Mincho" w:hAnsi="Times New Roman" w:cs="Times New Roman"/>
      <w:i/>
      <w:color w:val="0000FF"/>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AB708D"/>
    <w:pPr>
      <w:spacing w:after="180" w:line="240" w:lineRule="auto"/>
    </w:pPr>
    <w:rPr>
      <w:rFonts w:ascii="Times New Roman" w:eastAsia="MS Mincho" w:hAnsi="Times New Roman" w:cs="Times New Roman"/>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856120">
      <w:bodyDiv w:val="1"/>
      <w:marLeft w:val="0"/>
      <w:marRight w:val="0"/>
      <w:marTop w:val="0"/>
      <w:marBottom w:val="0"/>
      <w:divBdr>
        <w:top w:val="none" w:sz="0" w:space="0" w:color="auto"/>
        <w:left w:val="none" w:sz="0" w:space="0" w:color="auto"/>
        <w:bottom w:val="none" w:sz="0" w:space="0" w:color="auto"/>
        <w:right w:val="none" w:sz="0" w:space="0" w:color="auto"/>
      </w:divBdr>
    </w:div>
    <w:div w:id="802238870">
      <w:bodyDiv w:val="1"/>
      <w:marLeft w:val="0"/>
      <w:marRight w:val="0"/>
      <w:marTop w:val="0"/>
      <w:marBottom w:val="0"/>
      <w:divBdr>
        <w:top w:val="none" w:sz="0" w:space="0" w:color="auto"/>
        <w:left w:val="none" w:sz="0" w:space="0" w:color="auto"/>
        <w:bottom w:val="none" w:sz="0" w:space="0" w:color="auto"/>
        <w:right w:val="none" w:sz="0" w:space="0" w:color="auto"/>
      </w:divBdr>
    </w:div>
    <w:div w:id="9865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6D299-1149-4DE1-B388-2269F8D2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769</Words>
  <Characters>4386</Characters>
  <Application>Microsoft Office Word</Application>
  <DocSecurity>0</DocSecurity>
  <Lines>36</Lines>
  <Paragraphs>10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Thales SPACE</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34</cp:revision>
  <dcterms:created xsi:type="dcterms:W3CDTF">2016-11-04T08:39:00Z</dcterms:created>
  <dcterms:modified xsi:type="dcterms:W3CDTF">2016-11-04T14:08:00Z</dcterms:modified>
</cp:coreProperties>
</file>