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eastAsia="zh-CN" w:bidi="ar"/>
        </w:rPr>
      </w:pPr>
      <w:r>
        <w:rPr>
          <w:rFonts w:eastAsia="宋体"/>
          <w:b/>
          <w:szCs w:val="22"/>
          <w:lang w:eastAsia="zh-CN" w:bidi="ar"/>
        </w:rPr>
        <w:t>3GPP TSG</w:t>
      </w:r>
      <w:r w:rsidR="001F0D5D">
        <w:rPr>
          <w:rFonts w:eastAsia="宋体"/>
          <w:b/>
          <w:szCs w:val="22"/>
          <w:lang w:eastAsia="zh-CN" w:bidi="ar"/>
        </w:rPr>
        <w:t>-RAN WG2 Meeting #12</w:t>
      </w:r>
      <w:r w:rsidR="00483167">
        <w:rPr>
          <w:rFonts w:eastAsia="宋体"/>
          <w:b/>
          <w:szCs w:val="22"/>
          <w:lang w:eastAsia="zh-CN" w:bidi="ar"/>
        </w:rPr>
        <w:t>9</w:t>
      </w:r>
      <w:r w:rsidR="005D0060">
        <w:rPr>
          <w:rFonts w:eastAsia="宋体"/>
          <w:b/>
          <w:szCs w:val="22"/>
          <w:lang w:eastAsia="zh-CN" w:bidi="ar"/>
        </w:rPr>
        <w:tab/>
        <w:t>R2-2501220</w:t>
      </w:r>
    </w:p>
    <w:p w:rsidR="00483167" w:rsidRPr="00483167" w:rsidRDefault="00483167" w:rsidP="00483167">
      <w:pPr>
        <w:pStyle w:val="ad"/>
        <w:tabs>
          <w:tab w:val="right" w:pos="9645"/>
        </w:tabs>
        <w:spacing w:before="0" w:beforeAutospacing="0" w:after="0" w:afterAutospacing="0"/>
        <w:jc w:val="both"/>
        <w:rPr>
          <w:rFonts w:eastAsia="宋体"/>
          <w:b/>
          <w:szCs w:val="22"/>
          <w:lang w:eastAsia="zh-CN" w:bidi="ar"/>
        </w:rPr>
      </w:pPr>
      <w:r w:rsidRPr="00483167">
        <w:rPr>
          <w:rFonts w:eastAsia="宋体"/>
          <w:b/>
          <w:szCs w:val="22"/>
          <w:lang w:eastAsia="zh-CN" w:bidi="ar"/>
        </w:rPr>
        <w:t>Athens, Greece, Feb. 17th – 21st, 2025</w:t>
      </w:r>
    </w:p>
    <w:p w:rsidR="001F0D5D" w:rsidRPr="001F0D5D" w:rsidRDefault="001F0D5D">
      <w:pPr>
        <w:overflowPunct w:val="0"/>
        <w:autoSpaceDE w:val="0"/>
        <w:autoSpaceDN w:val="0"/>
        <w:adjustRightInd w:val="0"/>
        <w:snapToGrid w:val="0"/>
        <w:spacing w:beforeLines="50" w:before="120"/>
        <w:textAlignment w:val="baseline"/>
        <w:rPr>
          <w:rFonts w:eastAsia="宋体"/>
          <w:b/>
          <w:szCs w:val="22"/>
          <w:lang w:bidi="ar"/>
        </w:rPr>
      </w:pP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 xml:space="preserve">Source:       </w:t>
      </w:r>
      <w:r w:rsidR="00065F9F">
        <w:rPr>
          <w:rFonts w:ascii="Arial" w:eastAsia="宋体" w:hAnsi="Arial" w:cs="Arial"/>
          <w:b/>
          <w:szCs w:val="22"/>
          <w:lang w:bidi="ar"/>
        </w:rPr>
        <w:t xml:space="preserve"> </w:t>
      </w:r>
      <w:r>
        <w:rPr>
          <w:rFonts w:ascii="Arial" w:eastAsia="宋体" w:hAnsi="Arial" w:cs="Arial"/>
          <w:b/>
          <w:szCs w:val="22"/>
          <w:lang w:bidi="ar"/>
        </w:rPr>
        <w:t>ZTE Corporation</w:t>
      </w:r>
    </w:p>
    <w:p w:rsidR="00483167" w:rsidRDefault="00466246" w:rsidP="00065F9F">
      <w:pPr>
        <w:ind w:left="1928" w:hangingChars="800" w:hanging="1928"/>
        <w:rPr>
          <w:rFonts w:ascii="Arial" w:eastAsia="宋体" w:hAnsi="Arial" w:cs="Arial"/>
          <w:b/>
          <w:szCs w:val="22"/>
          <w:lang w:bidi="ar"/>
        </w:rPr>
      </w:pPr>
      <w:r>
        <w:rPr>
          <w:rFonts w:ascii="Arial" w:eastAsia="宋体" w:hAnsi="Arial" w:cs="Arial"/>
          <w:b/>
          <w:szCs w:val="22"/>
          <w:lang w:bidi="ar"/>
        </w:rPr>
        <w:t xml:space="preserve">Title:           </w:t>
      </w:r>
      <w:r w:rsidR="004B3EED" w:rsidRPr="004B3EED">
        <w:rPr>
          <w:rFonts w:ascii="Arial" w:eastAsia="宋体" w:hAnsi="Arial" w:cs="Arial"/>
          <w:b/>
          <w:szCs w:val="22"/>
          <w:lang w:bidi="ar"/>
        </w:rPr>
        <w:t>Cla</w:t>
      </w:r>
      <w:r w:rsidR="00CC0120">
        <w:rPr>
          <w:rFonts w:ascii="Arial" w:eastAsia="宋体" w:hAnsi="Arial" w:cs="Arial"/>
          <w:b/>
          <w:szCs w:val="22"/>
          <w:lang w:bidi="ar"/>
        </w:rPr>
        <w:t>rification on the less than 5M C</w:t>
      </w:r>
      <w:r w:rsidR="00267542">
        <w:rPr>
          <w:rFonts w:ascii="Arial" w:eastAsia="宋体" w:hAnsi="Arial" w:cs="Arial"/>
          <w:b/>
          <w:szCs w:val="22"/>
          <w:lang w:bidi="ar"/>
        </w:rPr>
        <w:t>onfiguration</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0" w:name="Source"/>
      <w:bookmarkEnd w:id="0"/>
      <w:r w:rsidR="004B3EED">
        <w:rPr>
          <w:rFonts w:ascii="Arial" w:eastAsia="宋体" w:hAnsi="Arial" w:cs="Arial"/>
          <w:b/>
          <w:szCs w:val="22"/>
          <w:lang w:bidi="ar"/>
        </w:rPr>
        <w:t xml:space="preserve">   7.8.1</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1" w:name="DocumentFor"/>
      <w:bookmarkEnd w:id="1"/>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1F0D5D" w:rsidRDefault="001F0D5D" w:rsidP="00EC5E1F">
      <w:pPr>
        <w:rPr>
          <w:rFonts w:eastAsiaTheme="minorEastAsia"/>
          <w:sz w:val="21"/>
          <w:szCs w:val="21"/>
        </w:rPr>
      </w:pPr>
      <w:r>
        <w:rPr>
          <w:rFonts w:eastAsiaTheme="minorEastAsia"/>
          <w:sz w:val="21"/>
          <w:szCs w:val="21"/>
        </w:rPr>
        <w:t>I</w:t>
      </w:r>
      <w:r>
        <w:rPr>
          <w:rFonts w:eastAsiaTheme="minorEastAsia" w:hint="eastAsia"/>
          <w:sz w:val="21"/>
          <w:szCs w:val="21"/>
        </w:rPr>
        <w:t>n</w:t>
      </w:r>
      <w:r>
        <w:rPr>
          <w:rFonts w:eastAsiaTheme="minorEastAsia"/>
          <w:sz w:val="21"/>
          <w:szCs w:val="21"/>
        </w:rPr>
        <w:t xml:space="preserve"> </w:t>
      </w:r>
      <w:r w:rsidR="005D0060">
        <w:rPr>
          <w:rFonts w:eastAsiaTheme="minorEastAsia"/>
          <w:sz w:val="21"/>
          <w:szCs w:val="21"/>
        </w:rPr>
        <w:t xml:space="preserve">the </w:t>
      </w:r>
      <w:r w:rsidR="00E2702B">
        <w:rPr>
          <w:rFonts w:eastAsiaTheme="minorEastAsia"/>
          <w:sz w:val="21"/>
          <w:szCs w:val="21"/>
        </w:rPr>
        <w:t>RAN2#127bis meeting</w:t>
      </w:r>
      <w:r>
        <w:rPr>
          <w:rFonts w:eastAsiaTheme="minorEastAsia"/>
          <w:sz w:val="21"/>
          <w:szCs w:val="21"/>
        </w:rPr>
        <w:t xml:space="preserve">, </w:t>
      </w:r>
      <w:r w:rsidR="00EC5E1F">
        <w:rPr>
          <w:rFonts w:eastAsiaTheme="minorEastAsia"/>
          <w:sz w:val="21"/>
          <w:szCs w:val="21"/>
        </w:rPr>
        <w:t>a</w:t>
      </w:r>
      <w:r w:rsidR="00712334">
        <w:rPr>
          <w:rFonts w:eastAsiaTheme="minorEastAsia"/>
          <w:sz w:val="21"/>
          <w:szCs w:val="21"/>
        </w:rPr>
        <w:t xml:space="preserve"> LS</w:t>
      </w:r>
      <w:r w:rsidR="005D0060">
        <w:rPr>
          <w:rFonts w:eastAsiaTheme="minorEastAsia"/>
          <w:sz w:val="21"/>
          <w:szCs w:val="21"/>
        </w:rPr>
        <w:t xml:space="preserve"> </w:t>
      </w:r>
      <w:r w:rsidR="00712334">
        <w:rPr>
          <w:rFonts w:eastAsiaTheme="minorEastAsia"/>
          <w:sz w:val="21"/>
          <w:szCs w:val="21"/>
        </w:rPr>
        <w:t>[1] was sent to RAN4</w:t>
      </w:r>
      <w:r w:rsidR="00E2702B">
        <w:rPr>
          <w:rFonts w:eastAsiaTheme="minorEastAsia"/>
          <w:sz w:val="21"/>
          <w:szCs w:val="21"/>
        </w:rPr>
        <w:t>. In the last RAN4 meeting, a</w:t>
      </w:r>
      <w:r w:rsidR="00EC5E1F">
        <w:rPr>
          <w:rFonts w:eastAsiaTheme="minorEastAsia"/>
          <w:sz w:val="21"/>
          <w:szCs w:val="21"/>
        </w:rPr>
        <w:t xml:space="preserve"> Reply L</w:t>
      </w:r>
      <w:r w:rsidR="00712334">
        <w:rPr>
          <w:rFonts w:eastAsiaTheme="minorEastAsia"/>
          <w:sz w:val="21"/>
          <w:szCs w:val="21"/>
        </w:rPr>
        <w:t xml:space="preserve">S[2] was sent </w:t>
      </w:r>
      <w:r w:rsidR="005D0060">
        <w:rPr>
          <w:rFonts w:eastAsiaTheme="minorEastAsia" w:hint="eastAsia"/>
          <w:sz w:val="21"/>
          <w:szCs w:val="21"/>
        </w:rPr>
        <w:t>by</w:t>
      </w:r>
      <w:r w:rsidR="005D0060">
        <w:rPr>
          <w:rFonts w:eastAsiaTheme="minorEastAsia"/>
          <w:sz w:val="21"/>
          <w:szCs w:val="21"/>
        </w:rPr>
        <w:t xml:space="preserve"> RAN4 regarding</w:t>
      </w:r>
      <w:r w:rsidR="00712334">
        <w:rPr>
          <w:rFonts w:eastAsiaTheme="minorEastAsia"/>
          <w:sz w:val="21"/>
          <w:szCs w:val="21"/>
        </w:rPr>
        <w:t xml:space="preserve"> how to indicate 12PRB/20PRB in the SIB1.</w:t>
      </w:r>
    </w:p>
    <w:tbl>
      <w:tblPr>
        <w:tblStyle w:val="af"/>
        <w:tblW w:w="0" w:type="auto"/>
        <w:tblLook w:val="04A0" w:firstRow="1" w:lastRow="0" w:firstColumn="1" w:lastColumn="0" w:noHBand="0" w:noVBand="1"/>
      </w:tblPr>
      <w:tblGrid>
        <w:gridCol w:w="9350"/>
      </w:tblGrid>
      <w:tr w:rsidR="00EC5E1F" w:rsidTr="00EC5E1F">
        <w:tc>
          <w:tcPr>
            <w:tcW w:w="9350" w:type="dxa"/>
          </w:tcPr>
          <w:p w:rsidR="00EC5E1F" w:rsidRPr="009F4CDA" w:rsidRDefault="00EC5E1F" w:rsidP="00EC5E1F">
            <w:pPr>
              <w:spacing w:before="180" w:afterLines="100" w:after="240"/>
              <w:jc w:val="both"/>
              <w:rPr>
                <w:rFonts w:eastAsia="等线"/>
                <w:sz w:val="18"/>
                <w:szCs w:val="18"/>
              </w:rPr>
            </w:pPr>
            <w:r w:rsidRPr="009F4CDA">
              <w:rPr>
                <w:rFonts w:eastAsia="等线"/>
                <w:sz w:val="18"/>
                <w:szCs w:val="18"/>
              </w:rPr>
              <w:t>RAN4 would like to thank RAN2 for their LS R2-2409409.</w:t>
            </w:r>
          </w:p>
          <w:p w:rsidR="00EC5E1F" w:rsidRPr="009F4CDA" w:rsidRDefault="00EC5E1F" w:rsidP="00EC5E1F">
            <w:pPr>
              <w:spacing w:before="180" w:afterLines="100" w:after="240"/>
              <w:jc w:val="both"/>
              <w:rPr>
                <w:sz w:val="18"/>
                <w:szCs w:val="18"/>
                <w:lang w:val="en-US" w:eastAsia="zh-CN"/>
              </w:rPr>
            </w:pPr>
            <w:r w:rsidRPr="009F4CDA">
              <w:rPr>
                <w:sz w:val="18"/>
                <w:szCs w:val="18"/>
                <w:lang w:val="en-US" w:eastAsia="zh-CN"/>
              </w:rPr>
              <w:t xml:space="preserve">RAN4 confirms that it is feasible to configure </w:t>
            </w:r>
            <w:r w:rsidRPr="009F4CDA">
              <w:rPr>
                <w:i/>
                <w:iCs/>
                <w:sz w:val="18"/>
                <w:szCs w:val="18"/>
                <w:lang w:val="en-US" w:eastAsia="zh-CN"/>
              </w:rPr>
              <w:t>carrierBandwidth</w:t>
            </w:r>
            <w:r w:rsidRPr="009F4CDA">
              <w:rPr>
                <w:sz w:val="18"/>
                <w:szCs w:val="18"/>
                <w:lang w:val="en-US" w:eastAsia="zh-CN"/>
              </w:rPr>
              <w:t xml:space="preserve"> to 15 PRB (for the 12 PRB case) and 25 PRB (for the 20 PRB case) respectively in SIB1 and in RRC dedicated signaling. </w:t>
            </w:r>
          </w:p>
          <w:p w:rsidR="00EC5E1F" w:rsidRPr="009F4CDA" w:rsidRDefault="00EC5E1F" w:rsidP="00EC5E1F">
            <w:pPr>
              <w:spacing w:before="180" w:afterLines="100" w:after="240"/>
              <w:jc w:val="both"/>
              <w:rPr>
                <w:rFonts w:eastAsia="等线"/>
                <w:sz w:val="18"/>
                <w:szCs w:val="18"/>
                <w:lang w:val="en-US" w:eastAsia="zh-CN"/>
              </w:rPr>
            </w:pPr>
            <w:r w:rsidRPr="009F4CDA">
              <w:rPr>
                <w:rFonts w:eastAsia="等线"/>
                <w:sz w:val="18"/>
                <w:szCs w:val="18"/>
                <w:lang w:val="en-US" w:eastAsia="zh-CN"/>
              </w:rPr>
              <w:t>In addition, RAN4 would like to provide the background that 12 PRB and 20 PRB transmission bandwidth configuration are two special cases only for band n100, and only can be configured with SS Block frequency positions in additional GSCN parameters defined in TS 38.101-1 Table 5.4.3.1-3.</w:t>
            </w:r>
          </w:p>
          <w:p w:rsidR="00EC5E1F" w:rsidRPr="00EC5E1F" w:rsidRDefault="00EC5E1F" w:rsidP="00EC5E1F">
            <w:pPr>
              <w:spacing w:before="180" w:afterLines="100" w:after="240"/>
              <w:rPr>
                <w:rFonts w:eastAsiaTheme="minorEastAsia"/>
                <w:sz w:val="21"/>
                <w:szCs w:val="21"/>
                <w:lang w:val="en-US" w:eastAsia="zh-CN"/>
              </w:rPr>
            </w:pPr>
            <w:r w:rsidRPr="009F4CDA">
              <w:rPr>
                <w:rFonts w:eastAsia="等线"/>
                <w:color w:val="000000"/>
                <w:sz w:val="18"/>
                <w:szCs w:val="18"/>
              </w:rPr>
              <w:t xml:space="preserve">Therefore, in these two special cases UE can determine </w:t>
            </w:r>
            <w:r w:rsidRPr="009F4CDA">
              <w:rPr>
                <w:rFonts w:eastAsia="等线"/>
                <w:sz w:val="18"/>
                <w:szCs w:val="18"/>
              </w:rPr>
              <w:t>12 or 20 PRB transmission bandwidth configuration should be used instead of 15 or 25 PRB transmission bandwidth configuration, respectively, even though</w:t>
            </w:r>
            <w:r w:rsidRPr="009F4CDA">
              <w:rPr>
                <w:rFonts w:eastAsia="等线"/>
                <w:i/>
                <w:sz w:val="18"/>
                <w:szCs w:val="18"/>
              </w:rPr>
              <w:t xml:space="preserve"> carrierBandwidth</w:t>
            </w:r>
            <w:r w:rsidRPr="009F4CDA">
              <w:rPr>
                <w:rFonts w:eastAsia="等线"/>
                <w:sz w:val="18"/>
                <w:szCs w:val="18"/>
              </w:rPr>
              <w:t xml:space="preserve"> is configured to 15 PRB (for the 12 PRB case) and 25 PRB (for the 20 PRB case) respectively in SIB1 and in RRC dedicated signaling.</w:t>
            </w:r>
          </w:p>
        </w:tc>
      </w:tr>
    </w:tbl>
    <w:p w:rsidR="00EC5E1F" w:rsidRDefault="00712334" w:rsidP="00EC5E1F">
      <w:pPr>
        <w:rPr>
          <w:rFonts w:eastAsiaTheme="minorEastAsia"/>
          <w:sz w:val="21"/>
          <w:szCs w:val="21"/>
        </w:rPr>
      </w:pPr>
      <w:r>
        <w:rPr>
          <w:rFonts w:eastAsiaTheme="minorEastAsia"/>
          <w:sz w:val="21"/>
          <w:szCs w:val="21"/>
        </w:rPr>
        <w:t>In this paper, we’d like to share our views on this LS.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161E0A" w:rsidRDefault="00161E0A" w:rsidP="00161E0A">
      <w:pPr>
        <w:rPr>
          <w:rFonts w:eastAsiaTheme="minorEastAsia"/>
          <w:sz w:val="21"/>
          <w:szCs w:val="21"/>
        </w:rPr>
      </w:pPr>
      <w:r w:rsidRPr="00161E0A">
        <w:rPr>
          <w:rFonts w:eastAsiaTheme="minorEastAsia"/>
          <w:sz w:val="21"/>
          <w:szCs w:val="21"/>
        </w:rPr>
        <w:t xml:space="preserve">In this </w:t>
      </w:r>
      <w:r>
        <w:rPr>
          <w:rFonts w:eastAsiaTheme="minorEastAsia"/>
          <w:sz w:val="21"/>
          <w:szCs w:val="21"/>
        </w:rPr>
        <w:t>chapter, we will first give a short background description, and then</w:t>
      </w:r>
      <w:r w:rsidR="005D0060">
        <w:rPr>
          <w:rFonts w:eastAsiaTheme="minorEastAsia"/>
          <w:sz w:val="21"/>
          <w:szCs w:val="21"/>
        </w:rPr>
        <w:t xml:space="preserve"> share our understanding of</w:t>
      </w:r>
      <w:r w:rsidR="00242004">
        <w:rPr>
          <w:rFonts w:eastAsiaTheme="minorEastAsia"/>
          <w:sz w:val="21"/>
          <w:szCs w:val="21"/>
        </w:rPr>
        <w:t xml:space="preserve"> this LS.</w:t>
      </w:r>
    </w:p>
    <w:p w:rsidR="00242004" w:rsidRDefault="00242004" w:rsidP="00161E0A">
      <w:pPr>
        <w:rPr>
          <w:rFonts w:eastAsiaTheme="minorEastAsia"/>
          <w:sz w:val="21"/>
          <w:szCs w:val="21"/>
        </w:rPr>
      </w:pPr>
    </w:p>
    <w:p w:rsidR="00242004" w:rsidRDefault="00242004" w:rsidP="00161E0A">
      <w:pPr>
        <w:rPr>
          <w:rFonts w:eastAsiaTheme="minorEastAsia"/>
          <w:sz w:val="21"/>
          <w:szCs w:val="21"/>
        </w:rPr>
      </w:pPr>
      <w:r>
        <w:rPr>
          <w:rFonts w:eastAsiaTheme="minorEastAsia"/>
          <w:sz w:val="21"/>
          <w:szCs w:val="21"/>
        </w:rPr>
        <w:t>For the following 2 GSCN</w:t>
      </w:r>
      <w:r w:rsidR="005D0060">
        <w:rPr>
          <w:rFonts w:eastAsiaTheme="minorEastAsia"/>
          <w:sz w:val="21"/>
          <w:szCs w:val="21"/>
        </w:rPr>
        <w:t>s</w:t>
      </w:r>
      <w:r>
        <w:rPr>
          <w:rFonts w:eastAsiaTheme="minorEastAsia"/>
          <w:sz w:val="21"/>
          <w:szCs w:val="21"/>
        </w:rPr>
        <w:t>, only the 12PRB/20 PRB transmission bandwidth can be configured, however the defined minimum UE supported channel bandwidth is 15PRB/20PRB respectively.</w:t>
      </w:r>
    </w:p>
    <w:p w:rsidR="0082046D" w:rsidRDefault="0082046D" w:rsidP="00161E0A">
      <w:pPr>
        <w:rPr>
          <w:rFonts w:eastAsiaTheme="minorEastAsia"/>
          <w:sz w:val="21"/>
          <w:szCs w:val="21"/>
        </w:rPr>
      </w:pPr>
    </w:p>
    <w:p w:rsidR="0082046D" w:rsidRPr="0082046D" w:rsidRDefault="0082046D" w:rsidP="0082046D">
      <w:pPr>
        <w:jc w:val="center"/>
        <w:rPr>
          <w:rFonts w:eastAsiaTheme="minorEastAsia"/>
          <w:b/>
          <w:sz w:val="21"/>
          <w:szCs w:val="21"/>
        </w:rPr>
      </w:pPr>
      <w:r w:rsidRPr="0082046D">
        <w:rPr>
          <w:rFonts w:eastAsiaTheme="minorEastAsia"/>
          <w:b/>
          <w:sz w:val="21"/>
          <w:szCs w:val="21"/>
        </w:rPr>
        <w:t>Table 1: GSCN for 12PRB/20 PRB Transmission Bandwidth</w:t>
      </w:r>
    </w:p>
    <w:tbl>
      <w:tblPr>
        <w:tblW w:w="9346" w:type="dxa"/>
        <w:shd w:val="clear" w:color="auto" w:fill="FFFFFF"/>
        <w:tblCellMar>
          <w:left w:w="0" w:type="dxa"/>
          <w:right w:w="0" w:type="dxa"/>
        </w:tblCellMar>
        <w:tblLook w:val="04A0" w:firstRow="1" w:lastRow="0" w:firstColumn="1" w:lastColumn="0" w:noHBand="0" w:noVBand="1"/>
      </w:tblPr>
      <w:tblGrid>
        <w:gridCol w:w="1266"/>
        <w:gridCol w:w="852"/>
        <w:gridCol w:w="7228"/>
      </w:tblGrid>
      <w:tr w:rsidR="00242004" w:rsidRPr="00242004" w:rsidTr="00242004">
        <w:tc>
          <w:tcPr>
            <w:tcW w:w="677" w:type="pct"/>
            <w:tcBorders>
              <w:top w:val="single" w:sz="8" w:space="0" w:color="auto"/>
              <w:left w:val="single" w:sz="8" w:space="0" w:color="auto"/>
              <w:bottom w:val="single" w:sz="8" w:space="0" w:color="auto"/>
              <w:right w:val="single" w:sz="8" w:space="0" w:color="auto"/>
            </w:tcBorders>
            <w:shd w:val="clear" w:color="auto" w:fill="FFFFFF"/>
            <w:tcMar>
              <w:top w:w="0" w:type="dxa"/>
              <w:left w:w="105" w:type="dxa"/>
              <w:bottom w:w="0" w:type="dxa"/>
              <w:right w:w="105" w:type="dxa"/>
            </w:tcMar>
            <w:vAlign w:val="center"/>
            <w:hideMark/>
          </w:tcPr>
          <w:p w:rsidR="00242004" w:rsidRPr="00242004" w:rsidRDefault="00242004" w:rsidP="00242004">
            <w:pPr>
              <w:spacing w:before="100" w:beforeAutospacing="1" w:line="360" w:lineRule="atLeast"/>
              <w:jc w:val="center"/>
              <w:rPr>
                <w:color w:val="000000"/>
              </w:rPr>
            </w:pPr>
            <w:r w:rsidRPr="00242004">
              <w:rPr>
                <w:rFonts w:ascii="Arial" w:hAnsi="Arial" w:cs="Arial"/>
                <w:b/>
                <w:bCs/>
                <w:color w:val="000000"/>
                <w:sz w:val="18"/>
                <w:szCs w:val="18"/>
              </w:rPr>
              <w:t>SS</w:t>
            </w:r>
            <w:r w:rsidRPr="00242004">
              <w:rPr>
                <w:rFonts w:ascii="Arial" w:hAnsi="Arial" w:cs="Arial"/>
                <w:b/>
                <w:bCs/>
                <w:color w:val="000000"/>
                <w:sz w:val="18"/>
                <w:szCs w:val="18"/>
                <w:vertAlign w:val="subscript"/>
              </w:rPr>
              <w:t>REF</w:t>
            </w:r>
            <w:r w:rsidRPr="00242004">
              <w:rPr>
                <w:rFonts w:ascii="Arial" w:hAnsi="Arial" w:cs="Arial"/>
                <w:b/>
                <w:bCs/>
                <w:color w:val="000000"/>
                <w:sz w:val="18"/>
                <w:szCs w:val="18"/>
              </w:rPr>
              <w:t>(MHz)</w:t>
            </w:r>
          </w:p>
        </w:tc>
        <w:tc>
          <w:tcPr>
            <w:tcW w:w="456" w:type="pct"/>
            <w:tcBorders>
              <w:top w:val="single" w:sz="8" w:space="0" w:color="000000"/>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242004" w:rsidRDefault="00242004" w:rsidP="00242004">
            <w:pPr>
              <w:spacing w:before="100" w:beforeAutospacing="1" w:line="360" w:lineRule="atLeast"/>
              <w:jc w:val="center"/>
              <w:rPr>
                <w:color w:val="000000"/>
              </w:rPr>
            </w:pPr>
            <w:r w:rsidRPr="00242004">
              <w:rPr>
                <w:rFonts w:ascii="Arial" w:hAnsi="Arial" w:cs="Arial"/>
                <w:b/>
                <w:bCs/>
                <w:color w:val="000000"/>
                <w:sz w:val="18"/>
                <w:szCs w:val="18"/>
              </w:rPr>
              <w:t>GSCN</w:t>
            </w:r>
          </w:p>
        </w:tc>
        <w:tc>
          <w:tcPr>
            <w:tcW w:w="3867" w:type="pct"/>
            <w:tcBorders>
              <w:top w:val="single" w:sz="8" w:space="0" w:color="000000"/>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242004" w:rsidRDefault="00242004" w:rsidP="00242004">
            <w:pPr>
              <w:spacing w:before="100" w:beforeAutospacing="1" w:line="360" w:lineRule="atLeast"/>
              <w:jc w:val="center"/>
              <w:rPr>
                <w:color w:val="000000"/>
              </w:rPr>
            </w:pPr>
            <w:r w:rsidRPr="00242004">
              <w:rPr>
                <w:rFonts w:ascii="Arial" w:hAnsi="Arial" w:cs="Arial"/>
                <w:b/>
                <w:bCs/>
                <w:color w:val="000000"/>
                <w:sz w:val="18"/>
                <w:szCs w:val="18"/>
              </w:rPr>
              <w:t>Note</w:t>
            </w:r>
          </w:p>
        </w:tc>
      </w:tr>
      <w:tr w:rsidR="0082046D" w:rsidRPr="0082046D" w:rsidTr="00242004">
        <w:trPr>
          <w:trHeight w:val="780"/>
        </w:trPr>
        <w:tc>
          <w:tcPr>
            <w:tcW w:w="677" w:type="pct"/>
            <w:tcBorders>
              <w:top w:val="nil"/>
              <w:left w:val="single" w:sz="8" w:space="0" w:color="000000"/>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920.73</w:t>
            </w:r>
          </w:p>
        </w:tc>
        <w:tc>
          <w:tcPr>
            <w:tcW w:w="456" w:type="pct"/>
            <w:tcBorders>
              <w:top w:val="nil"/>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41637</w:t>
            </w:r>
          </w:p>
        </w:tc>
        <w:tc>
          <w:tcPr>
            <w:tcW w:w="3867" w:type="pct"/>
            <w:tcBorders>
              <w:top w:val="nil"/>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Only applicable for 12 PRB transmission bandwidth configuration within</w:t>
            </w:r>
            <w:r w:rsidR="005D0060">
              <w:rPr>
                <w:sz w:val="18"/>
                <w:szCs w:val="18"/>
              </w:rPr>
              <w:t xml:space="preserve"> 3 MHz channel with punctured </w:t>
            </w:r>
            <w:r w:rsidRPr="0082046D">
              <w:rPr>
                <w:sz w:val="18"/>
                <w:szCs w:val="18"/>
              </w:rPr>
              <w:t>PBCH defined in TS 38.211 [6] clause 7.4.3.1.</w:t>
            </w:r>
          </w:p>
        </w:tc>
      </w:tr>
      <w:tr w:rsidR="0082046D" w:rsidRPr="0082046D" w:rsidTr="00242004">
        <w:tc>
          <w:tcPr>
            <w:tcW w:w="677" w:type="pct"/>
            <w:tcBorders>
              <w:top w:val="nil"/>
              <w:left w:val="single" w:sz="8" w:space="0" w:color="000000"/>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921.45</w:t>
            </w:r>
          </w:p>
        </w:tc>
        <w:tc>
          <w:tcPr>
            <w:tcW w:w="456" w:type="pct"/>
            <w:tcBorders>
              <w:top w:val="nil"/>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41638</w:t>
            </w:r>
          </w:p>
        </w:tc>
        <w:tc>
          <w:tcPr>
            <w:tcW w:w="3867" w:type="pct"/>
            <w:tcBorders>
              <w:top w:val="nil"/>
              <w:left w:val="nil"/>
              <w:bottom w:val="single" w:sz="8" w:space="0" w:color="000000"/>
              <w:right w:val="single" w:sz="8" w:space="0" w:color="000000"/>
            </w:tcBorders>
            <w:shd w:val="clear" w:color="auto" w:fill="FFFFFF"/>
            <w:tcMar>
              <w:top w:w="0" w:type="dxa"/>
              <w:left w:w="105" w:type="dxa"/>
              <w:bottom w:w="0" w:type="dxa"/>
              <w:right w:w="105" w:type="dxa"/>
            </w:tcMar>
            <w:vAlign w:val="center"/>
            <w:hideMark/>
          </w:tcPr>
          <w:p w:rsidR="00242004" w:rsidRPr="0082046D" w:rsidRDefault="00242004" w:rsidP="00242004">
            <w:pPr>
              <w:spacing w:before="100" w:beforeAutospacing="1" w:line="360" w:lineRule="atLeast"/>
              <w:jc w:val="center"/>
            </w:pPr>
            <w:r w:rsidRPr="0082046D">
              <w:rPr>
                <w:sz w:val="18"/>
                <w:szCs w:val="18"/>
              </w:rPr>
              <w:t>Only applicable for 20 PRB transmission bandwidth configuration within 5</w:t>
            </w:r>
            <w:r w:rsidR="005D0060">
              <w:rPr>
                <w:sz w:val="18"/>
                <w:szCs w:val="18"/>
              </w:rPr>
              <w:t xml:space="preserve"> MHz channel with unpunctured </w:t>
            </w:r>
            <w:r w:rsidRPr="0082046D">
              <w:rPr>
                <w:sz w:val="18"/>
                <w:szCs w:val="18"/>
              </w:rPr>
              <w:t>PBCH defined in TS 38.211 [6] clause 7.4.3.1.</w:t>
            </w:r>
          </w:p>
        </w:tc>
      </w:tr>
    </w:tbl>
    <w:p w:rsidR="00242004" w:rsidRDefault="00242004" w:rsidP="00161E0A">
      <w:pPr>
        <w:rPr>
          <w:rFonts w:eastAsiaTheme="minorEastAsia"/>
          <w:sz w:val="21"/>
          <w:szCs w:val="21"/>
        </w:rPr>
      </w:pPr>
    </w:p>
    <w:p w:rsidR="00242004" w:rsidRDefault="00242004" w:rsidP="00242004">
      <w:pPr>
        <w:jc w:val="both"/>
        <w:rPr>
          <w:rFonts w:eastAsiaTheme="minorEastAsia"/>
          <w:sz w:val="21"/>
          <w:szCs w:val="21"/>
        </w:rPr>
      </w:pPr>
      <w:r>
        <w:rPr>
          <w:rFonts w:eastAsiaTheme="minorEastAsia"/>
          <w:sz w:val="21"/>
          <w:szCs w:val="21"/>
        </w:rPr>
        <w:t>During the offline discussion of previous meeting</w:t>
      </w:r>
      <w:r w:rsidR="005D0060">
        <w:rPr>
          <w:rFonts w:eastAsiaTheme="minorEastAsia"/>
          <w:sz w:val="21"/>
          <w:szCs w:val="21"/>
        </w:rPr>
        <w:t>s, companies pointed</w:t>
      </w:r>
      <w:r>
        <w:rPr>
          <w:rFonts w:eastAsiaTheme="minorEastAsia"/>
          <w:sz w:val="21"/>
          <w:szCs w:val="21"/>
        </w:rPr>
        <w:t xml:space="preserve"> out the issue on the cell barring check upon receiving the SIB1</w:t>
      </w:r>
      <w:r w:rsidR="005D0060">
        <w:rPr>
          <w:rFonts w:eastAsiaTheme="minorEastAsia" w:hint="eastAsia"/>
          <w:sz w:val="21"/>
          <w:szCs w:val="21"/>
        </w:rPr>
        <w:t>.</w:t>
      </w:r>
      <w:r w:rsidR="005D0060" w:rsidRPr="005D0060">
        <w:rPr>
          <w:rFonts w:eastAsiaTheme="minorEastAsia"/>
          <w:sz w:val="21"/>
          <w:szCs w:val="21"/>
        </w:rPr>
        <w:t>Thus, most companies suggested to</w:t>
      </w:r>
      <w:r w:rsidR="005D0060">
        <w:rPr>
          <w:rFonts w:eastAsiaTheme="minorEastAsia"/>
          <w:sz w:val="21"/>
          <w:szCs w:val="21"/>
        </w:rPr>
        <w:t xml:space="preserve"> </w:t>
      </w:r>
      <w:r w:rsidRPr="00242004">
        <w:rPr>
          <w:rFonts w:eastAsiaTheme="minorEastAsia"/>
          <w:sz w:val="21"/>
          <w:szCs w:val="21"/>
        </w:rPr>
        <w:t>configure carrierBandwidth to 15 PRB (for the 12 PRB case) and 25 PRB (for the 20 PRB</w:t>
      </w:r>
      <w:r w:rsidRPr="00242004">
        <w:rPr>
          <w:rFonts w:eastAsiaTheme="minorEastAsia" w:hint="eastAsia"/>
          <w:sz w:val="21"/>
          <w:szCs w:val="21"/>
        </w:rPr>
        <w:t>) case</w:t>
      </w:r>
      <w:r w:rsidRPr="00242004">
        <w:rPr>
          <w:rFonts w:eastAsiaTheme="minorEastAsia"/>
          <w:sz w:val="21"/>
          <w:szCs w:val="21"/>
        </w:rPr>
        <w:t xml:space="preserve"> respectively in SIB1</w:t>
      </w:r>
      <w:r>
        <w:rPr>
          <w:rFonts w:eastAsiaTheme="minorEastAsia"/>
          <w:sz w:val="21"/>
          <w:szCs w:val="21"/>
        </w:rPr>
        <w:t>.</w:t>
      </w:r>
    </w:p>
    <w:p w:rsidR="0082046D" w:rsidRDefault="0082046D" w:rsidP="00242004">
      <w:pPr>
        <w:jc w:val="both"/>
        <w:rPr>
          <w:rFonts w:eastAsiaTheme="minorEastAsia"/>
          <w:sz w:val="21"/>
          <w:szCs w:val="21"/>
        </w:rPr>
      </w:pPr>
    </w:p>
    <w:tbl>
      <w:tblPr>
        <w:tblStyle w:val="af"/>
        <w:tblW w:w="0" w:type="auto"/>
        <w:tblLook w:val="04A0" w:firstRow="1" w:lastRow="0" w:firstColumn="1" w:lastColumn="0" w:noHBand="0" w:noVBand="1"/>
      </w:tblPr>
      <w:tblGrid>
        <w:gridCol w:w="9350"/>
      </w:tblGrid>
      <w:tr w:rsidR="00242004" w:rsidTr="00242004">
        <w:tc>
          <w:tcPr>
            <w:tcW w:w="9350" w:type="dxa"/>
          </w:tcPr>
          <w:p w:rsidR="00242004" w:rsidRDefault="00242004" w:rsidP="00242004">
            <w:r>
              <w:rPr>
                <w:rFonts w:ascii="Times-Roman" w:hAnsi="Times-Roman"/>
                <w:color w:val="000000"/>
                <w:sz w:val="20"/>
                <w:szCs w:val="20"/>
              </w:rPr>
              <w:t xml:space="preserve">2&gt; if the UE supports a downlink channel bandwidth with a maximum transmission bandwidth configuration </w:t>
            </w:r>
          </w:p>
          <w:p w:rsidR="00242004" w:rsidRDefault="00242004" w:rsidP="00242004">
            <w:r>
              <w:rPr>
                <w:rFonts w:ascii="Times-Roman" w:hAnsi="Times-Roman"/>
                <w:color w:val="000000"/>
                <w:sz w:val="20"/>
                <w:szCs w:val="20"/>
              </w:rPr>
              <w:t xml:space="preserve">(see TS 38.101-1 [15], TS 38.101-2 [39], and TS 38.101-5 [75]) which </w:t>
            </w:r>
          </w:p>
          <w:p w:rsidR="00242004" w:rsidRDefault="00242004" w:rsidP="00242004">
            <w:r>
              <w:rPr>
                <w:rFonts w:ascii="Times-Roman" w:hAnsi="Times-Roman"/>
                <w:color w:val="000000"/>
                <w:sz w:val="20"/>
                <w:szCs w:val="20"/>
              </w:rPr>
              <w:lastRenderedPageBreak/>
              <w:t xml:space="preserve">   - is smaller than or equal to the </w:t>
            </w:r>
            <w:r>
              <w:rPr>
                <w:rFonts w:ascii="Times-Italic" w:hAnsi="Times-Italic"/>
                <w:i/>
                <w:iCs/>
                <w:color w:val="000000"/>
                <w:sz w:val="20"/>
                <w:szCs w:val="20"/>
              </w:rPr>
              <w:t>carrierBandwidth</w:t>
            </w:r>
            <w:r>
              <w:rPr>
                <w:rFonts w:ascii="Times-Roman" w:hAnsi="Times-Roman"/>
                <w:color w:val="000000"/>
                <w:sz w:val="20"/>
                <w:szCs w:val="20"/>
              </w:rPr>
              <w:t xml:space="preserve"> (indicated in </w:t>
            </w:r>
            <w:r>
              <w:rPr>
                <w:rFonts w:ascii="Times-Italic" w:hAnsi="Times-Italic"/>
                <w:i/>
                <w:iCs/>
                <w:color w:val="000000"/>
                <w:sz w:val="20"/>
                <w:szCs w:val="20"/>
              </w:rPr>
              <w:t>downlinkConfigCommon</w:t>
            </w:r>
            <w:r>
              <w:rPr>
                <w:rFonts w:ascii="Times-Roman" w:hAnsi="Times-Roman"/>
                <w:color w:val="000000"/>
                <w:sz w:val="20"/>
                <w:szCs w:val="20"/>
              </w:rPr>
              <w:t xml:space="preserve"> for the SCS of the </w:t>
            </w:r>
          </w:p>
          <w:p w:rsidR="00242004" w:rsidRDefault="00242004" w:rsidP="00242004">
            <w:pPr>
              <w:rPr>
                <w:rFonts w:ascii="Times-Roman" w:hAnsi="Times-Roman"/>
                <w:color w:val="000000"/>
                <w:sz w:val="20"/>
                <w:szCs w:val="20"/>
              </w:rPr>
            </w:pPr>
            <w:r>
              <w:rPr>
                <w:rFonts w:ascii="Times-Roman" w:hAnsi="Times-Roman"/>
                <w:color w:val="000000"/>
                <w:sz w:val="20"/>
                <w:szCs w:val="20"/>
              </w:rPr>
              <w:t xml:space="preserve">    initial downlink BWP </w:t>
            </w:r>
          </w:p>
          <w:p w:rsidR="00242004" w:rsidRDefault="00242004" w:rsidP="00242004">
            <w:pPr>
              <w:rPr>
                <w:rFonts w:ascii="Times-Roman" w:hAnsi="Times-Roman"/>
                <w:color w:val="000000"/>
                <w:sz w:val="20"/>
                <w:szCs w:val="20"/>
              </w:rPr>
            </w:pPr>
            <w:r>
              <w:rPr>
                <w:rFonts w:ascii="Times-Roman" w:hAnsi="Times-Roman"/>
                <w:color w:val="000000"/>
                <w:sz w:val="20"/>
                <w:szCs w:val="20"/>
              </w:rPr>
              <w:t xml:space="preserve">  …..</w:t>
            </w:r>
          </w:p>
          <w:p w:rsidR="00242004" w:rsidRDefault="00242004" w:rsidP="00242004">
            <w:r>
              <w:rPr>
                <w:rFonts w:ascii="Times-Roman" w:hAnsi="Times-Roman"/>
                <w:color w:val="000000"/>
                <w:sz w:val="20"/>
                <w:szCs w:val="20"/>
              </w:rPr>
              <w:t xml:space="preserve">2&gt; else: </w:t>
            </w:r>
          </w:p>
          <w:p w:rsidR="00242004" w:rsidRDefault="00242004" w:rsidP="00242004">
            <w:r>
              <w:rPr>
                <w:rFonts w:ascii="Times-Roman" w:hAnsi="Times-Roman"/>
                <w:color w:val="000000"/>
                <w:sz w:val="20"/>
                <w:szCs w:val="20"/>
              </w:rPr>
              <w:t xml:space="preserve">  3&gt; consider the cell as barred in accordance with TS 38.304 [20]; and </w:t>
            </w:r>
          </w:p>
          <w:p w:rsidR="00242004" w:rsidRDefault="00242004" w:rsidP="00161E0A">
            <w:pPr>
              <w:rPr>
                <w:rFonts w:eastAsiaTheme="minorEastAsia"/>
                <w:sz w:val="21"/>
                <w:szCs w:val="21"/>
              </w:rPr>
            </w:pPr>
          </w:p>
        </w:tc>
      </w:tr>
    </w:tbl>
    <w:p w:rsidR="00242004" w:rsidRDefault="00242004" w:rsidP="00161E0A">
      <w:pPr>
        <w:rPr>
          <w:rFonts w:eastAsiaTheme="minorEastAsia"/>
          <w:sz w:val="21"/>
          <w:szCs w:val="21"/>
        </w:rPr>
      </w:pPr>
    </w:p>
    <w:p w:rsidR="00242004" w:rsidRPr="005D0060" w:rsidRDefault="00242004" w:rsidP="00161E0A">
      <w:pPr>
        <w:rPr>
          <w:rFonts w:eastAsiaTheme="minorEastAsia"/>
          <w:sz w:val="21"/>
          <w:szCs w:val="21"/>
        </w:rPr>
      </w:pPr>
      <w:r>
        <w:rPr>
          <w:rFonts w:eastAsiaTheme="minorEastAsia"/>
          <w:sz w:val="21"/>
          <w:szCs w:val="21"/>
        </w:rPr>
        <w:t xml:space="preserve">On this suggestion, some companies also point out that the </w:t>
      </w:r>
      <w:r w:rsidRPr="005D0060">
        <w:rPr>
          <w:rFonts w:eastAsiaTheme="minorEastAsia"/>
          <w:i/>
          <w:sz w:val="21"/>
          <w:szCs w:val="21"/>
        </w:rPr>
        <w:t xml:space="preserve">carrierBandwidth </w:t>
      </w:r>
      <w:r w:rsidRPr="005D0060">
        <w:rPr>
          <w:rFonts w:eastAsiaTheme="minorEastAsia"/>
          <w:sz w:val="21"/>
          <w:szCs w:val="21"/>
        </w:rPr>
        <w:t>configured in the SIB1 was also used in the RAN1 spec, e.g.</w:t>
      </w:r>
    </w:p>
    <w:p w:rsidR="0082046D" w:rsidRDefault="0082046D" w:rsidP="00161E0A">
      <w:pPr>
        <w:rPr>
          <w:rFonts w:ascii="Times-Italic" w:hAnsi="Times-Italic"/>
          <w:iCs/>
          <w:color w:val="000000"/>
          <w:sz w:val="20"/>
          <w:szCs w:val="20"/>
        </w:rPr>
      </w:pPr>
    </w:p>
    <w:tbl>
      <w:tblPr>
        <w:tblStyle w:val="af"/>
        <w:tblW w:w="0" w:type="auto"/>
        <w:tblLook w:val="04A0" w:firstRow="1" w:lastRow="0" w:firstColumn="1" w:lastColumn="0" w:noHBand="0" w:noVBand="1"/>
      </w:tblPr>
      <w:tblGrid>
        <w:gridCol w:w="9350"/>
      </w:tblGrid>
      <w:tr w:rsidR="00242004" w:rsidTr="00242004">
        <w:tc>
          <w:tcPr>
            <w:tcW w:w="9350" w:type="dxa"/>
          </w:tcPr>
          <w:p w:rsidR="00242004" w:rsidRDefault="00242004" w:rsidP="00242004">
            <w:pPr>
              <w:spacing w:after="180"/>
              <w:rPr>
                <w:rFonts w:eastAsia="宋体"/>
                <w:color w:val="000000"/>
                <w:szCs w:val="20"/>
              </w:rPr>
            </w:pPr>
            <w:r>
              <w:rPr>
                <w:rFonts w:eastAsia="宋体" w:hint="eastAsia"/>
                <w:color w:val="000000"/>
                <w:szCs w:val="20"/>
                <w:lang w:eastAsia="zh-CN"/>
              </w:rPr>
              <w:t>TS</w:t>
            </w:r>
            <w:r>
              <w:rPr>
                <w:rFonts w:eastAsia="宋体"/>
                <w:color w:val="000000"/>
                <w:szCs w:val="20"/>
              </w:rPr>
              <w:t xml:space="preserve"> 38.211</w:t>
            </w:r>
          </w:p>
          <w:p w:rsidR="00242004" w:rsidRDefault="00242004" w:rsidP="00242004">
            <w:pPr>
              <w:keepNext/>
              <w:keepLines/>
              <w:numPr>
                <w:ilvl w:val="0"/>
                <w:numId w:val="45"/>
              </w:numPr>
              <w:spacing w:before="120" w:after="180"/>
              <w:ind w:left="1134" w:hanging="1134"/>
              <w:outlineLvl w:val="2"/>
              <w:rPr>
                <w:rFonts w:ascii="Arial" w:hAnsi="Arial"/>
                <w:sz w:val="28"/>
                <w:szCs w:val="20"/>
              </w:rPr>
            </w:pPr>
            <w:bookmarkStart w:id="2" w:name="_Toc19796383"/>
            <w:bookmarkStart w:id="3" w:name="_Toc26459609"/>
            <w:bookmarkStart w:id="4" w:name="_Toc29230253"/>
            <w:bookmarkStart w:id="5" w:name="_Toc36026512"/>
            <w:bookmarkStart w:id="6" w:name="_Toc45107351"/>
            <w:bookmarkStart w:id="7" w:name="_Toc51774020"/>
            <w:bookmarkStart w:id="8" w:name="_Toc161686570"/>
            <w:r w:rsidRPr="00057D48">
              <w:rPr>
                <w:rFonts w:ascii="Arial" w:hAnsi="Arial"/>
                <w:sz w:val="28"/>
                <w:szCs w:val="20"/>
              </w:rPr>
              <w:t>4.4.2</w:t>
            </w:r>
            <w:r w:rsidRPr="00057D48">
              <w:rPr>
                <w:rFonts w:ascii="Arial" w:hAnsi="Arial"/>
                <w:sz w:val="28"/>
                <w:szCs w:val="20"/>
              </w:rPr>
              <w:tab/>
              <w:t>Resource grid</w:t>
            </w:r>
            <w:bookmarkEnd w:id="2"/>
            <w:bookmarkEnd w:id="3"/>
            <w:bookmarkEnd w:id="4"/>
            <w:bookmarkEnd w:id="5"/>
            <w:bookmarkEnd w:id="6"/>
            <w:bookmarkEnd w:id="7"/>
            <w:bookmarkEnd w:id="8"/>
          </w:p>
          <w:p w:rsidR="00242004" w:rsidRDefault="00242004" w:rsidP="00242004">
            <w:pPr>
              <w:spacing w:after="180"/>
              <w:rPr>
                <w:rFonts w:eastAsia="宋体"/>
                <w:color w:val="000000"/>
                <w:szCs w:val="20"/>
              </w:rPr>
            </w:pPr>
            <w:r>
              <w:rPr>
                <w:rFonts w:eastAsia="宋体"/>
                <w:color w:val="000000"/>
                <w:szCs w:val="20"/>
              </w:rPr>
              <w:t>&lt; -- Omitted -- &gt;</w:t>
            </w:r>
          </w:p>
          <w:p w:rsidR="00242004" w:rsidRPr="00057D48" w:rsidRDefault="00242004" w:rsidP="00242004">
            <w:pPr>
              <w:spacing w:after="180"/>
              <w:rPr>
                <w:sz w:val="20"/>
                <w:szCs w:val="20"/>
              </w:rPr>
            </w:pPr>
            <w:r w:rsidRPr="00057D48">
              <w:rPr>
                <w:sz w:val="20"/>
                <w:szCs w:val="20"/>
              </w:rPr>
              <w:t xml:space="preserve">For uplink and downlink, </w:t>
            </w:r>
            <w:r w:rsidRPr="00057D48">
              <w:rPr>
                <w:sz w:val="20"/>
                <w:szCs w:val="20"/>
                <w:highlight w:val="yellow"/>
              </w:rPr>
              <w:t xml:space="preserve">the carrier bandwidth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rFonts w:ascii="Cambria Math" w:hAnsi="Cambria Math"/>
                      <w:sz w:val="20"/>
                      <w:szCs w:val="20"/>
                      <w:highlight w:val="yellow"/>
                    </w:rPr>
                    <m:t>grid</m:t>
                  </m:r>
                </m:sub>
                <m:sup>
                  <m:r>
                    <m:rPr>
                      <m:nor/>
                    </m:rPr>
                    <w:rPr>
                      <w:rFonts w:ascii="Cambria Math" w:hAnsi="Cambria Math"/>
                      <w:sz w:val="20"/>
                      <w:szCs w:val="20"/>
                      <w:highlight w:val="yellow"/>
                    </w:rPr>
                    <m:t>size</m:t>
                  </m:r>
                  <m:r>
                    <w:rPr>
                      <w:rFonts w:ascii="Cambria Math" w:hAnsi="Cambria Math"/>
                      <w:sz w:val="20"/>
                      <w:szCs w:val="20"/>
                      <w:highlight w:val="yellow"/>
                    </w:rPr>
                    <m:t>,μ</m:t>
                  </m:r>
                </m:sup>
              </m:sSubSup>
            </m:oMath>
            <w:r w:rsidRPr="00057D48">
              <w:rPr>
                <w:sz w:val="20"/>
                <w:szCs w:val="20"/>
                <w:highlight w:val="yellow"/>
              </w:rPr>
              <w:t xml:space="preserve"> for subcarrier spacing configuration </w:t>
            </w:r>
            <m:oMath>
              <m:r>
                <w:rPr>
                  <w:rFonts w:ascii="Cambria Math" w:hAnsi="Cambria Math"/>
                  <w:sz w:val="20"/>
                  <w:szCs w:val="20"/>
                  <w:highlight w:val="yellow"/>
                </w:rPr>
                <m:t>μ</m:t>
              </m:r>
            </m:oMath>
            <w:r w:rsidRPr="00057D48">
              <w:rPr>
                <w:sz w:val="20"/>
                <w:szCs w:val="20"/>
                <w:highlight w:val="yellow"/>
              </w:rPr>
              <w:t xml:space="preserve"> is given by the higher-layer parameter </w:t>
            </w:r>
            <w:r w:rsidRPr="00057D48">
              <w:rPr>
                <w:i/>
                <w:sz w:val="20"/>
                <w:szCs w:val="20"/>
                <w:highlight w:val="yellow"/>
              </w:rPr>
              <w:t>carrierBandwidth</w:t>
            </w:r>
            <w:r w:rsidRPr="00057D48">
              <w:rPr>
                <w:sz w:val="20"/>
                <w:szCs w:val="20"/>
              </w:rPr>
              <w:t xml:space="preserve"> in the </w:t>
            </w:r>
            <w:r w:rsidRPr="00057D48">
              <w:rPr>
                <w:i/>
                <w:sz w:val="20"/>
                <w:szCs w:val="20"/>
              </w:rPr>
              <w:t>SCS-SpecificCarrier</w:t>
            </w:r>
            <w:r w:rsidRPr="00057D48">
              <w:rPr>
                <w:sz w:val="20"/>
                <w:szCs w:val="20"/>
              </w:rPr>
              <w:t xml:space="preserve"> IE. The starting position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grid</m:t>
                  </m:r>
                </m:sub>
                <m:sup>
                  <m:r>
                    <m:rPr>
                      <m:nor/>
                    </m:rPr>
                    <w:rPr>
                      <w:rFonts w:ascii="Cambria Math" w:hAnsi="Cambria Math"/>
                      <w:sz w:val="20"/>
                      <w:szCs w:val="20"/>
                    </w:rPr>
                    <m:t>start</m:t>
                  </m:r>
                  <m:r>
                    <w:rPr>
                      <w:rFonts w:ascii="Cambria Math" w:hAnsi="Cambria Math"/>
                      <w:sz w:val="20"/>
                      <w:szCs w:val="20"/>
                    </w:rPr>
                    <m:t>,μ</m:t>
                  </m:r>
                </m:sup>
              </m:sSubSup>
            </m:oMath>
            <w:r w:rsidRPr="00057D48">
              <w:rPr>
                <w:sz w:val="20"/>
                <w:szCs w:val="20"/>
              </w:rPr>
              <w:t xml:space="preserve"> for subcarrier spacing configuration </w:t>
            </w:r>
            <m:oMath>
              <m:r>
                <w:rPr>
                  <w:rFonts w:ascii="Cambria Math" w:hAnsi="Cambria Math"/>
                  <w:sz w:val="20"/>
                  <w:szCs w:val="20"/>
                </w:rPr>
                <m:t>μ</m:t>
              </m:r>
            </m:oMath>
            <w:r w:rsidRPr="00057D48">
              <w:rPr>
                <w:sz w:val="20"/>
                <w:szCs w:val="20"/>
              </w:rPr>
              <w:t xml:space="preserve"> is given by the higher-layer parameter </w:t>
            </w:r>
            <w:r w:rsidRPr="00057D48">
              <w:rPr>
                <w:i/>
                <w:sz w:val="20"/>
                <w:szCs w:val="20"/>
              </w:rPr>
              <w:t>offsetToCarrier</w:t>
            </w:r>
            <w:r w:rsidRPr="00057D48">
              <w:rPr>
                <w:sz w:val="20"/>
                <w:szCs w:val="20"/>
              </w:rPr>
              <w:t xml:space="preserve"> in the </w:t>
            </w:r>
            <w:r w:rsidRPr="00057D48">
              <w:rPr>
                <w:i/>
                <w:sz w:val="20"/>
                <w:szCs w:val="20"/>
              </w:rPr>
              <w:t>SCS-SpecificCarrier</w:t>
            </w:r>
            <w:r w:rsidRPr="00057D48">
              <w:rPr>
                <w:sz w:val="20"/>
                <w:szCs w:val="20"/>
              </w:rPr>
              <w:t xml:space="preserve"> IE.</w:t>
            </w:r>
          </w:p>
          <w:p w:rsidR="00242004" w:rsidRPr="00057D48" w:rsidRDefault="00242004" w:rsidP="00242004">
            <w:pPr>
              <w:spacing w:after="180"/>
              <w:rPr>
                <w:sz w:val="20"/>
                <w:szCs w:val="20"/>
              </w:rPr>
            </w:pPr>
            <w:r w:rsidRPr="00057D48">
              <w:rPr>
                <w:sz w:val="20"/>
                <w:szCs w:val="20"/>
              </w:rPr>
              <w:t>The frequency location of a subcarrier refers to the center frequency of that subcarrier.</w:t>
            </w:r>
          </w:p>
          <w:p w:rsidR="00242004" w:rsidRDefault="00242004" w:rsidP="00242004">
            <w:pPr>
              <w:spacing w:after="180"/>
              <w:rPr>
                <w:rFonts w:eastAsia="宋体"/>
                <w:color w:val="000000"/>
                <w:szCs w:val="20"/>
              </w:rPr>
            </w:pPr>
            <w:r>
              <w:rPr>
                <w:rFonts w:eastAsia="宋体"/>
                <w:color w:val="000000"/>
                <w:szCs w:val="20"/>
              </w:rPr>
              <w:t>&lt; -- Omitted -- &gt;</w:t>
            </w:r>
          </w:p>
          <w:p w:rsidR="00242004" w:rsidRPr="00B96E26" w:rsidRDefault="00242004" w:rsidP="00242004">
            <w:pPr>
              <w:keepNext/>
              <w:keepLines/>
              <w:numPr>
                <w:ilvl w:val="0"/>
                <w:numId w:val="45"/>
              </w:numPr>
              <w:spacing w:before="120" w:after="180"/>
              <w:ind w:left="1134" w:hanging="1134"/>
              <w:outlineLvl w:val="2"/>
              <w:rPr>
                <w:rFonts w:ascii="Arial" w:hAnsi="Arial"/>
                <w:sz w:val="28"/>
                <w:szCs w:val="20"/>
              </w:rPr>
            </w:pPr>
            <w:bookmarkStart w:id="9" w:name="_Toc19796407"/>
            <w:bookmarkStart w:id="10" w:name="_Toc26459633"/>
            <w:bookmarkStart w:id="11" w:name="_Toc29230281"/>
            <w:bookmarkStart w:id="12" w:name="_Toc36026540"/>
            <w:bookmarkStart w:id="13" w:name="_Toc45107379"/>
            <w:bookmarkStart w:id="14" w:name="_Toc51774048"/>
            <w:bookmarkStart w:id="15" w:name="_Toc161686600"/>
            <w:r w:rsidRPr="00B96E26">
              <w:rPr>
                <w:rFonts w:ascii="Arial" w:hAnsi="Arial"/>
                <w:sz w:val="28"/>
                <w:szCs w:val="20"/>
              </w:rPr>
              <w:t>5.3.1</w:t>
            </w:r>
            <w:r w:rsidRPr="00B96E26">
              <w:rPr>
                <w:rFonts w:ascii="Arial" w:hAnsi="Arial"/>
                <w:sz w:val="28"/>
                <w:szCs w:val="20"/>
              </w:rPr>
              <w:tab/>
              <w:t>OFDM baseband signal generation for all channels except PRACH</w:t>
            </w:r>
            <w:bookmarkEnd w:id="9"/>
            <w:bookmarkEnd w:id="10"/>
            <w:r w:rsidRPr="00B96E26">
              <w:rPr>
                <w:rFonts w:ascii="Arial" w:hAnsi="Arial"/>
                <w:sz w:val="28"/>
                <w:szCs w:val="20"/>
              </w:rPr>
              <w:t xml:space="preserve"> and RIM-RS</w:t>
            </w:r>
            <w:bookmarkEnd w:id="11"/>
            <w:bookmarkEnd w:id="12"/>
            <w:bookmarkEnd w:id="13"/>
            <w:bookmarkEnd w:id="14"/>
            <w:bookmarkEnd w:id="15"/>
          </w:p>
          <w:p w:rsidR="00242004" w:rsidRPr="00B96E26" w:rsidRDefault="00242004" w:rsidP="00242004">
            <w:pPr>
              <w:spacing w:after="180"/>
              <w:rPr>
                <w:sz w:val="20"/>
                <w:szCs w:val="20"/>
              </w:rPr>
            </w:pPr>
            <w:r w:rsidRPr="00B96E26">
              <w:rPr>
                <w:sz w:val="20"/>
                <w:szCs w:val="20"/>
              </w:rPr>
              <w:t xml:space="preserve">The time-continuous signal </w:t>
            </w:r>
            <w:r w:rsidRPr="00B96E26">
              <w:rPr>
                <w:position w:val="-12"/>
                <w:sz w:val="20"/>
                <w:szCs w:val="20"/>
                <w:lang w:val="en-US" w:eastAsia="zh-CN"/>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75pt" o:ole="">
                  <v:imagedata r:id="rId9" o:title=""/>
                </v:shape>
                <o:OLEObject Type="Embed" ProgID="Equation.3" ShapeID="_x0000_i1025" DrawAspect="Content" ObjectID="_1800447220" r:id="rId10"/>
              </w:object>
            </w:r>
            <w:r w:rsidRPr="00B96E26">
              <w:rPr>
                <w:sz w:val="20"/>
                <w:szCs w:val="20"/>
              </w:rPr>
              <w:t xml:space="preserve"> on antenna port </w:t>
            </w:r>
            <m:oMath>
              <m:r>
                <w:rPr>
                  <w:rFonts w:ascii="Cambria Math" w:hAnsi="Cambria Math"/>
                  <w:sz w:val="20"/>
                  <w:szCs w:val="20"/>
                </w:rPr>
                <m:t>p</m:t>
              </m:r>
            </m:oMath>
            <w:r w:rsidRPr="00B96E26">
              <w:rPr>
                <w:sz w:val="20"/>
                <w:szCs w:val="20"/>
              </w:rPr>
              <w:t xml:space="preserve"> and subcarrier spacing configuration </w:t>
            </w:r>
            <m:oMath>
              <m:r>
                <w:rPr>
                  <w:rFonts w:ascii="Cambria Math" w:hAnsi="Cambria Math"/>
                  <w:sz w:val="20"/>
                  <w:szCs w:val="20"/>
                </w:rPr>
                <m:t>μ</m:t>
              </m:r>
            </m:oMath>
            <w:r w:rsidRPr="00B96E26">
              <w:rPr>
                <w:sz w:val="20"/>
                <w:szCs w:val="20"/>
              </w:rPr>
              <w:t xml:space="preserve"> for OFDM symbol </w:t>
            </w:r>
            <w:r w:rsidRPr="00B96E26">
              <w:rPr>
                <w:position w:val="-14"/>
                <w:sz w:val="20"/>
                <w:szCs w:val="20"/>
                <w:lang w:val="en-US" w:eastAsia="zh-CN"/>
              </w:rPr>
              <w:object w:dxaOrig="2400" w:dyaOrig="380">
                <v:shape id="_x0000_i1026" type="#_x0000_t75" style="width:120.75pt;height:18.75pt" o:ole="">
                  <v:imagedata r:id="rId11" o:title=""/>
                </v:shape>
                <o:OLEObject Type="Embed" ProgID="Equation.DSMT4" ShapeID="_x0000_i1026" DrawAspect="Content" ObjectID="_1800447221" r:id="rId12"/>
              </w:object>
            </w:r>
            <w:r w:rsidRPr="00B96E26">
              <w:rPr>
                <w:sz w:val="20"/>
                <w:szCs w:val="20"/>
              </w:rPr>
              <w:t xml:space="preserve"> in a subframe for any physical channel or signal except PRACH is defined by</w:t>
            </w:r>
          </w:p>
          <w:p w:rsidR="00242004" w:rsidRPr="00B96E26" w:rsidRDefault="00242004" w:rsidP="00242004">
            <w:pPr>
              <w:keepLines/>
              <w:tabs>
                <w:tab w:val="center" w:pos="4536"/>
                <w:tab w:val="right" w:pos="9072"/>
              </w:tabs>
              <w:spacing w:after="180"/>
              <w:rPr>
                <w:noProof/>
                <w:sz w:val="20"/>
                <w:szCs w:val="20"/>
              </w:rPr>
            </w:pPr>
            <w:r w:rsidRPr="00B96E26">
              <w:rPr>
                <w:noProof/>
                <w:sz w:val="20"/>
                <w:szCs w:val="20"/>
              </w:rPr>
              <w:tab/>
            </w:r>
            <m:oMath>
              <m:sSubSup>
                <m:sSubSupPr>
                  <m:ctrlPr>
                    <w:rPr>
                      <w:rFonts w:ascii="Cambria Math" w:eastAsia="Calibri" w:hAnsi="Cambria Math"/>
                      <w:i/>
                    </w:rPr>
                  </m:ctrlPr>
                </m:sSubSupPr>
                <m:e>
                  <m:r>
                    <w:rPr>
                      <w:rFonts w:ascii="Cambria Math" w:hAnsi="Cambria Math"/>
                      <w:noProof/>
                      <w:sz w:val="20"/>
                      <w:szCs w:val="20"/>
                    </w:rPr>
                    <m:t>s</m:t>
                  </m:r>
                </m:e>
                <m:sub>
                  <m:r>
                    <w:rPr>
                      <w:rFonts w:ascii="Cambria Math" w:hAnsi="Cambria Math"/>
                      <w:noProof/>
                      <w:sz w:val="20"/>
                      <w:szCs w:val="20"/>
                    </w:rPr>
                    <m:t>l</m:t>
                  </m:r>
                </m:sub>
                <m:sup>
                  <m:r>
                    <w:rPr>
                      <w:rFonts w:ascii="Cambria Math" w:hAnsi="Cambria Math"/>
                      <w:noProof/>
                      <w:sz w:val="20"/>
                      <w:szCs w:val="20"/>
                      <w:lang w:val="en-US"/>
                    </w:rPr>
                    <m:t>(</m:t>
                  </m:r>
                  <m:r>
                    <w:rPr>
                      <w:rFonts w:ascii="Cambria Math" w:hAnsi="Cambria Math"/>
                      <w:noProof/>
                      <w:sz w:val="20"/>
                      <w:szCs w:val="20"/>
                    </w:rPr>
                    <m:t>p</m:t>
                  </m:r>
                  <m:r>
                    <w:rPr>
                      <w:rFonts w:ascii="Cambria Math" w:hAnsi="Cambria Math"/>
                      <w:noProof/>
                      <w:sz w:val="20"/>
                      <w:szCs w:val="20"/>
                      <w:lang w:val="en-US"/>
                    </w:rPr>
                    <m:t>,</m:t>
                  </m:r>
                  <m:r>
                    <w:rPr>
                      <w:rFonts w:ascii="Cambria Math" w:hAnsi="Cambria Math"/>
                      <w:noProof/>
                      <w:sz w:val="20"/>
                      <w:szCs w:val="20"/>
                    </w:rPr>
                    <m:t>μ</m:t>
                  </m:r>
                  <m:r>
                    <w:rPr>
                      <w:rFonts w:ascii="Cambria Math" w:hAnsi="Cambria Math"/>
                      <w:noProof/>
                      <w:sz w:val="20"/>
                      <w:szCs w:val="20"/>
                      <w:lang w:val="en-US"/>
                    </w:rPr>
                    <m:t>)</m:t>
                  </m:r>
                </m:sup>
              </m:sSubSup>
              <m:d>
                <m:dPr>
                  <m:ctrlPr>
                    <w:rPr>
                      <w:rFonts w:ascii="Cambria Math" w:eastAsia="Calibri" w:hAnsi="Cambria Math"/>
                      <w:i/>
                    </w:rPr>
                  </m:ctrlPr>
                </m:dPr>
                <m:e>
                  <m:r>
                    <w:rPr>
                      <w:rFonts w:ascii="Cambria Math" w:hAnsi="Cambria Math"/>
                      <w:noProof/>
                      <w:sz w:val="20"/>
                      <w:szCs w:val="20"/>
                    </w:rPr>
                    <m:t>t</m:t>
                  </m:r>
                </m:e>
              </m:d>
              <m:r>
                <m:rPr>
                  <m:aln/>
                </m:rPr>
                <w:rPr>
                  <w:rFonts w:ascii="Cambria Math" w:hAnsi="Cambria Math"/>
                  <w:noProof/>
                  <w:sz w:val="20"/>
                  <w:szCs w:val="20"/>
                  <w:lang w:val="en-US"/>
                </w:rPr>
                <m:t>=</m:t>
              </m:r>
              <m:d>
                <m:dPr>
                  <m:begChr m:val="{"/>
                  <m:endChr m:val=""/>
                  <m:ctrlPr>
                    <w:rPr>
                      <w:rFonts w:ascii="Cambria Math" w:eastAsia="Calibri" w:hAnsi="Cambria Math"/>
                      <w:i/>
                    </w:rPr>
                  </m:ctrlPr>
                </m:dPr>
                <m:e>
                  <m:m>
                    <m:mPr>
                      <m:mcs>
                        <m:mc>
                          <m:mcPr>
                            <m:count m:val="2"/>
                            <m:mcJc m:val="left"/>
                          </m:mcPr>
                        </m:mc>
                      </m:mcs>
                      <m:ctrlPr>
                        <w:rPr>
                          <w:rFonts w:ascii="Cambria Math" w:eastAsia="Calibri" w:hAnsi="Cambria Math"/>
                          <w:i/>
                        </w:rPr>
                      </m:ctrlPr>
                    </m:mPr>
                    <m:mr>
                      <m:e>
                        <m:sSubSup>
                          <m:sSubSupPr>
                            <m:ctrlPr>
                              <w:rPr>
                                <w:rFonts w:ascii="Cambria Math" w:eastAsia="Calibri" w:hAnsi="Cambria Math"/>
                                <w:i/>
                              </w:rPr>
                            </m:ctrlPr>
                          </m:sSubSupPr>
                          <m:e>
                            <m:acc>
                              <m:accPr>
                                <m:chr m:val="̅"/>
                                <m:ctrlPr>
                                  <w:rPr>
                                    <w:rFonts w:ascii="Cambria Math" w:eastAsia="Calibri" w:hAnsi="Cambria Math"/>
                                    <w:i/>
                                  </w:rPr>
                                </m:ctrlPr>
                              </m:accPr>
                              <m:e>
                                <m:r>
                                  <w:rPr>
                                    <w:rFonts w:ascii="Cambria Math" w:hAnsi="Cambria Math"/>
                                    <w:noProof/>
                                    <w:sz w:val="20"/>
                                    <w:szCs w:val="20"/>
                                  </w:rPr>
                                  <m:t>s</m:t>
                                </m:r>
                              </m:e>
                            </m:acc>
                          </m:e>
                          <m:sub>
                            <m:r>
                              <w:rPr>
                                <w:rFonts w:ascii="Cambria Math" w:hAnsi="Cambria Math"/>
                                <w:noProof/>
                                <w:sz w:val="20"/>
                                <w:szCs w:val="20"/>
                              </w:rPr>
                              <m:t>l</m:t>
                            </m:r>
                          </m:sub>
                          <m:sup>
                            <m:r>
                              <w:rPr>
                                <w:rFonts w:ascii="Cambria Math" w:hAnsi="Cambria Math"/>
                                <w:noProof/>
                                <w:sz w:val="20"/>
                                <w:szCs w:val="20"/>
                                <w:lang w:val="en-US"/>
                              </w:rPr>
                              <m:t>(</m:t>
                            </m:r>
                            <m:r>
                              <w:rPr>
                                <w:rFonts w:ascii="Cambria Math" w:hAnsi="Cambria Math"/>
                                <w:noProof/>
                                <w:sz w:val="20"/>
                                <w:szCs w:val="20"/>
                              </w:rPr>
                              <m:t>p</m:t>
                            </m:r>
                            <m:r>
                              <w:rPr>
                                <w:rFonts w:ascii="Cambria Math" w:hAnsi="Cambria Math"/>
                                <w:noProof/>
                                <w:sz w:val="20"/>
                                <w:szCs w:val="20"/>
                                <w:lang w:val="en-US"/>
                              </w:rPr>
                              <m:t>,</m:t>
                            </m:r>
                            <m:r>
                              <w:rPr>
                                <w:rFonts w:ascii="Cambria Math" w:hAnsi="Cambria Math"/>
                                <w:noProof/>
                                <w:sz w:val="20"/>
                                <w:szCs w:val="20"/>
                              </w:rPr>
                              <m:t>μ</m:t>
                            </m:r>
                            <m:r>
                              <w:rPr>
                                <w:rFonts w:ascii="Cambria Math" w:hAnsi="Cambria Math"/>
                                <w:noProof/>
                                <w:sz w:val="20"/>
                                <w:szCs w:val="20"/>
                                <w:lang w:val="en-US"/>
                              </w:rPr>
                              <m:t>)</m:t>
                            </m:r>
                          </m:sup>
                        </m:sSubSup>
                        <m:d>
                          <m:dPr>
                            <m:ctrlPr>
                              <w:rPr>
                                <w:rFonts w:ascii="Cambria Math" w:eastAsia="Calibri" w:hAnsi="Cambria Math"/>
                                <w:i/>
                              </w:rPr>
                            </m:ctrlPr>
                          </m:dPr>
                          <m:e>
                            <m:r>
                              <w:rPr>
                                <w:rFonts w:ascii="Cambria Math" w:hAnsi="Cambria Math"/>
                                <w:noProof/>
                                <w:sz w:val="20"/>
                                <w:szCs w:val="20"/>
                              </w:rPr>
                              <m:t>t</m:t>
                            </m:r>
                          </m:e>
                        </m:d>
                      </m:e>
                      <m:e>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r>
                          <w:rPr>
                            <w:rFonts w:ascii="Cambria Math" w:hAnsi="Cambria Math"/>
                            <w:noProof/>
                            <w:sz w:val="20"/>
                            <w:szCs w:val="20"/>
                            <w:lang w:val="en-US"/>
                          </w:rPr>
                          <m:t>≤</m:t>
                        </m:r>
                        <m:r>
                          <w:rPr>
                            <w:rFonts w:ascii="Cambria Math" w:hAnsi="Cambria Math"/>
                            <w:noProof/>
                            <w:sz w:val="20"/>
                            <w:szCs w:val="20"/>
                          </w:rPr>
                          <m:t>t</m:t>
                        </m:r>
                        <m:r>
                          <w:rPr>
                            <w:rFonts w:ascii="Cambria Math" w:hAnsi="Cambria Math"/>
                            <w:noProof/>
                            <w:sz w:val="20"/>
                            <w:szCs w:val="20"/>
                            <w:lang w:val="en-US"/>
                          </w:rPr>
                          <m:t>&lt;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symb,</m:t>
                            </m:r>
                            <m:r>
                              <w:rPr>
                                <w:rFonts w:ascii="Cambria Math" w:eastAsia="Batang" w:hAnsi="Cambria Math"/>
                                <w:noProof/>
                                <w:sz w:val="20"/>
                                <w:szCs w:val="20"/>
                              </w:rPr>
                              <m:t>l</m:t>
                            </m:r>
                          </m:sub>
                          <m:sup>
                            <m:r>
                              <w:rPr>
                                <w:rFonts w:ascii="Cambria Math" w:eastAsia="Batang" w:hAnsi="Cambria Math"/>
                                <w:noProof/>
                                <w:sz w:val="20"/>
                                <w:szCs w:val="20"/>
                              </w:rPr>
                              <m:t>μ</m:t>
                            </m:r>
                          </m:sup>
                        </m:sSubSup>
                      </m:e>
                    </m:mr>
                    <m:mr>
                      <m:e>
                        <m:r>
                          <w:rPr>
                            <w:rFonts w:ascii="Cambria Math" w:hAnsi="Cambria Math"/>
                            <w:noProof/>
                            <w:sz w:val="20"/>
                            <w:szCs w:val="20"/>
                            <w:lang w:val="en-US"/>
                          </w:rPr>
                          <m:t>0</m:t>
                        </m:r>
                      </m:e>
                      <m:e>
                        <m:r>
                          <m:rPr>
                            <m:nor/>
                          </m:rPr>
                          <w:rPr>
                            <w:rFonts w:ascii="Cambria Math" w:hAnsi="Cambria Math"/>
                            <w:noProof/>
                            <w:sz w:val="20"/>
                            <w:szCs w:val="20"/>
                            <w:lang w:val="en-US"/>
                          </w:rPr>
                          <m:t>otherwise</m:t>
                        </m:r>
                      </m:e>
                    </m:mr>
                  </m:m>
                </m:e>
              </m:d>
              <m:r>
                <m:rPr>
                  <m:sty m:val="p"/>
                </m:rPr>
                <w:rPr>
                  <w:rFonts w:ascii="Cambria Math" w:eastAsia="等线" w:hAnsi="Cambria Math"/>
                  <w:noProof/>
                  <w:sz w:val="20"/>
                  <w:szCs w:val="20"/>
                  <w:lang w:val="en-US"/>
                </w:rPr>
                <w:br/>
              </m:r>
            </m:oMath>
            <m:oMathPara>
              <m:oMath>
                <m:sSubSup>
                  <m:sSubSupPr>
                    <m:ctrlPr>
                      <w:rPr>
                        <w:rFonts w:ascii="Cambria Math" w:eastAsia="Calibri" w:hAnsi="Cambria Math"/>
                        <w:i/>
                      </w:rPr>
                    </m:ctrlPr>
                  </m:sSubSupPr>
                  <m:e>
                    <m:acc>
                      <m:accPr>
                        <m:chr m:val="̅"/>
                        <m:ctrlPr>
                          <w:rPr>
                            <w:rFonts w:ascii="Cambria Math" w:eastAsia="Calibri" w:hAnsi="Cambria Math"/>
                            <w:i/>
                          </w:rPr>
                        </m:ctrlPr>
                      </m:accPr>
                      <m:e>
                        <m:r>
                          <w:rPr>
                            <w:rFonts w:ascii="Cambria Math" w:hAnsi="Cambria Math"/>
                            <w:noProof/>
                            <w:sz w:val="20"/>
                            <w:szCs w:val="20"/>
                          </w:rPr>
                          <m:t>s</m:t>
                        </m:r>
                      </m:e>
                    </m:acc>
                  </m:e>
                  <m:sub>
                    <m:r>
                      <w:rPr>
                        <w:rFonts w:ascii="Cambria Math" w:hAnsi="Cambria Math"/>
                        <w:noProof/>
                        <w:sz w:val="20"/>
                        <w:szCs w:val="20"/>
                      </w:rPr>
                      <m:t>l</m:t>
                    </m:r>
                  </m:sub>
                  <m:sup>
                    <m:r>
                      <w:rPr>
                        <w:rFonts w:ascii="Cambria Math" w:hAnsi="Cambria Math"/>
                        <w:noProof/>
                        <w:sz w:val="20"/>
                        <w:szCs w:val="20"/>
                        <w:lang w:val="en-US"/>
                      </w:rPr>
                      <m:t>(</m:t>
                    </m:r>
                    <m:r>
                      <w:rPr>
                        <w:rFonts w:ascii="Cambria Math" w:hAnsi="Cambria Math"/>
                        <w:noProof/>
                        <w:sz w:val="20"/>
                        <w:szCs w:val="20"/>
                      </w:rPr>
                      <m:t>p</m:t>
                    </m:r>
                    <m:r>
                      <w:rPr>
                        <w:rFonts w:ascii="Cambria Math" w:hAnsi="Cambria Math"/>
                        <w:noProof/>
                        <w:sz w:val="20"/>
                        <w:szCs w:val="20"/>
                        <w:lang w:val="en-US"/>
                      </w:rPr>
                      <m:t>,</m:t>
                    </m:r>
                    <m:r>
                      <w:rPr>
                        <w:rFonts w:ascii="Cambria Math" w:hAnsi="Cambria Math"/>
                        <w:noProof/>
                        <w:sz w:val="20"/>
                        <w:szCs w:val="20"/>
                      </w:rPr>
                      <m:t>μ</m:t>
                    </m:r>
                    <m:r>
                      <w:rPr>
                        <w:rFonts w:ascii="Cambria Math" w:hAnsi="Cambria Math"/>
                        <w:noProof/>
                        <w:sz w:val="20"/>
                        <w:szCs w:val="20"/>
                        <w:lang w:val="en-US"/>
                      </w:rPr>
                      <m:t>)</m:t>
                    </m:r>
                  </m:sup>
                </m:sSubSup>
                <m:d>
                  <m:dPr>
                    <m:ctrlPr>
                      <w:rPr>
                        <w:rFonts w:ascii="Cambria Math" w:eastAsia="Calibri" w:hAnsi="Cambria Math"/>
                        <w:i/>
                      </w:rPr>
                    </m:ctrlPr>
                  </m:dPr>
                  <m:e>
                    <m:r>
                      <w:rPr>
                        <w:rFonts w:ascii="Cambria Math" w:hAnsi="Cambria Math"/>
                        <w:noProof/>
                        <w:sz w:val="20"/>
                        <w:szCs w:val="20"/>
                      </w:rPr>
                      <m:t>t</m:t>
                    </m:r>
                  </m:e>
                </m:d>
                <m:r>
                  <m:rPr>
                    <m:aln/>
                  </m:rPr>
                  <w:rPr>
                    <w:rFonts w:ascii="Cambria Math" w:eastAsia="等线" w:hAnsi="Cambria Math"/>
                    <w:noProof/>
                    <w:sz w:val="20"/>
                    <w:szCs w:val="20"/>
                    <w:lang w:val="en-US"/>
                  </w:rPr>
                  <m:t>=</m:t>
                </m:r>
                <m:nary>
                  <m:naryPr>
                    <m:chr m:val="∑"/>
                    <m:limLoc m:val="undOvr"/>
                    <m:ctrlPr>
                      <w:rPr>
                        <w:rFonts w:ascii="Cambria Math" w:eastAsia="等线" w:hAnsi="Cambria Math"/>
                        <w:i/>
                      </w:rPr>
                    </m:ctrlPr>
                  </m:naryPr>
                  <m:sub>
                    <m:r>
                      <w:rPr>
                        <w:rFonts w:ascii="Cambria Math" w:eastAsia="等线" w:hAnsi="Cambria Math"/>
                        <w:noProof/>
                        <w:sz w:val="20"/>
                        <w:szCs w:val="20"/>
                      </w:rPr>
                      <m:t>k</m:t>
                    </m:r>
                    <m:r>
                      <w:rPr>
                        <w:rFonts w:ascii="Cambria Math" w:eastAsia="等线" w:hAnsi="Cambria Math"/>
                        <w:noProof/>
                        <w:sz w:val="20"/>
                        <w:szCs w:val="20"/>
                        <w:lang w:val="en-US"/>
                      </w:rPr>
                      <m:t>=0</m:t>
                    </m:r>
                  </m:sub>
                  <m:sup>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size</m:t>
                        </m:r>
                        <m:r>
                          <w:rPr>
                            <w:rFonts w:ascii="Cambria Math" w:eastAsia="等线" w:hAnsi="Cambria Math"/>
                            <w:noProof/>
                            <w:sz w:val="20"/>
                            <w:szCs w:val="20"/>
                            <w:lang w:val="en-US"/>
                          </w:rPr>
                          <m:t>,</m:t>
                        </m:r>
                        <m:r>
                          <w:rPr>
                            <w:rFonts w:ascii="Cambria Math" w:eastAsia="等线" w:hAnsi="Cambria Math"/>
                            <w:noProof/>
                            <w:sz w:val="20"/>
                            <w:szCs w:val="20"/>
                          </w:rPr>
                          <m:t>μ</m:t>
                        </m:r>
                      </m:sup>
                    </m:sSubSup>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r>
                      <w:rPr>
                        <w:rFonts w:ascii="Cambria Math" w:eastAsia="等线" w:hAnsi="Cambria Math"/>
                        <w:noProof/>
                        <w:sz w:val="20"/>
                        <w:szCs w:val="20"/>
                        <w:lang w:val="en-US"/>
                      </w:rPr>
                      <m:t>-1</m:t>
                    </m:r>
                  </m:sup>
                  <m:e>
                    <m:sSubSup>
                      <m:sSubSupPr>
                        <m:ctrlPr>
                          <w:rPr>
                            <w:rFonts w:ascii="Cambria Math" w:eastAsia="等线" w:hAnsi="Cambria Math"/>
                            <w:i/>
                          </w:rPr>
                        </m:ctrlPr>
                      </m:sSubSupPr>
                      <m:e>
                        <m:r>
                          <w:rPr>
                            <w:rFonts w:ascii="Cambria Math" w:eastAsia="等线" w:hAnsi="Cambria Math"/>
                            <w:noProof/>
                            <w:sz w:val="20"/>
                            <w:szCs w:val="20"/>
                          </w:rPr>
                          <m:t>a</m:t>
                        </m:r>
                      </m:e>
                      <m:sub>
                        <m:r>
                          <w:rPr>
                            <w:rFonts w:ascii="Cambria Math" w:eastAsia="等线" w:hAnsi="Cambria Math"/>
                            <w:noProof/>
                            <w:sz w:val="20"/>
                            <w:szCs w:val="20"/>
                          </w:rPr>
                          <m:t>k</m:t>
                        </m:r>
                        <m:r>
                          <w:rPr>
                            <w:rFonts w:ascii="Cambria Math" w:eastAsia="等线" w:hAnsi="Cambria Math"/>
                            <w:noProof/>
                            <w:sz w:val="20"/>
                            <w:szCs w:val="20"/>
                            <w:lang w:val="en-US"/>
                          </w:rPr>
                          <m:t>,</m:t>
                        </m:r>
                        <m:r>
                          <w:rPr>
                            <w:rFonts w:ascii="Cambria Math" w:eastAsia="等线" w:hAnsi="Cambria Math"/>
                            <w:noProof/>
                            <w:sz w:val="20"/>
                            <w:szCs w:val="20"/>
                          </w:rPr>
                          <m:t>l</m:t>
                        </m:r>
                      </m:sub>
                      <m:sup>
                        <m:r>
                          <w:rPr>
                            <w:rFonts w:ascii="Cambria Math" w:hAnsi="Cambria Math"/>
                            <w:noProof/>
                            <w:sz w:val="20"/>
                            <w:szCs w:val="20"/>
                            <w:lang w:val="en-US"/>
                          </w:rPr>
                          <m:t>(</m:t>
                        </m:r>
                        <m:r>
                          <w:rPr>
                            <w:rFonts w:ascii="Cambria Math" w:hAnsi="Cambria Math"/>
                            <w:noProof/>
                            <w:sz w:val="20"/>
                            <w:szCs w:val="20"/>
                          </w:rPr>
                          <m:t>p</m:t>
                        </m:r>
                        <m:r>
                          <w:rPr>
                            <w:rFonts w:ascii="Cambria Math" w:hAnsi="Cambria Math"/>
                            <w:noProof/>
                            <w:sz w:val="20"/>
                            <w:szCs w:val="20"/>
                            <w:lang w:val="en-US"/>
                          </w:rPr>
                          <m:t>,</m:t>
                        </m:r>
                        <m:r>
                          <w:rPr>
                            <w:rFonts w:ascii="Cambria Math" w:hAnsi="Cambria Math"/>
                            <w:noProof/>
                            <w:sz w:val="20"/>
                            <w:szCs w:val="20"/>
                          </w:rPr>
                          <m:t>μ</m:t>
                        </m:r>
                        <m:r>
                          <w:rPr>
                            <w:rFonts w:ascii="Cambria Math" w:hAnsi="Cambria Math"/>
                            <w:noProof/>
                            <w:sz w:val="20"/>
                            <w:szCs w:val="20"/>
                            <w:lang w:val="en-US"/>
                          </w:rPr>
                          <m:t>)</m:t>
                        </m:r>
                      </m:sup>
                    </m:sSubSup>
                    <m:sSup>
                      <m:sSupPr>
                        <m:ctrlPr>
                          <w:rPr>
                            <w:rFonts w:ascii="Cambria Math" w:eastAsia="等线" w:hAnsi="Cambria Math"/>
                            <w:i/>
                          </w:rPr>
                        </m:ctrlPr>
                      </m:sSupPr>
                      <m:e>
                        <m:r>
                          <w:rPr>
                            <w:rFonts w:ascii="Cambria Math" w:eastAsia="等线" w:hAnsi="Cambria Math"/>
                            <w:noProof/>
                            <w:sz w:val="20"/>
                            <w:szCs w:val="20"/>
                          </w:rPr>
                          <m:t>e</m:t>
                        </m:r>
                      </m:e>
                      <m:sup>
                        <m:r>
                          <w:rPr>
                            <w:rFonts w:ascii="Cambria Math" w:eastAsia="等线" w:hAnsi="Cambria Math"/>
                            <w:noProof/>
                            <w:sz w:val="20"/>
                            <w:szCs w:val="20"/>
                          </w:rPr>
                          <m:t>j</m:t>
                        </m:r>
                        <m:r>
                          <w:rPr>
                            <w:rFonts w:ascii="Cambria Math" w:eastAsia="等线" w:hAnsi="Cambria Math"/>
                            <w:noProof/>
                            <w:sz w:val="20"/>
                            <w:szCs w:val="20"/>
                            <w:lang w:val="en-US"/>
                          </w:rPr>
                          <m:t>2</m:t>
                        </m:r>
                        <m:r>
                          <w:rPr>
                            <w:rFonts w:ascii="Cambria Math" w:eastAsia="等线" w:hAnsi="Cambria Math"/>
                            <w:noProof/>
                            <w:sz w:val="20"/>
                            <w:szCs w:val="20"/>
                          </w:rPr>
                          <m:t>π</m:t>
                        </m:r>
                        <m:d>
                          <m:dPr>
                            <m:ctrlPr>
                              <w:rPr>
                                <w:rFonts w:ascii="Cambria Math" w:eastAsia="等线" w:hAnsi="Cambria Math"/>
                                <w:i/>
                              </w:rPr>
                            </m:ctrlPr>
                          </m:dPr>
                          <m:e>
                            <m:r>
                              <w:rPr>
                                <w:rFonts w:ascii="Cambria Math" w:eastAsia="等线" w:hAnsi="Cambria Math"/>
                                <w:noProof/>
                                <w:sz w:val="20"/>
                                <w:szCs w:val="20"/>
                              </w:rPr>
                              <m:t>k</m:t>
                            </m:r>
                            <m:r>
                              <w:rPr>
                                <w:rFonts w:ascii="Cambria Math" w:eastAsia="等线" w:hAnsi="Cambria Math"/>
                                <w:noProof/>
                                <w:sz w:val="20"/>
                                <w:szCs w:val="20"/>
                                <w:lang w:val="en-US"/>
                              </w:rPr>
                              <m:t>+</m:t>
                            </m:r>
                            <m:sSubSup>
                              <m:sSubSupPr>
                                <m:ctrlPr>
                                  <w:rPr>
                                    <w:rFonts w:ascii="Cambria Math" w:eastAsia="等线" w:hAnsi="Cambria Math"/>
                                    <w:i/>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r>
                              <w:rPr>
                                <w:rFonts w:ascii="Cambria Math" w:eastAsia="等线" w:hAnsi="Cambria Math"/>
                                <w:noProof/>
                                <w:sz w:val="20"/>
                                <w:szCs w:val="20"/>
                                <w:lang w:val="en-US"/>
                              </w:rPr>
                              <m:t>-</m:t>
                            </m:r>
                            <m:f>
                              <m:fPr>
                                <m:type m:val="lin"/>
                                <m:ctrlPr>
                                  <w:rPr>
                                    <w:rFonts w:ascii="Cambria Math" w:eastAsia="等线" w:hAnsi="Cambria Math"/>
                                    <w:i/>
                                    <w:lang w:val="en-US"/>
                                  </w:rPr>
                                </m:ctrlPr>
                              </m:fPr>
                              <m:num>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size</m:t>
                                    </m:r>
                                    <m:r>
                                      <w:rPr>
                                        <w:rFonts w:ascii="Cambria Math" w:eastAsia="等线" w:hAnsi="Cambria Math"/>
                                        <w:noProof/>
                                        <w:sz w:val="20"/>
                                        <w:szCs w:val="20"/>
                                        <w:lang w:val="en-US"/>
                                      </w:rPr>
                                      <m:t>,</m:t>
                                    </m:r>
                                    <m:r>
                                      <w:rPr>
                                        <w:rFonts w:ascii="Cambria Math" w:eastAsia="等线" w:hAnsi="Cambria Math"/>
                                        <w:noProof/>
                                        <w:sz w:val="20"/>
                                        <w:szCs w:val="20"/>
                                      </w:rPr>
                                      <m:t>μ</m:t>
                                    </m:r>
                                  </m:sup>
                                </m:sSubSup>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num>
                              <m:den>
                                <m:r>
                                  <w:rPr>
                                    <w:rFonts w:ascii="Cambria Math" w:eastAsia="等线" w:hAnsi="Cambria Math"/>
                                    <w:noProof/>
                                    <w:sz w:val="20"/>
                                    <w:szCs w:val="20"/>
                                    <w:lang w:val="en-US"/>
                                  </w:rPr>
                                  <m:t>2</m:t>
                                </m:r>
                              </m:den>
                            </m:f>
                          </m:e>
                        </m:d>
                        <m:r>
                          <m:rPr>
                            <m:sty m:val="p"/>
                          </m:rPr>
                          <w:rPr>
                            <w:rFonts w:ascii="Cambria Math" w:eastAsia="等线" w:hAnsi="Cambria Math"/>
                            <w:noProof/>
                            <w:sz w:val="20"/>
                            <w:szCs w:val="20"/>
                          </w:rPr>
                          <m:t>Δ</m:t>
                        </m:r>
                        <m:r>
                          <w:rPr>
                            <w:rFonts w:ascii="Cambria Math" w:eastAsia="等线" w:hAnsi="Cambria Math"/>
                            <w:noProof/>
                            <w:sz w:val="20"/>
                            <w:szCs w:val="20"/>
                          </w:rPr>
                          <m:t>f</m:t>
                        </m:r>
                        <m:d>
                          <m:dPr>
                            <m:ctrlPr>
                              <w:rPr>
                                <w:rFonts w:ascii="Cambria Math" w:eastAsia="等线" w:hAnsi="Cambria Math"/>
                                <w:i/>
                              </w:rPr>
                            </m:ctrlPr>
                          </m:dPr>
                          <m:e>
                            <m:r>
                              <w:rPr>
                                <w:rFonts w:ascii="Cambria Math" w:eastAsia="等线" w:hAnsi="Cambria Math"/>
                                <w:noProof/>
                                <w:sz w:val="20"/>
                                <w:szCs w:val="20"/>
                              </w:rPr>
                              <m:t>t</m:t>
                            </m:r>
                            <m:r>
                              <w:rPr>
                                <w:rFonts w:ascii="Cambria Math" w:eastAsia="等线" w:hAnsi="Cambria Math"/>
                                <w:noProof/>
                                <w:sz w:val="20"/>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CP</m:t>
                                </m:r>
                                <m:r>
                                  <w:rPr>
                                    <w:rFonts w:ascii="Cambria Math" w:eastAsia="Batang" w:hAnsi="Cambria Math"/>
                                    <w:noProof/>
                                    <w:sz w:val="18"/>
                                    <w:szCs w:val="20"/>
                                    <w:lang w:val="en-US"/>
                                  </w:rPr>
                                  <m:t>,</m:t>
                                </m:r>
                                <m:r>
                                  <w:rPr>
                                    <w:rFonts w:ascii="Cambria Math" w:eastAsia="Batang" w:hAnsi="Cambria Math"/>
                                    <w:noProof/>
                                    <w:sz w:val="18"/>
                                    <w:szCs w:val="20"/>
                                  </w:rPr>
                                  <m:t>l</m:t>
                                </m:r>
                              </m:sub>
                              <m:sup>
                                <m:r>
                                  <w:rPr>
                                    <w:rFonts w:ascii="Cambria Math" w:eastAsia="Batang" w:hAnsi="Cambria Math"/>
                                    <w:noProof/>
                                    <w:sz w:val="18"/>
                                    <w:szCs w:val="20"/>
                                  </w:rPr>
                                  <m:t>μ</m:t>
                                </m:r>
                              </m:sup>
                            </m:sSubSup>
                            <m:sSub>
                              <m:sSubPr>
                                <m:ctrlPr>
                                  <w:rPr>
                                    <w:rFonts w:ascii="Cambria Math" w:eastAsia="Batang" w:hAnsi="Cambria Math"/>
                                    <w:i/>
                                    <w:sz w:val="18"/>
                                  </w:rPr>
                                </m:ctrlPr>
                              </m:sSubPr>
                              <m:e>
                                <m:r>
                                  <w:rPr>
                                    <w:rFonts w:ascii="Cambria Math" w:eastAsia="Batang" w:hAnsi="Cambria Math"/>
                                    <w:noProof/>
                                    <w:sz w:val="18"/>
                                    <w:szCs w:val="20"/>
                                  </w:rPr>
                                  <m:t>T</m:t>
                                </m:r>
                              </m:e>
                              <m:sub>
                                <m:r>
                                  <m:rPr>
                                    <m:nor/>
                                  </m:rPr>
                                  <w:rPr>
                                    <w:rFonts w:ascii="Cambria Math" w:eastAsia="Batang" w:hAnsi="Cambria Math"/>
                                    <w:noProof/>
                                    <w:sz w:val="18"/>
                                    <w:szCs w:val="20"/>
                                    <w:lang w:val="en-US"/>
                                  </w:rPr>
                                  <m:t>c</m:t>
                                </m:r>
                              </m:sub>
                            </m:sSub>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start,</m:t>
                                </m:r>
                                <m:r>
                                  <w:rPr>
                                    <w:rFonts w:ascii="Cambria Math" w:eastAsia="Batang" w:hAnsi="Cambria Math"/>
                                    <w:noProof/>
                                    <w:sz w:val="20"/>
                                    <w:szCs w:val="20"/>
                                  </w:rPr>
                                  <m:t>l</m:t>
                                </m:r>
                              </m:sub>
                              <m:sup>
                                <m:r>
                                  <w:rPr>
                                    <w:rFonts w:ascii="Cambria Math" w:eastAsia="Batang" w:hAnsi="Cambria Math"/>
                                    <w:noProof/>
                                    <w:sz w:val="20"/>
                                    <w:szCs w:val="20"/>
                                  </w:rPr>
                                  <m:t>μ</m:t>
                                </m:r>
                              </m:sup>
                            </m:sSubSup>
                          </m:e>
                        </m:d>
                      </m:sup>
                    </m:sSup>
                  </m:e>
                </m:nary>
                <m:r>
                  <m:rPr>
                    <m:sty m:val="p"/>
                  </m:rPr>
                  <w:rPr>
                    <w:rFonts w:ascii="Cambria Math" w:eastAsia="等线" w:hAnsi="Cambria Math"/>
                    <w:noProof/>
                    <w:sz w:val="20"/>
                    <w:szCs w:val="20"/>
                    <w:lang w:val="en-US"/>
                  </w:rPr>
                  <w:br/>
                </m:r>
              </m:oMath>
              <m:oMath>
                <m:sSubSup>
                  <m:sSubSupPr>
                    <m:ctrlPr>
                      <w:rPr>
                        <w:rFonts w:ascii="Cambria Math" w:eastAsia="等线" w:hAnsi="Cambria Math"/>
                        <w:i/>
                      </w:rPr>
                    </m:ctrlPr>
                  </m:sSubSupPr>
                  <m:e>
                    <m:r>
                      <w:rPr>
                        <w:rFonts w:ascii="Cambria Math" w:eastAsia="等线" w:hAnsi="Cambria Math"/>
                        <w:noProof/>
                        <w:sz w:val="20"/>
                        <w:szCs w:val="20"/>
                      </w:rPr>
                      <m:t>k</m:t>
                    </m:r>
                  </m:e>
                  <m:sub>
                    <m:r>
                      <w:rPr>
                        <w:rFonts w:ascii="Cambria Math" w:eastAsia="等线" w:hAnsi="Cambria Math"/>
                        <w:noProof/>
                        <w:sz w:val="20"/>
                        <w:szCs w:val="20"/>
                        <w:lang w:val="en-US"/>
                      </w:rPr>
                      <m:t>0</m:t>
                    </m:r>
                  </m:sub>
                  <m:sup>
                    <m:r>
                      <w:rPr>
                        <w:rFonts w:ascii="Cambria Math" w:eastAsia="等线" w:hAnsi="Cambria Math"/>
                        <w:noProof/>
                        <w:sz w:val="20"/>
                        <w:szCs w:val="20"/>
                      </w:rPr>
                      <m:t>μ</m:t>
                    </m:r>
                  </m:sup>
                </m:sSubSup>
                <m:r>
                  <m:rPr>
                    <m:aln/>
                  </m:rPr>
                  <w:rPr>
                    <w:rFonts w:ascii="Cambria Math" w:eastAsia="等线" w:hAnsi="Cambria Math"/>
                    <w:noProof/>
                    <w:sz w:val="20"/>
                    <w:szCs w:val="20"/>
                    <w:lang w:val="en-US"/>
                  </w:rPr>
                  <m:t>=</m:t>
                </m:r>
                <m:d>
                  <m:dPr>
                    <m:ctrlPr>
                      <w:rPr>
                        <w:rFonts w:ascii="Cambria Math" w:eastAsia="等线" w:hAnsi="Cambria Math"/>
                        <w:i/>
                        <w:lang w:val="en-US"/>
                      </w:rPr>
                    </m:ctrlPr>
                  </m:dPr>
                  <m:e>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start</m:t>
                        </m:r>
                        <m:r>
                          <w:rPr>
                            <w:rFonts w:ascii="Cambria Math" w:eastAsia="等线" w:hAnsi="Cambria Math"/>
                            <w:noProof/>
                            <w:sz w:val="20"/>
                            <w:szCs w:val="20"/>
                            <w:lang w:val="en-US"/>
                          </w:rPr>
                          <m:t>,</m:t>
                        </m:r>
                        <m:r>
                          <w:rPr>
                            <w:rFonts w:ascii="Cambria Math" w:eastAsia="等线" w:hAnsi="Cambria Math"/>
                            <w:noProof/>
                            <w:sz w:val="20"/>
                            <w:szCs w:val="20"/>
                          </w:rPr>
                          <m:t>μ</m:t>
                        </m:r>
                      </m:sup>
                    </m:sSubSup>
                    <m:r>
                      <w:rPr>
                        <w:rFonts w:ascii="Cambria Math" w:eastAsia="等线" w:hAnsi="Cambria Math"/>
                        <w:noProof/>
                        <w:sz w:val="20"/>
                        <w:szCs w:val="20"/>
                        <w:lang w:val="en-US"/>
                      </w:rPr>
                      <m:t>+</m:t>
                    </m:r>
                    <m:f>
                      <m:fPr>
                        <m:type m:val="lin"/>
                        <m:ctrlPr>
                          <w:rPr>
                            <w:rFonts w:ascii="Cambria Math" w:eastAsia="等线" w:hAnsi="Cambria Math"/>
                            <w:i/>
                            <w:highlight w:val="yellow"/>
                            <w:lang w:val="en-US"/>
                          </w:rPr>
                        </m:ctrlPr>
                      </m:fPr>
                      <m:num>
                        <m:sSubSup>
                          <m:sSubSupPr>
                            <m:ctrlPr>
                              <w:rPr>
                                <w:rFonts w:ascii="Cambria Math" w:eastAsia="等线" w:hAnsi="Cambria Math"/>
                                <w:i/>
                                <w:highlight w:val="yellow"/>
                              </w:rPr>
                            </m:ctrlPr>
                          </m:sSubSupPr>
                          <m:e>
                            <m:r>
                              <w:rPr>
                                <w:rFonts w:ascii="Cambria Math" w:eastAsia="等线" w:hAnsi="Cambria Math"/>
                                <w:noProof/>
                                <w:sz w:val="20"/>
                                <w:szCs w:val="20"/>
                                <w:highlight w:val="yellow"/>
                              </w:rPr>
                              <m:t>N</m:t>
                            </m:r>
                          </m:e>
                          <m:sub>
                            <m:r>
                              <m:rPr>
                                <m:nor/>
                              </m:rPr>
                              <w:rPr>
                                <w:rFonts w:ascii="Cambria Math" w:eastAsia="等线" w:hAnsi="Cambria Math"/>
                                <w:noProof/>
                                <w:sz w:val="20"/>
                                <w:szCs w:val="20"/>
                                <w:highlight w:val="yellow"/>
                                <w:lang w:val="en-US"/>
                              </w:rPr>
                              <m:t>grid,</m:t>
                            </m:r>
                            <m:r>
                              <w:rPr>
                                <w:rFonts w:ascii="Cambria Math" w:eastAsia="等线" w:hAnsi="Cambria Math"/>
                                <w:noProof/>
                                <w:sz w:val="20"/>
                                <w:szCs w:val="20"/>
                                <w:highlight w:val="yellow"/>
                                <w:lang w:val="en-US"/>
                              </w:rPr>
                              <m:t>x</m:t>
                            </m:r>
                          </m:sub>
                          <m:sup>
                            <m:r>
                              <m:rPr>
                                <m:nor/>
                              </m:rPr>
                              <w:rPr>
                                <w:rFonts w:ascii="Cambria Math" w:eastAsia="等线" w:hAnsi="Cambria Math"/>
                                <w:noProof/>
                                <w:sz w:val="20"/>
                                <w:szCs w:val="20"/>
                                <w:highlight w:val="yellow"/>
                                <w:lang w:val="en-US"/>
                              </w:rPr>
                              <m:t>size</m:t>
                            </m:r>
                            <m:r>
                              <w:rPr>
                                <w:rFonts w:ascii="Cambria Math" w:eastAsia="等线" w:hAnsi="Cambria Math"/>
                                <w:noProof/>
                                <w:sz w:val="20"/>
                                <w:szCs w:val="20"/>
                                <w:highlight w:val="yellow"/>
                                <w:lang w:val="en-US"/>
                              </w:rPr>
                              <m:t>,</m:t>
                            </m:r>
                            <m:r>
                              <w:rPr>
                                <w:rFonts w:ascii="Cambria Math" w:eastAsia="等线" w:hAnsi="Cambria Math"/>
                                <w:noProof/>
                                <w:sz w:val="20"/>
                                <w:szCs w:val="20"/>
                                <w:highlight w:val="yellow"/>
                              </w:rPr>
                              <m:t>μ</m:t>
                            </m:r>
                          </m:sup>
                        </m:sSubSup>
                      </m:num>
                      <m:den>
                        <m:r>
                          <w:rPr>
                            <w:rFonts w:ascii="Cambria Math" w:eastAsia="等线" w:hAnsi="Cambria Math"/>
                            <w:noProof/>
                            <w:sz w:val="20"/>
                            <w:szCs w:val="20"/>
                            <w:highlight w:val="yellow"/>
                            <w:lang w:val="en-US"/>
                          </w:rPr>
                          <m:t>2</m:t>
                        </m:r>
                      </m:den>
                    </m:f>
                  </m:e>
                </m:d>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r>
                  <w:rPr>
                    <w:rFonts w:ascii="Cambria Math" w:eastAsia="等线" w:hAnsi="Cambria Math"/>
                    <w:noProof/>
                    <w:sz w:val="20"/>
                    <w:szCs w:val="20"/>
                    <w:lang w:val="en-US"/>
                  </w:rPr>
                  <m:t>-</m:t>
                </m:r>
                <m:d>
                  <m:dPr>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grid,</m:t>
                        </m:r>
                        <m:r>
                          <w:rPr>
                            <w:rFonts w:ascii="Cambria Math" w:eastAsia="等线" w:hAnsi="Cambria Math"/>
                            <w:noProof/>
                            <w:sz w:val="20"/>
                            <w:szCs w:val="20"/>
                            <w:lang w:val="en-US"/>
                          </w:rPr>
                          <m:t>x</m:t>
                        </m:r>
                      </m:sub>
                      <m:sup>
                        <m:r>
                          <m:rPr>
                            <m:nor/>
                          </m:rPr>
                          <w:rPr>
                            <w:rFonts w:ascii="Cambria Math" w:eastAsia="等线" w:hAnsi="Cambria Math"/>
                            <w:noProof/>
                            <w:sz w:val="20"/>
                            <w:szCs w:val="20"/>
                            <w:lang w:val="en-US"/>
                          </w:rPr>
                          <m:t>start</m:t>
                        </m:r>
                        <m:r>
                          <w:rPr>
                            <w:rFonts w:ascii="Cambria Math" w:eastAsia="等线" w:hAnsi="Cambria Math"/>
                            <w:noProof/>
                            <w:sz w:val="20"/>
                            <w:szCs w:val="20"/>
                            <w:lang w:val="en-US"/>
                          </w:rPr>
                          <m:t>,</m:t>
                        </m:r>
                        <m:sSub>
                          <m:sSubPr>
                            <m:ctrlPr>
                              <w:rPr>
                                <w:rFonts w:ascii="Cambria Math" w:eastAsia="等线" w:hAnsi="Cambria Math"/>
                                <w:i/>
                              </w:rPr>
                            </m:ctrlPr>
                          </m:sSubPr>
                          <m:e>
                            <m:r>
                              <w:rPr>
                                <w:rFonts w:ascii="Cambria Math" w:eastAsia="等线" w:hAnsi="Cambria Math"/>
                                <w:noProof/>
                                <w:sz w:val="20"/>
                                <w:szCs w:val="20"/>
                              </w:rPr>
                              <m:t>μ</m:t>
                            </m:r>
                          </m:e>
                          <m:sub>
                            <m:r>
                              <w:rPr>
                                <w:rFonts w:ascii="Cambria Math" w:eastAsia="等线" w:hAnsi="Cambria Math"/>
                                <w:noProof/>
                                <w:sz w:val="20"/>
                                <w:szCs w:val="20"/>
                                <w:lang w:val="en-US"/>
                              </w:rPr>
                              <m:t>0</m:t>
                            </m:r>
                          </m:sub>
                        </m:sSub>
                      </m:sup>
                    </m:sSubSup>
                    <m:r>
                      <w:rPr>
                        <w:rFonts w:ascii="Cambria Math" w:eastAsia="等线" w:hAnsi="Cambria Math"/>
                        <w:noProof/>
                        <w:sz w:val="20"/>
                        <w:szCs w:val="20"/>
                        <w:lang w:val="en-US"/>
                      </w:rPr>
                      <m:t>+</m:t>
                    </m:r>
                    <m:f>
                      <m:fPr>
                        <m:type m:val="lin"/>
                        <m:ctrlPr>
                          <w:rPr>
                            <w:rFonts w:ascii="Cambria Math" w:eastAsia="等线" w:hAnsi="Cambria Math"/>
                            <w:i/>
                            <w:highlight w:val="yellow"/>
                            <w:lang w:val="en-US"/>
                          </w:rPr>
                        </m:ctrlPr>
                      </m:fPr>
                      <m:num>
                        <m:sSubSup>
                          <m:sSubSupPr>
                            <m:ctrlPr>
                              <w:rPr>
                                <w:rFonts w:ascii="Cambria Math" w:eastAsia="等线" w:hAnsi="Cambria Math"/>
                                <w:i/>
                                <w:highlight w:val="yellow"/>
                              </w:rPr>
                            </m:ctrlPr>
                          </m:sSubSupPr>
                          <m:e>
                            <m:r>
                              <w:rPr>
                                <w:rFonts w:ascii="Cambria Math" w:eastAsia="等线" w:hAnsi="Cambria Math"/>
                                <w:noProof/>
                                <w:sz w:val="20"/>
                                <w:szCs w:val="20"/>
                                <w:highlight w:val="yellow"/>
                              </w:rPr>
                              <m:t>N</m:t>
                            </m:r>
                          </m:e>
                          <m:sub>
                            <m:r>
                              <m:rPr>
                                <m:nor/>
                              </m:rPr>
                              <w:rPr>
                                <w:rFonts w:ascii="Cambria Math" w:eastAsia="等线" w:hAnsi="Cambria Math"/>
                                <w:noProof/>
                                <w:sz w:val="20"/>
                                <w:szCs w:val="20"/>
                                <w:highlight w:val="yellow"/>
                                <w:lang w:val="en-US"/>
                              </w:rPr>
                              <m:t>grid,</m:t>
                            </m:r>
                            <m:r>
                              <w:rPr>
                                <w:rFonts w:ascii="Cambria Math" w:eastAsia="等线" w:hAnsi="Cambria Math"/>
                                <w:noProof/>
                                <w:sz w:val="20"/>
                                <w:szCs w:val="20"/>
                                <w:highlight w:val="yellow"/>
                                <w:lang w:val="en-US"/>
                              </w:rPr>
                              <m:t>x</m:t>
                            </m:r>
                          </m:sub>
                          <m:sup>
                            <m:r>
                              <m:rPr>
                                <m:nor/>
                              </m:rPr>
                              <w:rPr>
                                <w:rFonts w:ascii="Cambria Math" w:eastAsia="等线" w:hAnsi="Cambria Math"/>
                                <w:noProof/>
                                <w:sz w:val="20"/>
                                <w:szCs w:val="20"/>
                                <w:highlight w:val="yellow"/>
                                <w:lang w:val="en-US"/>
                              </w:rPr>
                              <m:t>size</m:t>
                            </m:r>
                            <m:r>
                              <w:rPr>
                                <w:rFonts w:ascii="Cambria Math" w:eastAsia="等线" w:hAnsi="Cambria Math"/>
                                <w:noProof/>
                                <w:sz w:val="20"/>
                                <w:szCs w:val="20"/>
                                <w:highlight w:val="yellow"/>
                                <w:lang w:val="en-US"/>
                              </w:rPr>
                              <m:t>,</m:t>
                            </m:r>
                            <m:sSub>
                              <m:sSubPr>
                                <m:ctrlPr>
                                  <w:rPr>
                                    <w:rFonts w:ascii="Cambria Math" w:eastAsia="等线" w:hAnsi="Cambria Math"/>
                                    <w:i/>
                                    <w:highlight w:val="yellow"/>
                                  </w:rPr>
                                </m:ctrlPr>
                              </m:sSubPr>
                              <m:e>
                                <m:r>
                                  <w:rPr>
                                    <w:rFonts w:ascii="Cambria Math" w:eastAsia="等线" w:hAnsi="Cambria Math"/>
                                    <w:noProof/>
                                    <w:sz w:val="20"/>
                                    <w:szCs w:val="20"/>
                                    <w:highlight w:val="yellow"/>
                                  </w:rPr>
                                  <m:t>μ</m:t>
                                </m:r>
                              </m:e>
                              <m:sub>
                                <m:r>
                                  <w:rPr>
                                    <w:rFonts w:ascii="Cambria Math" w:eastAsia="等线" w:hAnsi="Cambria Math"/>
                                    <w:noProof/>
                                    <w:sz w:val="20"/>
                                    <w:szCs w:val="20"/>
                                    <w:highlight w:val="yellow"/>
                                    <w:lang w:val="en-US"/>
                                  </w:rPr>
                                  <m:t>0</m:t>
                                </m:r>
                              </m:sub>
                            </m:sSub>
                          </m:sup>
                        </m:sSubSup>
                      </m:num>
                      <m:den>
                        <m:r>
                          <w:rPr>
                            <w:rFonts w:ascii="Cambria Math" w:eastAsia="等线" w:hAnsi="Cambria Math"/>
                            <w:noProof/>
                            <w:sz w:val="20"/>
                            <w:szCs w:val="20"/>
                            <w:highlight w:val="yellow"/>
                            <w:lang w:val="en-US"/>
                          </w:rPr>
                          <m:t>2</m:t>
                        </m:r>
                      </m:den>
                    </m:f>
                  </m:e>
                </m:d>
                <m:sSubSup>
                  <m:sSubSupPr>
                    <m:ctrlPr>
                      <w:rPr>
                        <w:rFonts w:ascii="Cambria Math" w:eastAsia="等线" w:hAnsi="Cambria Math"/>
                        <w:i/>
                      </w:rPr>
                    </m:ctrlPr>
                  </m:sSubSupPr>
                  <m:e>
                    <m:r>
                      <w:rPr>
                        <w:rFonts w:ascii="Cambria Math" w:eastAsia="等线" w:hAnsi="Cambria Math"/>
                        <w:noProof/>
                        <w:sz w:val="20"/>
                        <w:szCs w:val="20"/>
                      </w:rPr>
                      <m:t>N</m:t>
                    </m:r>
                  </m:e>
                  <m:sub>
                    <m:r>
                      <m:rPr>
                        <m:nor/>
                      </m:rPr>
                      <w:rPr>
                        <w:rFonts w:ascii="Cambria Math" w:eastAsia="等线" w:hAnsi="Cambria Math"/>
                        <w:noProof/>
                        <w:sz w:val="20"/>
                        <w:szCs w:val="20"/>
                        <w:lang w:val="en-US"/>
                      </w:rPr>
                      <m:t>sc</m:t>
                    </m:r>
                  </m:sub>
                  <m:sup>
                    <m:r>
                      <m:rPr>
                        <m:nor/>
                      </m:rPr>
                      <w:rPr>
                        <w:rFonts w:ascii="Cambria Math" w:eastAsia="等线" w:hAnsi="Cambria Math"/>
                        <w:noProof/>
                        <w:sz w:val="20"/>
                        <w:szCs w:val="20"/>
                        <w:lang w:val="en-US"/>
                      </w:rPr>
                      <m:t>RB</m:t>
                    </m:r>
                  </m:sup>
                </m:sSubSup>
                <m:sSup>
                  <m:sSupPr>
                    <m:ctrlPr>
                      <w:rPr>
                        <w:rFonts w:ascii="Cambria Math" w:eastAsia="等线" w:hAnsi="Cambria Math"/>
                        <w:i/>
                      </w:rPr>
                    </m:ctrlPr>
                  </m:sSupPr>
                  <m:e>
                    <m:r>
                      <w:rPr>
                        <w:rFonts w:ascii="Cambria Math" w:eastAsia="等线" w:hAnsi="Cambria Math"/>
                        <w:noProof/>
                        <w:sz w:val="20"/>
                        <w:szCs w:val="20"/>
                      </w:rPr>
                      <m:t>2</m:t>
                    </m:r>
                  </m:e>
                  <m:sup>
                    <m:sSub>
                      <m:sSubPr>
                        <m:ctrlPr>
                          <w:rPr>
                            <w:rFonts w:ascii="Cambria Math" w:eastAsia="等线" w:hAnsi="Cambria Math"/>
                            <w:i/>
                          </w:rPr>
                        </m:ctrlPr>
                      </m:sSubPr>
                      <m:e>
                        <m:r>
                          <w:rPr>
                            <w:rFonts w:ascii="Cambria Math" w:eastAsia="等线" w:hAnsi="Cambria Math"/>
                            <w:noProof/>
                            <w:sz w:val="20"/>
                            <w:szCs w:val="20"/>
                          </w:rPr>
                          <m:t>μ</m:t>
                        </m:r>
                      </m:e>
                      <m:sub>
                        <m:r>
                          <w:rPr>
                            <w:rFonts w:ascii="Cambria Math" w:eastAsia="等线" w:hAnsi="Cambria Math"/>
                            <w:noProof/>
                            <w:sz w:val="20"/>
                            <w:szCs w:val="20"/>
                            <w:lang w:val="en-US"/>
                          </w:rPr>
                          <m:t>0</m:t>
                        </m:r>
                      </m:sub>
                    </m:sSub>
                    <m:r>
                      <w:rPr>
                        <w:rFonts w:ascii="Cambria Math" w:eastAsia="等线" w:hAnsi="Cambria Math"/>
                        <w:noProof/>
                        <w:sz w:val="20"/>
                        <w:szCs w:val="20"/>
                      </w:rPr>
                      <m:t>-μ</m:t>
                    </m:r>
                  </m:sup>
                </m:sSup>
                <m:r>
                  <m:rPr>
                    <m:sty m:val="p"/>
                  </m:rPr>
                  <w:rPr>
                    <w:rFonts w:ascii="Cambria Math" w:eastAsia="等线" w:hAnsi="Cambria Math"/>
                    <w:noProof/>
                    <w:sz w:val="20"/>
                    <w:szCs w:val="20"/>
                    <w:lang w:val="en-US"/>
                  </w:rPr>
                  <w:br/>
                </m:r>
              </m:oMath>
              <m:oMath>
                <m:sSubSup>
                  <m:sSubSupPr>
                    <m:ctrlPr>
                      <w:rPr>
                        <w:rFonts w:ascii="Cambria Math" w:eastAsia="Batang" w:hAnsi="Cambria Math"/>
                        <w:i/>
                        <w:noProof/>
                        <w:sz w:val="18"/>
                        <w:szCs w:val="20"/>
                      </w:rPr>
                    </m:ctrlPr>
                  </m:sSubSupPr>
                  <m:e>
                    <m:r>
                      <w:rPr>
                        <w:rFonts w:ascii="Cambria Math" w:eastAsia="Batang" w:hAnsi="Cambria Math"/>
                        <w:noProof/>
                        <w:sz w:val="20"/>
                        <w:szCs w:val="20"/>
                      </w:rPr>
                      <m:t>T</m:t>
                    </m:r>
                  </m:e>
                  <m:sub>
                    <m:r>
                      <m:rPr>
                        <m:nor/>
                      </m:rPr>
                      <w:rPr>
                        <w:rFonts w:ascii="Cambria Math" w:eastAsia="Batang" w:hAnsi="Cambria Math"/>
                        <w:noProof/>
                        <w:sz w:val="20"/>
                        <w:szCs w:val="20"/>
                        <w:lang w:val="en-US"/>
                      </w:rPr>
                      <m:t>symb,</m:t>
                    </m:r>
                    <m:r>
                      <w:rPr>
                        <w:rFonts w:ascii="Cambria Math" w:eastAsia="Batang" w:hAnsi="Cambria Math"/>
                        <w:noProof/>
                        <w:sz w:val="20"/>
                        <w:szCs w:val="20"/>
                      </w:rPr>
                      <m:t>l</m:t>
                    </m:r>
                  </m:sub>
                  <m:sup>
                    <m:r>
                      <w:rPr>
                        <w:rFonts w:ascii="Cambria Math" w:eastAsia="Batang" w:hAnsi="Cambria Math"/>
                        <w:noProof/>
                        <w:sz w:val="18"/>
                        <w:szCs w:val="20"/>
                      </w:rPr>
                      <m:t>μ</m:t>
                    </m:r>
                  </m:sup>
                </m:sSubSup>
                <m:r>
                  <m:rPr>
                    <m:aln/>
                  </m:rPr>
                  <w:rPr>
                    <w:rFonts w:ascii="Cambria Math" w:eastAsia="Batang" w:hAnsi="Cambria Math"/>
                    <w:noProof/>
                    <w:sz w:val="18"/>
                    <w:szCs w:val="20"/>
                    <w:lang w:val="en-US"/>
                  </w:rPr>
                  <m:t>=</m:t>
                </m:r>
                <m:d>
                  <m:dPr>
                    <m:ctrlPr>
                      <w:rPr>
                        <w:rFonts w:ascii="Cambria Math" w:eastAsia="Batang" w:hAnsi="Cambria Math"/>
                        <w:i/>
                        <w:noProof/>
                        <w:sz w:val="18"/>
                        <w:szCs w:val="20"/>
                      </w:rPr>
                    </m:ctrlPr>
                  </m:dPr>
                  <m:e>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u</m:t>
                        </m:r>
                      </m:sub>
                      <m:sup>
                        <m:r>
                          <w:rPr>
                            <w:rFonts w:ascii="Cambria Math" w:eastAsia="Batang" w:hAnsi="Cambria Math"/>
                            <w:noProof/>
                            <w:sz w:val="18"/>
                            <w:szCs w:val="20"/>
                          </w:rPr>
                          <m:t>μ</m:t>
                        </m:r>
                      </m:sup>
                    </m:sSubSup>
                    <m:r>
                      <w:rPr>
                        <w:rFonts w:ascii="Cambria Math" w:eastAsia="Batang" w:hAnsi="Cambria Math"/>
                        <w:noProof/>
                        <w:sz w:val="18"/>
                        <w:szCs w:val="20"/>
                        <w:lang w:val="en-US"/>
                      </w:rPr>
                      <m:t>+</m:t>
                    </m:r>
                    <m:sSubSup>
                      <m:sSubSupPr>
                        <m:ctrlPr>
                          <w:rPr>
                            <w:rFonts w:ascii="Cambria Math" w:eastAsia="Batang" w:hAnsi="Cambria Math"/>
                            <w:i/>
                            <w:noProof/>
                            <w:sz w:val="18"/>
                            <w:szCs w:val="20"/>
                          </w:rPr>
                        </m:ctrlPr>
                      </m:sSubSupPr>
                      <m:e>
                        <m:r>
                          <w:rPr>
                            <w:rFonts w:ascii="Cambria Math" w:eastAsia="Batang" w:hAnsi="Cambria Math"/>
                            <w:noProof/>
                            <w:sz w:val="18"/>
                            <w:szCs w:val="20"/>
                          </w:rPr>
                          <m:t>N</m:t>
                        </m:r>
                      </m:e>
                      <m:sub>
                        <m:r>
                          <m:rPr>
                            <m:nor/>
                          </m:rPr>
                          <w:rPr>
                            <w:rFonts w:ascii="Cambria Math" w:eastAsia="Batang" w:hAnsi="Cambria Math"/>
                            <w:noProof/>
                            <w:sz w:val="18"/>
                            <w:szCs w:val="20"/>
                            <w:lang w:val="en-US"/>
                          </w:rPr>
                          <m:t>CP</m:t>
                        </m:r>
                        <m:r>
                          <w:rPr>
                            <w:rFonts w:ascii="Cambria Math" w:eastAsia="Batang" w:hAnsi="Cambria Math"/>
                            <w:noProof/>
                            <w:sz w:val="18"/>
                            <w:szCs w:val="20"/>
                            <w:lang w:val="en-US"/>
                          </w:rPr>
                          <m:t>,</m:t>
                        </m:r>
                        <m:r>
                          <w:rPr>
                            <w:rFonts w:ascii="Cambria Math" w:eastAsia="Batang" w:hAnsi="Cambria Math"/>
                            <w:noProof/>
                            <w:sz w:val="18"/>
                            <w:szCs w:val="20"/>
                          </w:rPr>
                          <m:t>l</m:t>
                        </m:r>
                      </m:sub>
                      <m:sup>
                        <m:r>
                          <w:rPr>
                            <w:rFonts w:ascii="Cambria Math" w:eastAsia="Batang" w:hAnsi="Cambria Math"/>
                            <w:noProof/>
                            <w:sz w:val="18"/>
                            <w:szCs w:val="20"/>
                          </w:rPr>
                          <m:t>μ</m:t>
                        </m:r>
                      </m:sup>
                    </m:sSubSup>
                  </m:e>
                </m:d>
                <m:sSub>
                  <m:sSubPr>
                    <m:ctrlPr>
                      <w:rPr>
                        <w:rFonts w:ascii="Cambria Math" w:eastAsia="Batang" w:hAnsi="Cambria Math"/>
                        <w:i/>
                        <w:noProof/>
                        <w:sz w:val="18"/>
                        <w:szCs w:val="20"/>
                      </w:rPr>
                    </m:ctrlPr>
                  </m:sSubPr>
                  <m:e>
                    <m:r>
                      <w:rPr>
                        <w:rFonts w:ascii="Cambria Math" w:eastAsia="Batang" w:hAnsi="Cambria Math"/>
                        <w:noProof/>
                        <w:sz w:val="18"/>
                        <w:szCs w:val="20"/>
                      </w:rPr>
                      <m:t>T</m:t>
                    </m:r>
                  </m:e>
                  <m:sub>
                    <m:r>
                      <m:rPr>
                        <m:nor/>
                      </m:rPr>
                      <w:rPr>
                        <w:rFonts w:ascii="Cambria Math" w:eastAsia="Batang" w:hAnsi="Cambria Math"/>
                        <w:noProof/>
                        <w:sz w:val="18"/>
                        <w:szCs w:val="20"/>
                        <w:lang w:val="en-US"/>
                      </w:rPr>
                      <m:t>c</m:t>
                    </m:r>
                  </m:sub>
                </m:sSub>
              </m:oMath>
            </m:oMathPara>
          </w:p>
          <w:p w:rsidR="00242004" w:rsidRDefault="00242004" w:rsidP="00161E0A">
            <w:pPr>
              <w:rPr>
                <w:rFonts w:eastAsiaTheme="minorEastAsia"/>
                <w:sz w:val="21"/>
                <w:szCs w:val="21"/>
              </w:rPr>
            </w:pPr>
          </w:p>
        </w:tc>
      </w:tr>
    </w:tbl>
    <w:p w:rsidR="00242004" w:rsidRDefault="00242004" w:rsidP="00161E0A">
      <w:pPr>
        <w:rPr>
          <w:rFonts w:eastAsiaTheme="minorEastAsia"/>
          <w:sz w:val="21"/>
          <w:szCs w:val="21"/>
        </w:rPr>
      </w:pPr>
    </w:p>
    <w:p w:rsidR="005D0060" w:rsidRDefault="006C0999" w:rsidP="0069409B">
      <w:pPr>
        <w:rPr>
          <w:rFonts w:eastAsiaTheme="minorEastAsia"/>
          <w:sz w:val="21"/>
          <w:szCs w:val="21"/>
        </w:rPr>
      </w:pPr>
      <w:r>
        <w:rPr>
          <w:rFonts w:eastAsiaTheme="minorEastAsia"/>
          <w:sz w:val="21"/>
          <w:szCs w:val="21"/>
        </w:rPr>
        <w:t>T</w:t>
      </w:r>
      <w:r w:rsidR="005D0060">
        <w:rPr>
          <w:rFonts w:eastAsiaTheme="minorEastAsia"/>
          <w:sz w:val="21"/>
          <w:szCs w:val="21"/>
        </w:rPr>
        <w:t>hus an LS was sent to RAN4 and copied</w:t>
      </w:r>
      <w:r>
        <w:rPr>
          <w:rFonts w:eastAsiaTheme="minorEastAsia"/>
          <w:sz w:val="21"/>
          <w:szCs w:val="21"/>
        </w:rPr>
        <w:t xml:space="preserve"> to RAN1 for the confirmation. </w:t>
      </w:r>
    </w:p>
    <w:p w:rsidR="005D0060" w:rsidRDefault="005D0060" w:rsidP="0069409B">
      <w:pPr>
        <w:rPr>
          <w:rFonts w:eastAsiaTheme="minorEastAsia"/>
          <w:sz w:val="21"/>
          <w:szCs w:val="21"/>
        </w:rPr>
      </w:pPr>
    </w:p>
    <w:p w:rsidR="00857EC3" w:rsidRDefault="006C0999" w:rsidP="0069409B">
      <w:pPr>
        <w:rPr>
          <w:rFonts w:eastAsiaTheme="minorEastAsia"/>
          <w:sz w:val="21"/>
          <w:szCs w:val="21"/>
        </w:rPr>
      </w:pPr>
      <w:r>
        <w:rPr>
          <w:rFonts w:eastAsiaTheme="minorEastAsia"/>
          <w:sz w:val="21"/>
          <w:szCs w:val="21"/>
        </w:rPr>
        <w:t>Now, a</w:t>
      </w:r>
      <w:r w:rsidR="00E2702B">
        <w:rPr>
          <w:rFonts w:eastAsiaTheme="minorEastAsia"/>
          <w:sz w:val="21"/>
          <w:szCs w:val="21"/>
        </w:rPr>
        <w:t>ccording to the RAN4 reply LS, two main points are included:</w:t>
      </w:r>
    </w:p>
    <w:p w:rsidR="00E2702B" w:rsidRDefault="005D0060" w:rsidP="0069409B">
      <w:pPr>
        <w:pStyle w:val="af5"/>
        <w:numPr>
          <w:ilvl w:val="0"/>
          <w:numId w:val="41"/>
        </w:numPr>
        <w:rPr>
          <w:rFonts w:eastAsiaTheme="minorEastAsia"/>
          <w:sz w:val="21"/>
          <w:szCs w:val="21"/>
          <w:lang w:eastAsia="zh-CN"/>
        </w:rPr>
      </w:pPr>
      <w:r>
        <w:rPr>
          <w:rFonts w:eastAsiaTheme="minorEastAsia"/>
          <w:sz w:val="21"/>
          <w:szCs w:val="21"/>
          <w:lang w:eastAsia="zh-CN"/>
        </w:rPr>
        <w:t>In terms of the</w:t>
      </w:r>
      <w:r w:rsidR="00E2702B" w:rsidRPr="00E2702B">
        <w:rPr>
          <w:rFonts w:eastAsiaTheme="minorEastAsia"/>
          <w:sz w:val="21"/>
          <w:szCs w:val="21"/>
          <w:lang w:eastAsia="zh-CN"/>
        </w:rPr>
        <w:t xml:space="preserve"> network setting, it is feasible to configure </w:t>
      </w:r>
      <w:r w:rsidR="00E2702B" w:rsidRPr="0082046D">
        <w:rPr>
          <w:rFonts w:eastAsiaTheme="minorEastAsia"/>
          <w:i/>
          <w:sz w:val="21"/>
          <w:szCs w:val="21"/>
          <w:lang w:eastAsia="zh-CN"/>
        </w:rPr>
        <w:t>carrierBandwidth</w:t>
      </w:r>
      <w:r w:rsidR="00E2702B" w:rsidRPr="00E2702B">
        <w:rPr>
          <w:rFonts w:eastAsiaTheme="minorEastAsia"/>
          <w:sz w:val="21"/>
          <w:szCs w:val="21"/>
          <w:lang w:eastAsia="zh-CN"/>
        </w:rPr>
        <w:t xml:space="preserve"> to 15 PRB (for the 12 PRB case) and 25 PRB (for the 20 PRB case) respectively in SIB1 and in RRC dedicated signaling. </w:t>
      </w:r>
    </w:p>
    <w:p w:rsidR="00E2702B" w:rsidRDefault="005D0060" w:rsidP="0069409B">
      <w:pPr>
        <w:pStyle w:val="af5"/>
        <w:numPr>
          <w:ilvl w:val="0"/>
          <w:numId w:val="41"/>
        </w:numPr>
        <w:rPr>
          <w:rFonts w:eastAsiaTheme="minorEastAsia"/>
          <w:sz w:val="21"/>
          <w:szCs w:val="21"/>
          <w:lang w:eastAsia="zh-CN"/>
        </w:rPr>
      </w:pPr>
      <w:r>
        <w:rPr>
          <w:rFonts w:eastAsiaTheme="minorEastAsia"/>
          <w:sz w:val="21"/>
          <w:szCs w:val="21"/>
          <w:lang w:eastAsia="zh-CN"/>
        </w:rPr>
        <w:t xml:space="preserve">In terms of </w:t>
      </w:r>
      <w:r w:rsidR="00E2702B">
        <w:rPr>
          <w:rFonts w:eastAsiaTheme="minorEastAsia"/>
          <w:sz w:val="21"/>
          <w:szCs w:val="21"/>
          <w:lang w:eastAsia="zh-CN"/>
        </w:rPr>
        <w:t>the UE’s behaviour,</w:t>
      </w:r>
      <w:r>
        <w:rPr>
          <w:rFonts w:eastAsiaTheme="minorEastAsia"/>
          <w:sz w:val="21"/>
          <w:szCs w:val="21"/>
          <w:lang w:eastAsia="zh-CN"/>
        </w:rPr>
        <w:t xml:space="preserve"> the</w:t>
      </w:r>
      <w:r w:rsidR="00E2702B">
        <w:rPr>
          <w:rFonts w:eastAsiaTheme="minorEastAsia"/>
          <w:sz w:val="21"/>
          <w:szCs w:val="21"/>
          <w:lang w:eastAsia="zh-CN"/>
        </w:rPr>
        <w:t xml:space="preserve"> </w:t>
      </w:r>
      <w:r w:rsidR="00E2702B" w:rsidRPr="009F4CDA">
        <w:rPr>
          <w:rFonts w:eastAsiaTheme="minorEastAsia"/>
          <w:sz w:val="21"/>
          <w:szCs w:val="21"/>
          <w:lang w:eastAsia="zh-CN"/>
        </w:rPr>
        <w:t>UE can determine</w:t>
      </w:r>
      <w:r>
        <w:rPr>
          <w:rFonts w:eastAsiaTheme="minorEastAsia"/>
          <w:sz w:val="21"/>
          <w:szCs w:val="21"/>
          <w:lang w:eastAsia="zh-CN"/>
        </w:rPr>
        <w:t xml:space="preserve"> that</w:t>
      </w:r>
      <w:r w:rsidR="00E2702B" w:rsidRPr="009F4CDA">
        <w:rPr>
          <w:rFonts w:eastAsiaTheme="minorEastAsia"/>
          <w:sz w:val="21"/>
          <w:szCs w:val="21"/>
          <w:lang w:eastAsia="zh-CN"/>
        </w:rPr>
        <w:t xml:space="preserve"> 12</w:t>
      </w:r>
      <w:r>
        <w:rPr>
          <w:rFonts w:eastAsiaTheme="minorEastAsia"/>
          <w:sz w:val="21"/>
          <w:szCs w:val="21"/>
          <w:lang w:eastAsia="zh-CN"/>
        </w:rPr>
        <w:t>PRB</w:t>
      </w:r>
      <w:r w:rsidR="00E2702B" w:rsidRPr="009F4CDA">
        <w:rPr>
          <w:rFonts w:eastAsiaTheme="minorEastAsia"/>
          <w:sz w:val="21"/>
          <w:szCs w:val="21"/>
          <w:lang w:eastAsia="zh-CN"/>
        </w:rPr>
        <w:t xml:space="preserve"> or 20 PRB transmission bandwidth configuration should be used respectively, even though </w:t>
      </w:r>
      <w:r w:rsidR="00E2702B" w:rsidRPr="0082046D">
        <w:rPr>
          <w:rFonts w:eastAsiaTheme="minorEastAsia"/>
          <w:i/>
          <w:sz w:val="21"/>
          <w:szCs w:val="21"/>
          <w:lang w:eastAsia="zh-CN"/>
        </w:rPr>
        <w:t>carrierBandwidth</w:t>
      </w:r>
      <w:r w:rsidR="00E2702B" w:rsidRPr="009F4CDA">
        <w:rPr>
          <w:rFonts w:eastAsiaTheme="minorEastAsia"/>
          <w:sz w:val="21"/>
          <w:szCs w:val="21"/>
          <w:lang w:eastAsia="zh-CN"/>
        </w:rPr>
        <w:t xml:space="preserve"> is configured to 15 PRB </w:t>
      </w:r>
      <w:r w:rsidR="00E2702B" w:rsidRPr="009F4CDA">
        <w:rPr>
          <w:rFonts w:eastAsiaTheme="minorEastAsia"/>
          <w:sz w:val="21"/>
          <w:szCs w:val="21"/>
          <w:lang w:eastAsia="zh-CN"/>
        </w:rPr>
        <w:lastRenderedPageBreak/>
        <w:t>(for the 12 PRB case) and 25 PRB (for the 20 PRB case) respectively in SIB1 and in RRC dedicated signaling.</w:t>
      </w:r>
    </w:p>
    <w:p w:rsidR="005D0060" w:rsidRDefault="006C0999" w:rsidP="0082046D">
      <w:pPr>
        <w:jc w:val="both"/>
        <w:rPr>
          <w:rFonts w:eastAsiaTheme="minorEastAsia"/>
          <w:sz w:val="21"/>
          <w:szCs w:val="21"/>
        </w:rPr>
      </w:pPr>
      <w:r>
        <w:rPr>
          <w:rFonts w:eastAsiaTheme="minorEastAsia"/>
          <w:sz w:val="21"/>
          <w:szCs w:val="21"/>
        </w:rPr>
        <w:t>The bullet a) can solve the cell barring check issue upon receiving the SIB1, while the bullet b) ca</w:t>
      </w:r>
      <w:r w:rsidR="005D0060">
        <w:rPr>
          <w:rFonts w:eastAsiaTheme="minorEastAsia"/>
          <w:sz w:val="21"/>
          <w:szCs w:val="21"/>
        </w:rPr>
        <w:t>n be used to avoid any impact on</w:t>
      </w:r>
      <w:r>
        <w:rPr>
          <w:rFonts w:eastAsiaTheme="minorEastAsia"/>
          <w:sz w:val="21"/>
          <w:szCs w:val="21"/>
        </w:rPr>
        <w:t xml:space="preserve"> the RAN1 spec. Thus both </w:t>
      </w:r>
      <w:r w:rsidR="005D0060">
        <w:rPr>
          <w:rFonts w:eastAsiaTheme="minorEastAsia"/>
          <w:sz w:val="21"/>
          <w:szCs w:val="21"/>
        </w:rPr>
        <w:t>of these points</w:t>
      </w:r>
      <w:r>
        <w:rPr>
          <w:rFonts w:eastAsiaTheme="minorEastAsia"/>
          <w:sz w:val="21"/>
          <w:szCs w:val="21"/>
        </w:rPr>
        <w:t xml:space="preserve"> should be specified. Furthermore, t</w:t>
      </w:r>
      <w:r w:rsidR="00BA5CE8">
        <w:rPr>
          <w:rFonts w:eastAsiaTheme="minorEastAsia"/>
          <w:sz w:val="21"/>
          <w:szCs w:val="21"/>
        </w:rPr>
        <w:t xml:space="preserve">hough the issue is caused by the barring check </w:t>
      </w:r>
      <w:r w:rsidR="005D0060">
        <w:rPr>
          <w:rFonts w:eastAsiaTheme="minorEastAsia"/>
          <w:sz w:val="21"/>
          <w:szCs w:val="21"/>
        </w:rPr>
        <w:t>upon</w:t>
      </w:r>
      <w:r w:rsidR="00BA5CE8">
        <w:rPr>
          <w:rFonts w:eastAsiaTheme="minorEastAsia"/>
          <w:sz w:val="21"/>
          <w:szCs w:val="21"/>
        </w:rPr>
        <w:t xml:space="preserve"> SIB1 receiving, based o</w:t>
      </w:r>
      <w:r w:rsidR="0082046D">
        <w:rPr>
          <w:rFonts w:eastAsiaTheme="minorEastAsia"/>
          <w:sz w:val="21"/>
          <w:szCs w:val="21"/>
        </w:rPr>
        <w:t>n the previous agreements</w:t>
      </w:r>
      <w:r w:rsidR="005D0060">
        <w:rPr>
          <w:rFonts w:eastAsiaTheme="minorEastAsia"/>
          <w:sz w:val="21"/>
          <w:szCs w:val="21"/>
        </w:rPr>
        <w:t>:</w:t>
      </w:r>
    </w:p>
    <w:p w:rsidR="00E2702B" w:rsidRDefault="0082046D" w:rsidP="0082046D">
      <w:pPr>
        <w:jc w:val="both"/>
        <w:rPr>
          <w:rFonts w:eastAsiaTheme="minorEastAsia"/>
          <w:sz w:val="21"/>
          <w:szCs w:val="21"/>
        </w:rPr>
      </w:pPr>
      <w:r>
        <w:rPr>
          <w:rFonts w:eastAsiaTheme="minorEastAsia"/>
          <w:sz w:val="21"/>
          <w:szCs w:val="21"/>
        </w:rPr>
        <w:t xml:space="preserve"> </w:t>
      </w:r>
    </w:p>
    <w:tbl>
      <w:tblPr>
        <w:tblStyle w:val="af"/>
        <w:tblW w:w="0" w:type="auto"/>
        <w:tblLook w:val="04A0" w:firstRow="1" w:lastRow="0" w:firstColumn="1" w:lastColumn="0" w:noHBand="0" w:noVBand="1"/>
      </w:tblPr>
      <w:tblGrid>
        <w:gridCol w:w="9350"/>
      </w:tblGrid>
      <w:tr w:rsidR="00A30475" w:rsidTr="00A30475">
        <w:tc>
          <w:tcPr>
            <w:tcW w:w="9350" w:type="dxa"/>
          </w:tcPr>
          <w:p w:rsidR="00A30475" w:rsidRPr="0082046D" w:rsidRDefault="00A30475" w:rsidP="00A30475">
            <w:pPr>
              <w:pStyle w:val="Agreement"/>
              <w:numPr>
                <w:ilvl w:val="0"/>
                <w:numId w:val="0"/>
              </w:numPr>
              <w:tabs>
                <w:tab w:val="clear" w:pos="1619"/>
              </w:tabs>
              <w:overflowPunct w:val="0"/>
              <w:autoSpaceDE w:val="0"/>
              <w:adjustRightInd w:val="0"/>
              <w:spacing w:after="100" w:afterAutospacing="1"/>
              <w:textAlignment w:val="baseline"/>
              <w:rPr>
                <w:rFonts w:ascii="Times New Roman" w:hAnsi="Times New Roman"/>
                <w:b w:val="0"/>
                <w:sz w:val="18"/>
                <w:szCs w:val="18"/>
              </w:rPr>
            </w:pPr>
            <w:r w:rsidRPr="0082046D">
              <w:rPr>
                <w:rFonts w:ascii="Times New Roman" w:hAnsi="Times New Roman"/>
                <w:b w:val="0"/>
                <w:sz w:val="18"/>
                <w:szCs w:val="18"/>
              </w:rPr>
              <w:t>RAN2#115</w:t>
            </w:r>
          </w:p>
          <w:p w:rsidR="00A30475" w:rsidRPr="0082046D" w:rsidRDefault="00A30475" w:rsidP="00A30475">
            <w:pPr>
              <w:pStyle w:val="Agreement"/>
              <w:numPr>
                <w:ilvl w:val="0"/>
                <w:numId w:val="42"/>
              </w:numPr>
              <w:tabs>
                <w:tab w:val="clear" w:pos="1619"/>
              </w:tabs>
              <w:overflowPunct w:val="0"/>
              <w:autoSpaceDE w:val="0"/>
              <w:adjustRightInd w:val="0"/>
              <w:spacing w:after="100" w:afterAutospacing="1"/>
              <w:ind w:left="1619"/>
              <w:textAlignment w:val="baseline"/>
              <w:rPr>
                <w:rFonts w:ascii="Times New Roman" w:hAnsi="Times New Roman"/>
                <w:b w:val="0"/>
                <w:sz w:val="18"/>
                <w:szCs w:val="18"/>
              </w:rPr>
            </w:pPr>
            <w:r w:rsidRPr="0082046D">
              <w:rPr>
                <w:rFonts w:ascii="Times New Roman" w:hAnsi="Times New Roman"/>
                <w:b w:val="0"/>
                <w:sz w:val="18"/>
                <w:szCs w:val="18"/>
              </w:rPr>
              <w:t xml:space="preserve">Fields that are present in </w:t>
            </w:r>
            <w:r w:rsidRPr="0082046D">
              <w:rPr>
                <w:rFonts w:ascii="Times New Roman" w:hAnsi="Times New Roman"/>
                <w:b w:val="0"/>
                <w:i/>
                <w:sz w:val="18"/>
                <w:szCs w:val="18"/>
              </w:rPr>
              <w:t>ServingCellConfigCommon</w:t>
            </w:r>
            <w:r w:rsidRPr="0082046D">
              <w:rPr>
                <w:rFonts w:ascii="Times New Roman" w:hAnsi="Times New Roman"/>
                <w:b w:val="0"/>
                <w:sz w:val="18"/>
                <w:szCs w:val="18"/>
              </w:rPr>
              <w:t xml:space="preserve"> delivered by dedicated signalling shall have the same value as the corresponding field in SIB1.</w:t>
            </w:r>
          </w:p>
          <w:p w:rsidR="00A30475" w:rsidRDefault="00A30475" w:rsidP="00A30475">
            <w:pPr>
              <w:pStyle w:val="Agreement"/>
              <w:numPr>
                <w:ilvl w:val="0"/>
                <w:numId w:val="42"/>
              </w:numPr>
              <w:tabs>
                <w:tab w:val="clear" w:pos="1619"/>
              </w:tabs>
              <w:overflowPunct w:val="0"/>
              <w:autoSpaceDE w:val="0"/>
              <w:adjustRightInd w:val="0"/>
              <w:spacing w:after="100" w:afterAutospacing="1"/>
              <w:ind w:left="1619"/>
              <w:textAlignment w:val="baseline"/>
              <w:rPr>
                <w:rFonts w:eastAsiaTheme="minorEastAsia"/>
                <w:sz w:val="21"/>
                <w:szCs w:val="21"/>
                <w:lang w:eastAsia="zh-CN"/>
              </w:rPr>
            </w:pPr>
            <w:r w:rsidRPr="0082046D">
              <w:rPr>
                <w:rFonts w:ascii="Times New Roman" w:hAnsi="Times New Roman"/>
                <w:b w:val="0"/>
                <w:sz w:val="18"/>
                <w:szCs w:val="18"/>
              </w:rPr>
              <w:t xml:space="preserve">Confirm that </w:t>
            </w:r>
            <w:r w:rsidRPr="0082046D">
              <w:rPr>
                <w:rFonts w:ascii="Times New Roman" w:hAnsi="Times New Roman"/>
                <w:b w:val="0"/>
                <w:i/>
                <w:iCs/>
                <w:sz w:val="18"/>
                <w:szCs w:val="18"/>
              </w:rPr>
              <w:t>dedicatedSIB1-Delivery</w:t>
            </w:r>
            <w:r w:rsidRPr="0082046D">
              <w:rPr>
                <w:rFonts w:ascii="Times New Roman" w:hAnsi="Times New Roman"/>
                <w:b w:val="0"/>
                <w:sz w:val="18"/>
                <w:szCs w:val="18"/>
              </w:rPr>
              <w:t xml:space="preserve"> shall have the same fields and values as the broadcasted SIB1.</w:t>
            </w:r>
          </w:p>
        </w:tc>
      </w:tr>
    </w:tbl>
    <w:p w:rsidR="006C0999" w:rsidRPr="00195D4F" w:rsidRDefault="00BA5CE8" w:rsidP="0069409B">
      <w:pPr>
        <w:rPr>
          <w:rFonts w:eastAsiaTheme="minorEastAsia"/>
          <w:sz w:val="21"/>
          <w:szCs w:val="21"/>
        </w:rPr>
      </w:pPr>
      <w:r>
        <w:rPr>
          <w:rFonts w:eastAsiaTheme="minorEastAsia"/>
          <w:sz w:val="21"/>
          <w:szCs w:val="21"/>
        </w:rPr>
        <w:t xml:space="preserve">The same clarification should also be added to the dedicated RRC </w:t>
      </w:r>
      <w:r w:rsidR="0082046D">
        <w:rPr>
          <w:rFonts w:eastAsiaTheme="minorEastAsia"/>
          <w:sz w:val="21"/>
          <w:szCs w:val="21"/>
        </w:rPr>
        <w:t>signaling.</w:t>
      </w:r>
      <w:r w:rsidR="00195D4F">
        <w:rPr>
          <w:rFonts w:eastAsiaTheme="minorEastAsia"/>
          <w:sz w:val="21"/>
          <w:szCs w:val="21"/>
        </w:rPr>
        <w:t xml:space="preserve"> Since the SIB and the dedicated signaling share the same ASN.1 structure for the “</w:t>
      </w:r>
      <w:r w:rsidR="00195D4F" w:rsidRPr="00195D4F">
        <w:rPr>
          <w:rFonts w:eastAsiaTheme="minorEastAsia"/>
          <w:sz w:val="21"/>
          <w:szCs w:val="21"/>
        </w:rPr>
        <w:t>SCS-SpecificCarrier</w:t>
      </w:r>
      <w:r w:rsidR="00195D4F">
        <w:rPr>
          <w:rFonts w:eastAsiaTheme="minorEastAsia"/>
          <w:sz w:val="21"/>
          <w:szCs w:val="21"/>
        </w:rPr>
        <w:t>-&gt;</w:t>
      </w:r>
      <w:r w:rsidR="00195D4F" w:rsidRPr="00195D4F">
        <w:rPr>
          <w:rFonts w:eastAsiaTheme="minorEastAsia"/>
          <w:sz w:val="21"/>
          <w:szCs w:val="21"/>
        </w:rPr>
        <w:t xml:space="preserve"> carrierBandwidth</w:t>
      </w:r>
      <w:r w:rsidR="005D0060">
        <w:rPr>
          <w:rFonts w:eastAsiaTheme="minorEastAsia"/>
          <w:sz w:val="21"/>
          <w:szCs w:val="21"/>
        </w:rPr>
        <w:t xml:space="preserve">”, the above two </w:t>
      </w:r>
      <w:r w:rsidR="00195D4F">
        <w:rPr>
          <w:rFonts w:eastAsiaTheme="minorEastAsia"/>
          <w:sz w:val="21"/>
          <w:szCs w:val="21"/>
        </w:rPr>
        <w:t xml:space="preserve">bullets can be </w:t>
      </w:r>
      <w:r w:rsidR="00195D4F" w:rsidRPr="00195D4F">
        <w:rPr>
          <w:rFonts w:eastAsiaTheme="minorEastAsia"/>
          <w:sz w:val="21"/>
          <w:szCs w:val="21"/>
        </w:rPr>
        <w:t xml:space="preserve">added to the field description of the </w:t>
      </w:r>
      <w:r w:rsidR="00195D4F" w:rsidRPr="00195D4F">
        <w:rPr>
          <w:rFonts w:eastAsiaTheme="minorEastAsia"/>
          <w:i/>
          <w:sz w:val="21"/>
          <w:szCs w:val="21"/>
        </w:rPr>
        <w:t xml:space="preserve">carrierBandwidth </w:t>
      </w:r>
      <w:r w:rsidR="00195D4F" w:rsidRPr="00195D4F">
        <w:rPr>
          <w:rFonts w:eastAsiaTheme="minorEastAsia"/>
          <w:sz w:val="21"/>
          <w:szCs w:val="21"/>
        </w:rPr>
        <w:t>immediately</w:t>
      </w:r>
      <w:r w:rsidR="00195D4F" w:rsidRPr="00195D4F">
        <w:rPr>
          <w:rFonts w:eastAsiaTheme="minorEastAsia"/>
          <w:i/>
          <w:sz w:val="21"/>
          <w:szCs w:val="21"/>
        </w:rPr>
        <w:t>.</w:t>
      </w:r>
    </w:p>
    <w:p w:rsidR="009F4CDA" w:rsidRDefault="009F4CDA" w:rsidP="0069409B">
      <w:pPr>
        <w:rPr>
          <w:rFonts w:eastAsiaTheme="minorEastAsia"/>
          <w:sz w:val="21"/>
          <w:szCs w:val="21"/>
        </w:rPr>
      </w:pPr>
    </w:p>
    <w:p w:rsidR="009F4CDA" w:rsidRDefault="00BA5CE8" w:rsidP="00195D4F">
      <w:pPr>
        <w:jc w:val="both"/>
        <w:rPr>
          <w:rFonts w:eastAsiaTheme="minorEastAsia"/>
          <w:b/>
          <w:sz w:val="21"/>
          <w:szCs w:val="21"/>
        </w:rPr>
      </w:pPr>
      <w:r w:rsidRPr="00BA5CE8">
        <w:rPr>
          <w:rFonts w:eastAsiaTheme="minorEastAsia"/>
          <w:b/>
          <w:sz w:val="21"/>
          <w:szCs w:val="21"/>
        </w:rPr>
        <w:t>Proposal 1:</w:t>
      </w:r>
      <w:r w:rsidR="00D60593">
        <w:rPr>
          <w:rFonts w:eastAsiaTheme="minorEastAsia"/>
          <w:b/>
          <w:sz w:val="21"/>
          <w:szCs w:val="21"/>
        </w:rPr>
        <w:t xml:space="preserve"> </w:t>
      </w:r>
      <w:r w:rsidR="00584C4F">
        <w:rPr>
          <w:rFonts w:eastAsiaTheme="minorEastAsia"/>
          <w:b/>
          <w:sz w:val="21"/>
          <w:szCs w:val="21"/>
        </w:rPr>
        <w:t>Add the following two</w:t>
      </w:r>
      <w:r w:rsidR="009F4CDA">
        <w:rPr>
          <w:rFonts w:eastAsiaTheme="minorEastAsia"/>
          <w:b/>
          <w:sz w:val="21"/>
          <w:szCs w:val="21"/>
        </w:rPr>
        <w:t xml:space="preserve"> clarifications to the field description of the </w:t>
      </w:r>
      <w:r w:rsidR="009F4CDA" w:rsidRPr="009F4CDA">
        <w:rPr>
          <w:rFonts w:eastAsiaTheme="minorEastAsia"/>
          <w:b/>
          <w:i/>
          <w:sz w:val="21"/>
          <w:szCs w:val="21"/>
        </w:rPr>
        <w:t>carrierBandwidt</w:t>
      </w:r>
      <w:r w:rsidR="009F4CDA" w:rsidRPr="00195D4F">
        <w:rPr>
          <w:rFonts w:eastAsiaTheme="minorEastAsia"/>
          <w:b/>
          <w:i/>
          <w:sz w:val="21"/>
          <w:szCs w:val="21"/>
        </w:rPr>
        <w:t xml:space="preserve">h </w:t>
      </w:r>
      <w:r w:rsidR="009F4CDA">
        <w:rPr>
          <w:rFonts w:eastAsiaTheme="minorEastAsia"/>
          <w:b/>
          <w:sz w:val="21"/>
          <w:szCs w:val="21"/>
        </w:rPr>
        <w:t>for the case where</w:t>
      </w:r>
      <w:r w:rsidR="00D60593">
        <w:rPr>
          <w:rFonts w:eastAsiaTheme="minorEastAsia"/>
          <w:b/>
          <w:sz w:val="21"/>
          <w:szCs w:val="21"/>
        </w:rPr>
        <w:t xml:space="preserve"> only 12/20 PRB transmission bandwidth can be used</w:t>
      </w:r>
      <w:r w:rsidR="009F4CDA">
        <w:rPr>
          <w:rFonts w:eastAsiaTheme="minorEastAsia"/>
          <w:b/>
          <w:sz w:val="21"/>
          <w:szCs w:val="21"/>
        </w:rPr>
        <w:t>:</w:t>
      </w:r>
    </w:p>
    <w:p w:rsidR="009F4CDA" w:rsidRPr="009F4CDA" w:rsidRDefault="009F4CDA" w:rsidP="00195D4F">
      <w:pPr>
        <w:pStyle w:val="af5"/>
        <w:numPr>
          <w:ilvl w:val="0"/>
          <w:numId w:val="43"/>
        </w:numPr>
        <w:jc w:val="both"/>
        <w:rPr>
          <w:rFonts w:eastAsiaTheme="minorEastAsia"/>
          <w:b/>
          <w:sz w:val="21"/>
          <w:szCs w:val="21"/>
          <w:lang w:eastAsia="zh-CN"/>
        </w:rPr>
      </w:pPr>
      <w:r w:rsidRPr="009F4CDA">
        <w:rPr>
          <w:rFonts w:eastAsiaTheme="minorEastAsia"/>
          <w:b/>
          <w:sz w:val="21"/>
          <w:szCs w:val="21"/>
          <w:lang w:eastAsia="zh-CN"/>
        </w:rPr>
        <w:t xml:space="preserve">The network </w:t>
      </w:r>
      <w:r w:rsidR="00195D4F">
        <w:rPr>
          <w:rFonts w:eastAsiaTheme="minorEastAsia"/>
          <w:b/>
          <w:sz w:val="21"/>
          <w:szCs w:val="21"/>
          <w:lang w:eastAsia="zh-CN"/>
        </w:rPr>
        <w:t>shall</w:t>
      </w:r>
      <w:r w:rsidRPr="009F4CDA">
        <w:rPr>
          <w:rFonts w:eastAsiaTheme="minorEastAsia"/>
          <w:b/>
          <w:sz w:val="21"/>
          <w:szCs w:val="21"/>
          <w:lang w:eastAsia="zh-CN"/>
        </w:rPr>
        <w:t xml:space="preserve"> configure </w:t>
      </w:r>
      <w:r w:rsidRPr="00282DA4">
        <w:rPr>
          <w:rFonts w:eastAsiaTheme="minorEastAsia"/>
          <w:b/>
          <w:i/>
          <w:sz w:val="21"/>
          <w:szCs w:val="21"/>
          <w:lang w:eastAsia="zh-CN"/>
        </w:rPr>
        <w:t>carrierBandwidth</w:t>
      </w:r>
      <w:r w:rsidRPr="009F4CDA">
        <w:rPr>
          <w:rFonts w:eastAsiaTheme="minorEastAsia"/>
          <w:b/>
          <w:sz w:val="21"/>
          <w:szCs w:val="21"/>
          <w:lang w:eastAsia="zh-CN"/>
        </w:rPr>
        <w:t xml:space="preserve"> to 15 PRB (for the 12 PRB case) and 25 PRB (for the 20 PRB case) respectively in SIB1 and in RRC dedicated signaling. </w:t>
      </w:r>
    </w:p>
    <w:p w:rsidR="009F4CDA" w:rsidRDefault="00584C4F" w:rsidP="00195D4F">
      <w:pPr>
        <w:pStyle w:val="af5"/>
        <w:numPr>
          <w:ilvl w:val="0"/>
          <w:numId w:val="43"/>
        </w:numPr>
        <w:jc w:val="both"/>
        <w:rPr>
          <w:rFonts w:eastAsiaTheme="minorEastAsia"/>
          <w:b/>
          <w:sz w:val="21"/>
          <w:szCs w:val="21"/>
          <w:lang w:eastAsia="zh-CN"/>
        </w:rPr>
      </w:pPr>
      <w:r>
        <w:rPr>
          <w:rFonts w:eastAsiaTheme="minorEastAsia"/>
          <w:b/>
          <w:sz w:val="21"/>
          <w:szCs w:val="21"/>
          <w:lang w:eastAsia="zh-CN"/>
        </w:rPr>
        <w:t xml:space="preserve">The </w:t>
      </w:r>
      <w:r w:rsidR="009F4CDA" w:rsidRPr="009F4CDA">
        <w:rPr>
          <w:rFonts w:eastAsiaTheme="minorEastAsia"/>
          <w:b/>
          <w:sz w:val="21"/>
          <w:szCs w:val="21"/>
          <w:lang w:eastAsia="zh-CN"/>
        </w:rPr>
        <w:t xml:space="preserve">UE shall use 12/20 PRB as the transmission bandwidth, even though </w:t>
      </w:r>
      <w:r w:rsidR="009F4CDA" w:rsidRPr="00195D4F">
        <w:rPr>
          <w:rFonts w:eastAsiaTheme="minorEastAsia"/>
          <w:b/>
          <w:i/>
          <w:sz w:val="21"/>
          <w:szCs w:val="21"/>
          <w:lang w:eastAsia="zh-CN"/>
        </w:rPr>
        <w:t>carrierBandwidth</w:t>
      </w:r>
      <w:r w:rsidR="009F4CDA" w:rsidRPr="009F4CDA">
        <w:rPr>
          <w:rFonts w:eastAsiaTheme="minorEastAsia"/>
          <w:b/>
          <w:sz w:val="21"/>
          <w:szCs w:val="21"/>
          <w:lang w:eastAsia="zh-CN"/>
        </w:rPr>
        <w:t xml:space="preserve"> is configured to 15 PRB (for the 12 PRB case) and 25 PRB (for the 20 PRB case) respectively in SIB1 and in RRC dedicated signaling.</w:t>
      </w:r>
    </w:p>
    <w:p w:rsidR="00195D4F" w:rsidRPr="005F7417" w:rsidRDefault="00195D4F" w:rsidP="00F239C4">
      <w:pPr>
        <w:pStyle w:val="af5"/>
        <w:jc w:val="both"/>
        <w:rPr>
          <w:rFonts w:eastAsiaTheme="minorEastAsia"/>
          <w:sz w:val="21"/>
          <w:szCs w:val="21"/>
          <w:lang w:eastAsia="zh-CN"/>
        </w:rPr>
      </w:pPr>
    </w:p>
    <w:p w:rsidR="006C0999" w:rsidRDefault="00195D4F" w:rsidP="0069409B">
      <w:pPr>
        <w:rPr>
          <w:rFonts w:eastAsiaTheme="minorEastAsia"/>
          <w:sz w:val="21"/>
          <w:szCs w:val="21"/>
        </w:rPr>
      </w:pPr>
      <w:r w:rsidRPr="00195D4F">
        <w:rPr>
          <w:rFonts w:eastAsiaTheme="minorEastAsia"/>
          <w:sz w:val="21"/>
          <w:szCs w:val="21"/>
        </w:rPr>
        <w:t>Based on proposal 1</w:t>
      </w:r>
      <w:r>
        <w:rPr>
          <w:rFonts w:eastAsiaTheme="minorEastAsia"/>
          <w:sz w:val="21"/>
          <w:szCs w:val="21"/>
        </w:rPr>
        <w:t>, we can further discuss the issue</w:t>
      </w:r>
      <w:r w:rsidR="005F7417">
        <w:rPr>
          <w:rFonts w:eastAsiaTheme="minorEastAsia"/>
          <w:sz w:val="21"/>
          <w:szCs w:val="21"/>
        </w:rPr>
        <w:t xml:space="preserve"> on the “</w:t>
      </w:r>
      <w:r w:rsidR="005F7417" w:rsidRPr="005F7417">
        <w:rPr>
          <w:rFonts w:eastAsiaTheme="minorEastAsia"/>
          <w:sz w:val="21"/>
          <w:szCs w:val="21"/>
        </w:rPr>
        <w:t>Cond LessThan5MHz</w:t>
      </w:r>
      <w:r w:rsidR="005F7417">
        <w:rPr>
          <w:rFonts w:eastAsiaTheme="minorEastAsia"/>
          <w:sz w:val="21"/>
          <w:szCs w:val="21"/>
        </w:rPr>
        <w:t>”</w:t>
      </w:r>
      <w:r>
        <w:rPr>
          <w:rFonts w:eastAsiaTheme="minorEastAsia"/>
          <w:sz w:val="21"/>
          <w:szCs w:val="21"/>
        </w:rPr>
        <w:t xml:space="preserve"> in the [4].</w:t>
      </w:r>
    </w:p>
    <w:p w:rsidR="005F7417" w:rsidRDefault="005F7417" w:rsidP="0069409B">
      <w:pPr>
        <w:rPr>
          <w:rFonts w:eastAsiaTheme="minorEastAsia"/>
          <w:sz w:val="21"/>
          <w:szCs w:val="21"/>
        </w:rPr>
      </w:pPr>
    </w:p>
    <w:tbl>
      <w:tblPr>
        <w:tblStyle w:val="af"/>
        <w:tblW w:w="0" w:type="auto"/>
        <w:tblLook w:val="04A0" w:firstRow="1" w:lastRow="0" w:firstColumn="1" w:lastColumn="0" w:noHBand="0" w:noVBand="1"/>
      </w:tblPr>
      <w:tblGrid>
        <w:gridCol w:w="9350"/>
      </w:tblGrid>
      <w:tr w:rsidR="00195D4F" w:rsidTr="00195D4F">
        <w:tc>
          <w:tcPr>
            <w:tcW w:w="9350" w:type="dxa"/>
          </w:tcPr>
          <w:p w:rsidR="00195D4F" w:rsidRPr="00904DA7" w:rsidRDefault="00195D4F" w:rsidP="00195D4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InterFreqCarrierFreqInfo-v1800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rsidR="00195D4F" w:rsidRPr="00904DA7" w:rsidRDefault="00195D4F" w:rsidP="00195D4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dl-CarrierFreq-r18        ARFCN-ValueNR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LessThan5MHz</w:t>
            </w:r>
          </w:p>
          <w:p w:rsidR="00195D4F" w:rsidRPr="00904DA7" w:rsidRDefault="00195D4F" w:rsidP="00195D4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frequencyBandList-r18     MultiFrequencyBandListNR-SIB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LessThan5MHz</w:t>
            </w:r>
          </w:p>
          <w:p w:rsidR="00195D4F" w:rsidRDefault="00195D4F" w:rsidP="00195D4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21"/>
                <w:szCs w:val="21"/>
              </w:rPr>
            </w:pPr>
            <w:r w:rsidRPr="00904DA7">
              <w:rPr>
                <w:rFonts w:ascii="Courier New" w:hAnsi="Courier New" w:cs="Courier New"/>
                <w:noProof/>
                <w:sz w:val="16"/>
                <w:lang w:eastAsia="zh-CN"/>
              </w:rPr>
              <w:t>}</w:t>
            </w:r>
          </w:p>
        </w:tc>
      </w:tr>
    </w:tbl>
    <w:p w:rsidR="00195D4F" w:rsidRDefault="00195D4F" w:rsidP="0069409B">
      <w:pPr>
        <w:rPr>
          <w:rFonts w:eastAsiaTheme="minorEastAsia"/>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195D4F"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195D4F" w:rsidRPr="00904DA7" w:rsidRDefault="00195D4F" w:rsidP="001D4C83">
            <w:pPr>
              <w:keepNext/>
              <w:keepLines/>
              <w:jc w:val="center"/>
              <w:rPr>
                <w:rFonts w:ascii="Arial" w:hAnsi="Arial" w:cs="Arial"/>
                <w:b/>
                <w:sz w:val="18"/>
                <w:szCs w:val="22"/>
                <w:lang w:eastAsia="en-US"/>
              </w:rPr>
            </w:pPr>
            <w:r w:rsidRPr="00904DA7">
              <w:rPr>
                <w:rFonts w:ascii="Arial" w:hAnsi="Arial" w:cs="Arial"/>
                <w:b/>
                <w:sz w:val="18"/>
                <w:szCs w:val="22"/>
                <w:lang w:eastAsia="en-US"/>
              </w:rPr>
              <w:t>Conditional Presence</w:t>
            </w:r>
          </w:p>
        </w:tc>
        <w:tc>
          <w:tcPr>
            <w:tcW w:w="7733" w:type="dxa"/>
            <w:tcBorders>
              <w:top w:val="single" w:sz="4" w:space="0" w:color="auto"/>
              <w:left w:val="single" w:sz="4" w:space="0" w:color="auto"/>
              <w:bottom w:val="single" w:sz="4" w:space="0" w:color="auto"/>
              <w:right w:val="single" w:sz="4" w:space="0" w:color="auto"/>
            </w:tcBorders>
            <w:hideMark/>
          </w:tcPr>
          <w:p w:rsidR="00195D4F" w:rsidRPr="00904DA7" w:rsidRDefault="00195D4F" w:rsidP="001D4C83">
            <w:pPr>
              <w:keepNext/>
              <w:keepLines/>
              <w:jc w:val="center"/>
              <w:rPr>
                <w:rFonts w:ascii="Arial" w:hAnsi="Arial" w:cs="Arial"/>
                <w:b/>
                <w:sz w:val="18"/>
                <w:szCs w:val="22"/>
                <w:lang w:eastAsia="en-US"/>
              </w:rPr>
            </w:pPr>
            <w:r w:rsidRPr="00904DA7">
              <w:rPr>
                <w:rFonts w:ascii="Arial" w:hAnsi="Arial" w:cs="Arial"/>
                <w:b/>
                <w:sz w:val="18"/>
                <w:szCs w:val="22"/>
                <w:lang w:eastAsia="en-US"/>
              </w:rPr>
              <w:t>Explanation</w:t>
            </w:r>
          </w:p>
        </w:tc>
      </w:tr>
      <w:tr w:rsidR="00195D4F"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195D4F" w:rsidRPr="00904DA7" w:rsidRDefault="00195D4F" w:rsidP="001D4C83">
            <w:pPr>
              <w:keepNext/>
              <w:keepLines/>
              <w:rPr>
                <w:rFonts w:ascii="Arial" w:hAnsi="Arial" w:cs="Arial"/>
                <w:sz w:val="18"/>
                <w:lang w:eastAsia="en-US"/>
              </w:rPr>
            </w:pPr>
            <w:r w:rsidRPr="00904DA7">
              <w:rPr>
                <w:rFonts w:ascii="Arial" w:hAnsi="Arial" w:cs="Arial"/>
                <w:i/>
                <w:sz w:val="18"/>
                <w:szCs w:val="22"/>
                <w:lang w:eastAsia="en-US"/>
              </w:rPr>
              <w:t>LessThan5MHz</w:t>
            </w:r>
          </w:p>
        </w:tc>
        <w:tc>
          <w:tcPr>
            <w:tcW w:w="7733" w:type="dxa"/>
            <w:tcBorders>
              <w:top w:val="single" w:sz="4" w:space="0" w:color="auto"/>
              <w:left w:val="single" w:sz="4" w:space="0" w:color="auto"/>
              <w:bottom w:val="single" w:sz="4" w:space="0" w:color="auto"/>
              <w:right w:val="single" w:sz="4" w:space="0" w:color="auto"/>
            </w:tcBorders>
            <w:hideMark/>
          </w:tcPr>
          <w:p w:rsidR="00195D4F" w:rsidRPr="00904DA7" w:rsidRDefault="00195D4F" w:rsidP="005F7417">
            <w:pPr>
              <w:keepNext/>
              <w:keepLines/>
              <w:rPr>
                <w:rFonts w:ascii="Arial" w:hAnsi="Arial" w:cs="Arial"/>
                <w:sz w:val="18"/>
                <w:lang w:eastAsia="en-US"/>
              </w:rPr>
            </w:pPr>
            <w:r w:rsidRPr="00904DA7">
              <w:rPr>
                <w:rFonts w:ascii="Arial" w:hAnsi="Arial" w:cs="Arial"/>
                <w:sz w:val="18"/>
                <w:szCs w:val="22"/>
                <w:lang w:eastAsia="en-US"/>
              </w:rPr>
              <w:t xml:space="preserve">The field is mandatory present if the </w:t>
            </w:r>
            <w:r w:rsidRPr="00904DA7">
              <w:rPr>
                <w:rFonts w:ascii="Arial" w:hAnsi="Arial" w:cs="Arial"/>
                <w:i/>
                <w:iCs/>
                <w:sz w:val="18"/>
                <w:lang w:eastAsia="sv-SE"/>
              </w:rPr>
              <w:t>carrierBandwidth</w:t>
            </w:r>
            <w:r w:rsidRPr="00904DA7">
              <w:rPr>
                <w:rFonts w:ascii="Arial" w:hAnsi="Arial" w:cs="Arial"/>
                <w:sz w:val="18"/>
                <w:lang w:eastAsia="sv-SE"/>
              </w:rPr>
              <w:t xml:space="preserve"> in SIB1 indicates UL or DL transmission bandwidth </w:t>
            </w:r>
            <w:r w:rsidRPr="00904DA7">
              <w:rPr>
                <w:rFonts w:ascii="Arial" w:hAnsi="Arial" w:cs="Arial"/>
                <w:sz w:val="18"/>
                <w:szCs w:val="22"/>
                <w:lang w:eastAsia="en-US"/>
              </w:rPr>
              <w:t>other than</w:t>
            </w:r>
            <w:r>
              <w:rPr>
                <w:rFonts w:ascii="Arial" w:hAnsi="Arial" w:cs="Arial"/>
                <w:sz w:val="18"/>
                <w:szCs w:val="22"/>
                <w:lang w:eastAsia="en-US"/>
              </w:rPr>
              <w:t xml:space="preserve"> </w:t>
            </w:r>
            <w:r w:rsidRPr="00904DA7">
              <w:rPr>
                <w:rFonts w:ascii="Arial" w:hAnsi="Arial" w:cs="Arial"/>
                <w:sz w:val="18"/>
                <w:szCs w:val="22"/>
                <w:lang w:eastAsia="en-US"/>
              </w:rPr>
              <w:t>15 PRB</w:t>
            </w:r>
            <w:r>
              <w:rPr>
                <w:rFonts w:ascii="Arial" w:hAnsi="Arial" w:cs="Arial"/>
                <w:sz w:val="18"/>
                <w:szCs w:val="22"/>
                <w:lang w:eastAsia="en-US"/>
              </w:rPr>
              <w:t>,</w:t>
            </w:r>
            <w:r w:rsidRPr="00904DA7">
              <w:rPr>
                <w:rFonts w:ascii="Arial" w:hAnsi="Arial" w:cs="Arial"/>
                <w:sz w:val="18"/>
                <w:szCs w:val="22"/>
                <w:lang w:eastAsia="en-US"/>
              </w:rPr>
              <w:t xml:space="preserve"> and the corresponding neighbour cell(s) support(s) 12 PRB, 15 PRB or 20 PRB transmission bandwidth configuration as defined in TS 38.101-1 [15], TS 38.211 [16] and TS 38.213 [13]. Otherwise, the field is optional, Need S.</w:t>
            </w:r>
          </w:p>
        </w:tc>
      </w:tr>
    </w:tbl>
    <w:p w:rsidR="00195D4F" w:rsidRPr="00195D4F" w:rsidRDefault="00195D4F" w:rsidP="0069409B">
      <w:pPr>
        <w:rPr>
          <w:rFonts w:eastAsiaTheme="minorEastAsia"/>
          <w:sz w:val="21"/>
          <w:szCs w:val="21"/>
        </w:rPr>
      </w:pPr>
    </w:p>
    <w:p w:rsidR="00195D4F" w:rsidRPr="005F7417" w:rsidRDefault="00584C4F" w:rsidP="005F7417">
      <w:pPr>
        <w:jc w:val="both"/>
        <w:rPr>
          <w:rFonts w:eastAsiaTheme="minorEastAsia"/>
          <w:sz w:val="21"/>
          <w:szCs w:val="21"/>
        </w:rPr>
      </w:pPr>
      <w:r>
        <w:rPr>
          <w:rFonts w:eastAsiaTheme="minorEastAsia"/>
          <w:sz w:val="21"/>
          <w:szCs w:val="21"/>
        </w:rPr>
        <w:t>The intention of this</w:t>
      </w:r>
      <w:r w:rsidR="005F7417" w:rsidRPr="005F7417">
        <w:rPr>
          <w:rFonts w:eastAsiaTheme="minorEastAsia"/>
          <w:sz w:val="21"/>
          <w:szCs w:val="21"/>
        </w:rPr>
        <w:t xml:space="preserve"> condition</w:t>
      </w:r>
      <w:r>
        <w:rPr>
          <w:rFonts w:eastAsiaTheme="minorEastAsia"/>
          <w:sz w:val="21"/>
          <w:szCs w:val="21"/>
        </w:rPr>
        <w:t xml:space="preserve"> is that </w:t>
      </w:r>
      <w:r w:rsidR="005F7417" w:rsidRPr="005F7417">
        <w:rPr>
          <w:rFonts w:eastAsiaTheme="minorEastAsia"/>
          <w:sz w:val="21"/>
          <w:szCs w:val="21"/>
        </w:rPr>
        <w:t xml:space="preserve">if a cell doesn’t support less than 5M transmission bandwidth configuration but the </w:t>
      </w:r>
      <w:r w:rsidRPr="005F7417">
        <w:rPr>
          <w:rFonts w:eastAsiaTheme="minorEastAsia"/>
          <w:sz w:val="21"/>
          <w:szCs w:val="21"/>
        </w:rPr>
        <w:t>neighbor</w:t>
      </w:r>
      <w:r w:rsidR="005F7417" w:rsidRPr="005F7417">
        <w:rPr>
          <w:rFonts w:eastAsiaTheme="minorEastAsia"/>
          <w:sz w:val="21"/>
          <w:szCs w:val="21"/>
        </w:rPr>
        <w:t xml:space="preserve"> cell(s) support(s) less than 5M transmission ban</w:t>
      </w:r>
      <w:r>
        <w:rPr>
          <w:rFonts w:eastAsiaTheme="minorEastAsia"/>
          <w:sz w:val="21"/>
          <w:szCs w:val="21"/>
        </w:rPr>
        <w:t>dwidth, the cell shall mandatorily</w:t>
      </w:r>
      <w:r w:rsidR="005F7417" w:rsidRPr="005F7417">
        <w:rPr>
          <w:rFonts w:eastAsiaTheme="minorEastAsia"/>
          <w:sz w:val="21"/>
          <w:szCs w:val="21"/>
        </w:rPr>
        <w:t xml:space="preserve"> indicate </w:t>
      </w:r>
      <w:r w:rsidR="005F7417" w:rsidRPr="006B0C54">
        <w:rPr>
          <w:rFonts w:eastAsiaTheme="minorEastAsia"/>
          <w:i/>
          <w:sz w:val="21"/>
          <w:szCs w:val="21"/>
        </w:rPr>
        <w:t>dl-CarrierFreq-r18/ frequencyBandList-r18</w:t>
      </w:r>
      <w:r w:rsidR="005F7417">
        <w:rPr>
          <w:rFonts w:eastAsiaTheme="minorEastAsia"/>
          <w:sz w:val="21"/>
          <w:szCs w:val="21"/>
        </w:rPr>
        <w:t xml:space="preserve">. </w:t>
      </w:r>
      <w:r>
        <w:rPr>
          <w:rFonts w:eastAsiaTheme="minorEastAsia"/>
          <w:sz w:val="21"/>
          <w:szCs w:val="21"/>
        </w:rPr>
        <w:t>However, e</w:t>
      </w:r>
      <w:r w:rsidR="005F7417">
        <w:rPr>
          <w:rFonts w:eastAsiaTheme="minorEastAsia"/>
          <w:sz w:val="21"/>
          <w:szCs w:val="21"/>
        </w:rPr>
        <w:t xml:space="preserve">ven </w:t>
      </w:r>
      <w:r>
        <w:rPr>
          <w:rFonts w:eastAsiaTheme="minorEastAsia"/>
          <w:sz w:val="21"/>
          <w:szCs w:val="21"/>
        </w:rPr>
        <w:t xml:space="preserve">if the </w:t>
      </w:r>
      <w:r w:rsidR="005F7417">
        <w:rPr>
          <w:rFonts w:eastAsiaTheme="minorEastAsia"/>
          <w:sz w:val="21"/>
          <w:szCs w:val="21"/>
        </w:rPr>
        <w:t>12</w:t>
      </w:r>
      <w:r>
        <w:rPr>
          <w:rFonts w:eastAsiaTheme="minorEastAsia"/>
          <w:sz w:val="21"/>
          <w:szCs w:val="21"/>
        </w:rPr>
        <w:t>PRB/</w:t>
      </w:r>
      <w:r w:rsidR="005F7417">
        <w:rPr>
          <w:rFonts w:eastAsiaTheme="minorEastAsia"/>
          <w:sz w:val="21"/>
          <w:szCs w:val="21"/>
        </w:rPr>
        <w:t>20 PRB</w:t>
      </w:r>
      <w:r>
        <w:rPr>
          <w:rFonts w:eastAsiaTheme="minorEastAsia"/>
          <w:sz w:val="21"/>
          <w:szCs w:val="21"/>
        </w:rPr>
        <w:t xml:space="preserve"> were added</w:t>
      </w:r>
      <w:r w:rsidR="005F7417">
        <w:rPr>
          <w:rFonts w:eastAsiaTheme="minorEastAsia"/>
          <w:sz w:val="21"/>
          <w:szCs w:val="21"/>
        </w:rPr>
        <w:t xml:space="preserve"> as below,</w:t>
      </w:r>
      <w:r>
        <w:rPr>
          <w:rFonts w:eastAsiaTheme="minorEastAsia"/>
          <w:sz w:val="21"/>
          <w:szCs w:val="21"/>
        </w:rPr>
        <w:t xml:space="preserve"> this intention can’t be described exactly for </w:t>
      </w:r>
      <w:r w:rsidR="005F7417">
        <w:rPr>
          <w:rFonts w:eastAsiaTheme="minorEastAsia"/>
          <w:sz w:val="21"/>
          <w:szCs w:val="21"/>
        </w:rPr>
        <w:t>the asymmetric case</w:t>
      </w:r>
      <w:r>
        <w:rPr>
          <w:rFonts w:eastAsiaTheme="minorEastAsia"/>
          <w:sz w:val="21"/>
          <w:szCs w:val="21"/>
        </w:rPr>
        <w:t>.</w:t>
      </w:r>
      <w:r w:rsidR="005F7417" w:rsidRPr="005F7417">
        <w:rPr>
          <w:rFonts w:eastAsiaTheme="minorEastAsia"/>
          <w:sz w:val="21"/>
          <w:szCs w:val="21"/>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5F7417"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5F7417" w:rsidRPr="00904DA7" w:rsidRDefault="005F7417" w:rsidP="001D4C83">
            <w:pPr>
              <w:keepNext/>
              <w:keepLines/>
              <w:rPr>
                <w:rFonts w:ascii="Arial" w:hAnsi="Arial" w:cs="Arial"/>
                <w:sz w:val="18"/>
                <w:lang w:eastAsia="en-US"/>
              </w:rPr>
            </w:pPr>
            <w:r w:rsidRPr="00904DA7">
              <w:rPr>
                <w:rFonts w:ascii="Arial" w:hAnsi="Arial" w:cs="Arial"/>
                <w:i/>
                <w:sz w:val="18"/>
                <w:szCs w:val="22"/>
                <w:lang w:eastAsia="en-US"/>
              </w:rPr>
              <w:t>LessThan5MHz</w:t>
            </w:r>
          </w:p>
        </w:tc>
        <w:tc>
          <w:tcPr>
            <w:tcW w:w="7733" w:type="dxa"/>
            <w:tcBorders>
              <w:top w:val="single" w:sz="4" w:space="0" w:color="auto"/>
              <w:left w:val="single" w:sz="4" w:space="0" w:color="auto"/>
              <w:bottom w:val="single" w:sz="4" w:space="0" w:color="auto"/>
              <w:right w:val="single" w:sz="4" w:space="0" w:color="auto"/>
            </w:tcBorders>
            <w:hideMark/>
          </w:tcPr>
          <w:p w:rsidR="005F7417" w:rsidRPr="00904DA7" w:rsidRDefault="005F7417" w:rsidP="001D4C83">
            <w:pPr>
              <w:keepNext/>
              <w:keepLines/>
              <w:rPr>
                <w:rFonts w:ascii="Arial" w:hAnsi="Arial" w:cs="Arial"/>
                <w:sz w:val="18"/>
                <w:lang w:eastAsia="en-US"/>
              </w:rPr>
            </w:pPr>
            <w:r w:rsidRPr="00904DA7">
              <w:rPr>
                <w:rFonts w:ascii="Arial" w:hAnsi="Arial" w:cs="Arial"/>
                <w:sz w:val="18"/>
                <w:szCs w:val="22"/>
                <w:lang w:eastAsia="en-US"/>
              </w:rPr>
              <w:t xml:space="preserve">The field is mandatory present if the </w:t>
            </w:r>
            <w:r w:rsidRPr="00904DA7">
              <w:rPr>
                <w:rFonts w:ascii="Arial" w:hAnsi="Arial" w:cs="Arial"/>
                <w:i/>
                <w:iCs/>
                <w:sz w:val="18"/>
                <w:lang w:eastAsia="sv-SE"/>
              </w:rPr>
              <w:t>carrierBandwidth</w:t>
            </w:r>
            <w:r w:rsidRPr="00904DA7">
              <w:rPr>
                <w:rFonts w:ascii="Arial" w:hAnsi="Arial" w:cs="Arial"/>
                <w:sz w:val="18"/>
                <w:lang w:eastAsia="sv-SE"/>
              </w:rPr>
              <w:t xml:space="preserve"> in SIB1 indicates UL or DL transmission bandwidth </w:t>
            </w:r>
            <w:r w:rsidRPr="00904DA7">
              <w:rPr>
                <w:rFonts w:ascii="Arial" w:hAnsi="Arial" w:cs="Arial"/>
                <w:sz w:val="18"/>
                <w:szCs w:val="22"/>
                <w:lang w:eastAsia="en-US"/>
              </w:rPr>
              <w:t>other than</w:t>
            </w:r>
            <w:r>
              <w:rPr>
                <w:rFonts w:ascii="Arial" w:hAnsi="Arial" w:cs="Arial"/>
                <w:sz w:val="18"/>
                <w:szCs w:val="22"/>
                <w:lang w:eastAsia="en-US"/>
              </w:rPr>
              <w:t xml:space="preserve"> </w:t>
            </w:r>
            <w:r w:rsidRPr="005F7417">
              <w:rPr>
                <w:rFonts w:ascii="Arial" w:hAnsi="Arial" w:cs="Arial"/>
                <w:color w:val="FF0000"/>
                <w:sz w:val="18"/>
                <w:szCs w:val="22"/>
                <w:lang w:eastAsia="en-US"/>
              </w:rPr>
              <w:t>12PRB,</w:t>
            </w:r>
            <w:r w:rsidRPr="00904DA7">
              <w:rPr>
                <w:rFonts w:ascii="Arial" w:hAnsi="Arial" w:cs="Arial"/>
                <w:sz w:val="18"/>
                <w:szCs w:val="22"/>
                <w:lang w:eastAsia="en-US"/>
              </w:rPr>
              <w:t>15 PRB</w:t>
            </w:r>
            <w:r>
              <w:rPr>
                <w:rFonts w:ascii="Arial" w:hAnsi="Arial" w:cs="Arial"/>
                <w:sz w:val="18"/>
                <w:szCs w:val="22"/>
                <w:lang w:eastAsia="en-US"/>
              </w:rPr>
              <w:t xml:space="preserve"> </w:t>
            </w:r>
            <w:r w:rsidRPr="005F7417">
              <w:rPr>
                <w:rFonts w:ascii="Arial" w:hAnsi="Arial" w:cs="Arial"/>
                <w:color w:val="FF0000"/>
                <w:sz w:val="18"/>
                <w:szCs w:val="22"/>
                <w:lang w:eastAsia="en-US"/>
              </w:rPr>
              <w:t>or 20PRB</w:t>
            </w:r>
            <w:r>
              <w:rPr>
                <w:rFonts w:ascii="Arial" w:hAnsi="Arial" w:cs="Arial"/>
                <w:sz w:val="18"/>
                <w:szCs w:val="22"/>
                <w:lang w:eastAsia="en-US"/>
              </w:rPr>
              <w:t>,</w:t>
            </w:r>
            <w:r w:rsidRPr="00904DA7">
              <w:rPr>
                <w:rFonts w:ascii="Arial" w:hAnsi="Arial" w:cs="Arial"/>
                <w:sz w:val="18"/>
                <w:szCs w:val="22"/>
                <w:lang w:eastAsia="en-US"/>
              </w:rPr>
              <w:t xml:space="preserve"> and the corresponding neighbour cell(s) support(s) 12 PRB, 15 PRB or 20 PRB transmission bandwidth configuration as defined in TS 38.101-1 [15], TS 38.211 [16] and TS 38.213 [13]. Otherwise, the field is optional, Need S.</w:t>
            </w:r>
          </w:p>
        </w:tc>
      </w:tr>
    </w:tbl>
    <w:p w:rsidR="005F7417" w:rsidRPr="006B0C54" w:rsidRDefault="005F7417" w:rsidP="0069409B">
      <w:pPr>
        <w:rPr>
          <w:rFonts w:eastAsiaTheme="minorEastAsia"/>
          <w:sz w:val="21"/>
          <w:szCs w:val="21"/>
        </w:rPr>
      </w:pPr>
    </w:p>
    <w:p w:rsidR="006B0C54" w:rsidRPr="006B0C54" w:rsidRDefault="005F7417" w:rsidP="0069409B">
      <w:pPr>
        <w:rPr>
          <w:rFonts w:eastAsiaTheme="minorEastAsia"/>
          <w:sz w:val="21"/>
          <w:szCs w:val="21"/>
        </w:rPr>
      </w:pPr>
      <w:r w:rsidRPr="006B0C54">
        <w:rPr>
          <w:rFonts w:eastAsiaTheme="minorEastAsia"/>
          <w:sz w:val="21"/>
          <w:szCs w:val="21"/>
        </w:rPr>
        <w:t>For the asymmetric case</w:t>
      </w:r>
      <w:r w:rsidR="006B0C54" w:rsidRPr="006B0C54">
        <w:rPr>
          <w:rFonts w:eastAsiaTheme="minorEastAsia"/>
          <w:sz w:val="21"/>
          <w:szCs w:val="21"/>
        </w:rPr>
        <w:t xml:space="preserve"> (e.g. band 28 with UL 3M and DL 25M)</w:t>
      </w:r>
      <w:r w:rsidRPr="006B0C54">
        <w:rPr>
          <w:rFonts w:eastAsiaTheme="minorEastAsia"/>
          <w:sz w:val="21"/>
          <w:szCs w:val="21"/>
        </w:rPr>
        <w:t xml:space="preserve">, the cell can configure </w:t>
      </w:r>
      <w:r w:rsidR="006B0C54" w:rsidRPr="006B0C54">
        <w:rPr>
          <w:rFonts w:eastAsiaTheme="minorEastAsia"/>
          <w:sz w:val="21"/>
          <w:szCs w:val="21"/>
        </w:rPr>
        <w:t>UL with 3M (1</w:t>
      </w:r>
      <w:r w:rsidR="00584C4F">
        <w:rPr>
          <w:rFonts w:eastAsiaTheme="minorEastAsia"/>
          <w:sz w:val="21"/>
          <w:szCs w:val="21"/>
        </w:rPr>
        <w:t>5 PRB) and DL with 5M (25 PRB). In this case</w:t>
      </w:r>
      <w:r w:rsidR="006B0C54" w:rsidRPr="006B0C54">
        <w:rPr>
          <w:rFonts w:eastAsiaTheme="minorEastAsia"/>
          <w:sz w:val="21"/>
          <w:szCs w:val="21"/>
        </w:rPr>
        <w:t xml:space="preserve"> it’s not mandatory </w:t>
      </w:r>
      <w:r w:rsidR="006B0C54">
        <w:rPr>
          <w:rFonts w:eastAsiaTheme="minorEastAsia"/>
          <w:sz w:val="21"/>
          <w:szCs w:val="21"/>
        </w:rPr>
        <w:t xml:space="preserve">for this cell to indicate </w:t>
      </w:r>
      <w:r w:rsidR="006B0C54" w:rsidRPr="006B0C54">
        <w:rPr>
          <w:rFonts w:eastAsiaTheme="minorEastAsia"/>
          <w:i/>
          <w:sz w:val="21"/>
          <w:szCs w:val="21"/>
        </w:rPr>
        <w:t>dl-CarrierFreq-r18/ frequencyBandList-r18</w:t>
      </w:r>
      <w:r w:rsidR="00584C4F">
        <w:rPr>
          <w:rFonts w:eastAsiaTheme="minorEastAsia"/>
          <w:i/>
          <w:sz w:val="21"/>
          <w:szCs w:val="21"/>
        </w:rPr>
        <w:t xml:space="preserve">. </w:t>
      </w:r>
      <w:r w:rsidR="00584C4F">
        <w:rPr>
          <w:rFonts w:eastAsiaTheme="minorEastAsia"/>
          <w:sz w:val="21"/>
          <w:szCs w:val="21"/>
        </w:rPr>
        <w:t>B</w:t>
      </w:r>
      <w:r w:rsidR="006B0C54" w:rsidRPr="006B0C54">
        <w:rPr>
          <w:rFonts w:eastAsiaTheme="minorEastAsia"/>
          <w:sz w:val="21"/>
          <w:szCs w:val="21"/>
        </w:rPr>
        <w:t>ut according to the current description, the condition “</w:t>
      </w:r>
      <w:r w:rsidR="006B0C54" w:rsidRPr="006B0C54">
        <w:rPr>
          <w:rFonts w:ascii="Arial" w:hAnsi="Arial" w:cs="Arial"/>
          <w:sz w:val="18"/>
          <w:lang w:eastAsia="sv-SE"/>
        </w:rPr>
        <w:t xml:space="preserve">DL transmission bandwidth </w:t>
      </w:r>
      <w:r w:rsidR="006B0C54" w:rsidRPr="006B0C54">
        <w:rPr>
          <w:rFonts w:ascii="Arial" w:hAnsi="Arial" w:cs="Arial"/>
          <w:sz w:val="18"/>
          <w:szCs w:val="22"/>
          <w:lang w:eastAsia="en-US"/>
        </w:rPr>
        <w:t>other than 12PRB,15 PRB or 20PRB</w:t>
      </w:r>
      <w:r w:rsidR="006B0C54" w:rsidRPr="006B0C54">
        <w:rPr>
          <w:rFonts w:eastAsiaTheme="minorEastAsia"/>
          <w:sz w:val="21"/>
          <w:szCs w:val="21"/>
        </w:rPr>
        <w:t>”</w:t>
      </w:r>
      <w:r w:rsidR="006B0C54">
        <w:rPr>
          <w:rFonts w:eastAsiaTheme="minorEastAsia"/>
          <w:sz w:val="21"/>
          <w:szCs w:val="21"/>
        </w:rPr>
        <w:t xml:space="preserve"> can be satisfied and thus this cell has to </w:t>
      </w:r>
      <w:r w:rsidR="006B0C54" w:rsidRPr="006B0C54">
        <w:rPr>
          <w:rFonts w:eastAsiaTheme="minorEastAsia"/>
          <w:i/>
          <w:sz w:val="21"/>
          <w:szCs w:val="21"/>
        </w:rPr>
        <w:t xml:space="preserve">indicate dl-CarrierFreq-r18/ frequencyBandList-r18. </w:t>
      </w:r>
      <w:r w:rsidR="006B0C54" w:rsidRPr="006B0C54">
        <w:rPr>
          <w:rFonts w:eastAsiaTheme="minorEastAsia"/>
          <w:sz w:val="21"/>
          <w:szCs w:val="21"/>
        </w:rPr>
        <w:t xml:space="preserve">To avoid such issue, the </w:t>
      </w:r>
      <w:r w:rsidR="00584C4F">
        <w:rPr>
          <w:rFonts w:eastAsiaTheme="minorEastAsia"/>
          <w:sz w:val="21"/>
          <w:szCs w:val="21"/>
        </w:rPr>
        <w:t>following</w:t>
      </w:r>
      <w:r w:rsidR="00F239C4">
        <w:rPr>
          <w:rFonts w:eastAsiaTheme="minorEastAsia"/>
          <w:sz w:val="21"/>
          <w:szCs w:val="21"/>
        </w:rPr>
        <w:t xml:space="preserve"> modification is suggested, </w:t>
      </w:r>
      <w:r w:rsidR="009C2803">
        <w:rPr>
          <w:rFonts w:eastAsiaTheme="minorEastAsia"/>
          <w:sz w:val="21"/>
          <w:szCs w:val="21"/>
        </w:rPr>
        <w:t xml:space="preserve">which is also </w:t>
      </w:r>
      <w:r w:rsidR="00F239C4">
        <w:rPr>
          <w:rFonts w:eastAsiaTheme="minorEastAsia"/>
          <w:sz w:val="21"/>
          <w:szCs w:val="21"/>
        </w:rPr>
        <w:t xml:space="preserve">similar </w:t>
      </w:r>
      <w:r w:rsidR="009C2803">
        <w:rPr>
          <w:rFonts w:eastAsiaTheme="minorEastAsia"/>
          <w:sz w:val="21"/>
          <w:szCs w:val="21"/>
        </w:rPr>
        <w:t xml:space="preserve">to the </w:t>
      </w:r>
      <w:r w:rsidR="00F239C4">
        <w:rPr>
          <w:rFonts w:eastAsiaTheme="minorEastAsia"/>
          <w:sz w:val="21"/>
          <w:szCs w:val="21"/>
        </w:rPr>
        <w:t xml:space="preserve">wording used in the </w:t>
      </w:r>
      <w:r w:rsidR="00F239C4" w:rsidRPr="00F239C4">
        <w:rPr>
          <w:rFonts w:eastAsiaTheme="minorEastAsia"/>
          <w:i/>
          <w:sz w:val="21"/>
          <w:szCs w:val="21"/>
        </w:rPr>
        <w:t>MeasIdleConfig</w:t>
      </w:r>
      <w:r w:rsidR="00F239C4" w:rsidRPr="00F239C4">
        <w:rPr>
          <w:rFonts w:eastAsiaTheme="minorEastAsia"/>
          <w:sz w:val="21"/>
          <w:szCs w:val="21"/>
        </w:rPr>
        <w:t xml:space="preserve"> field descriptions</w:t>
      </w:r>
      <w:r w:rsidR="009C2803">
        <w:rPr>
          <w:rFonts w:eastAsiaTheme="minorEastAsia"/>
          <w:sz w:val="21"/>
          <w:szCs w:val="21"/>
        </w:rPr>
        <w:t>.</w:t>
      </w:r>
    </w:p>
    <w:p w:rsidR="006B0C54" w:rsidRDefault="006B0C54" w:rsidP="0069409B">
      <w:pPr>
        <w:rPr>
          <w:rFonts w:eastAsiaTheme="minorEastAsia"/>
          <w:i/>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6B0C54"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6B0C54" w:rsidRPr="00904DA7" w:rsidRDefault="006B0C54" w:rsidP="001D4C83">
            <w:pPr>
              <w:keepNext/>
              <w:keepLines/>
              <w:rPr>
                <w:rFonts w:ascii="Arial" w:hAnsi="Arial" w:cs="Arial"/>
                <w:sz w:val="18"/>
                <w:lang w:eastAsia="en-US"/>
              </w:rPr>
            </w:pPr>
            <w:r w:rsidRPr="00904DA7">
              <w:rPr>
                <w:rFonts w:ascii="Arial" w:hAnsi="Arial" w:cs="Arial"/>
                <w:i/>
                <w:sz w:val="18"/>
                <w:szCs w:val="22"/>
                <w:lang w:eastAsia="en-US"/>
              </w:rPr>
              <w:lastRenderedPageBreak/>
              <w:t>LessThan5MHz</w:t>
            </w:r>
          </w:p>
        </w:tc>
        <w:tc>
          <w:tcPr>
            <w:tcW w:w="7733" w:type="dxa"/>
            <w:tcBorders>
              <w:top w:val="single" w:sz="4" w:space="0" w:color="auto"/>
              <w:left w:val="single" w:sz="4" w:space="0" w:color="auto"/>
              <w:bottom w:val="single" w:sz="4" w:space="0" w:color="auto"/>
              <w:right w:val="single" w:sz="4" w:space="0" w:color="auto"/>
            </w:tcBorders>
            <w:hideMark/>
          </w:tcPr>
          <w:p w:rsidR="006B0C54" w:rsidRPr="00904DA7" w:rsidRDefault="006B0C54" w:rsidP="009C2803">
            <w:pPr>
              <w:keepNext/>
              <w:keepLines/>
              <w:rPr>
                <w:rFonts w:ascii="Arial" w:hAnsi="Arial" w:cs="Arial"/>
                <w:sz w:val="18"/>
                <w:lang w:eastAsia="en-US"/>
              </w:rPr>
            </w:pPr>
            <w:r w:rsidRPr="00904DA7">
              <w:rPr>
                <w:rFonts w:ascii="Arial" w:hAnsi="Arial" w:cs="Arial"/>
                <w:sz w:val="18"/>
                <w:szCs w:val="22"/>
                <w:lang w:eastAsia="en-US"/>
              </w:rPr>
              <w:t xml:space="preserve">The field is mandatory present </w:t>
            </w:r>
            <w:r w:rsidRPr="009C2803">
              <w:rPr>
                <w:rFonts w:ascii="Arial" w:hAnsi="Arial" w:cs="Arial"/>
                <w:sz w:val="18"/>
                <w:szCs w:val="22"/>
                <w:lang w:eastAsia="en-US"/>
              </w:rPr>
              <w:t xml:space="preserve">if </w:t>
            </w:r>
            <w:r w:rsidRPr="00F239C4">
              <w:rPr>
                <w:rFonts w:ascii="Arial" w:hAnsi="Arial" w:cs="Arial"/>
                <w:strike/>
                <w:color w:val="FF0000"/>
                <w:sz w:val="18"/>
                <w:szCs w:val="22"/>
                <w:lang w:eastAsia="en-US"/>
              </w:rPr>
              <w:t xml:space="preserve">the </w:t>
            </w:r>
            <w:r w:rsidRPr="00F239C4">
              <w:rPr>
                <w:rFonts w:ascii="Arial" w:hAnsi="Arial" w:cs="Arial"/>
                <w:i/>
                <w:iCs/>
                <w:strike/>
                <w:color w:val="FF0000"/>
                <w:sz w:val="18"/>
                <w:lang w:eastAsia="sv-SE"/>
              </w:rPr>
              <w:t>carrierBandwidth</w:t>
            </w:r>
            <w:r w:rsidRPr="00F239C4">
              <w:rPr>
                <w:rFonts w:ascii="Arial" w:hAnsi="Arial" w:cs="Arial"/>
                <w:strike/>
                <w:color w:val="FF0000"/>
                <w:sz w:val="18"/>
                <w:lang w:eastAsia="sv-SE"/>
              </w:rPr>
              <w:t xml:space="preserve"> in SIB1 indicates UL or DL transmission bandwidth </w:t>
            </w:r>
            <w:r w:rsidRPr="00F239C4">
              <w:rPr>
                <w:rFonts w:ascii="Arial" w:hAnsi="Arial" w:cs="Arial"/>
                <w:strike/>
                <w:color w:val="FF0000"/>
                <w:sz w:val="18"/>
                <w:szCs w:val="22"/>
                <w:lang w:eastAsia="en-US"/>
              </w:rPr>
              <w:t>other than 15 PRB</w:t>
            </w:r>
            <w:r w:rsidR="00F239C4">
              <w:rPr>
                <w:rFonts w:ascii="Arial" w:hAnsi="Arial" w:cs="Arial"/>
                <w:strike/>
                <w:color w:val="FF0000"/>
                <w:sz w:val="18"/>
                <w:szCs w:val="22"/>
                <w:lang w:eastAsia="en-US"/>
              </w:rPr>
              <w:t xml:space="preserve"> </w:t>
            </w:r>
            <w:r w:rsidR="009C2803">
              <w:rPr>
                <w:rFonts w:ascii="Arial" w:hAnsi="Arial" w:cs="Arial"/>
                <w:color w:val="7030A0"/>
                <w:sz w:val="18"/>
                <w:szCs w:val="22"/>
                <w:lang w:eastAsia="en-US"/>
              </w:rPr>
              <w:t>a cell doesn’t support</w:t>
            </w:r>
            <w:r w:rsidR="00F239C4" w:rsidRPr="00F239C4">
              <w:rPr>
                <w:rFonts w:ascii="Arial" w:hAnsi="Arial" w:cs="Arial"/>
                <w:color w:val="7030A0"/>
                <w:sz w:val="18"/>
                <w:szCs w:val="22"/>
                <w:lang w:eastAsia="en-US"/>
              </w:rPr>
              <w:t xml:space="preserve"> 12 PRB, 15 PRB or 20 PRB transmission bandwidth</w:t>
            </w:r>
            <w:r>
              <w:rPr>
                <w:rFonts w:ascii="Arial" w:hAnsi="Arial" w:cs="Arial"/>
                <w:sz w:val="18"/>
                <w:szCs w:val="22"/>
                <w:lang w:eastAsia="en-US"/>
              </w:rPr>
              <w:t>,</w:t>
            </w:r>
            <w:r w:rsidRPr="00904DA7">
              <w:rPr>
                <w:rFonts w:ascii="Arial" w:hAnsi="Arial" w:cs="Arial"/>
                <w:sz w:val="18"/>
                <w:szCs w:val="22"/>
                <w:lang w:eastAsia="en-US"/>
              </w:rPr>
              <w:t xml:space="preserve"> </w:t>
            </w:r>
            <w:r w:rsidRPr="00CC0120">
              <w:rPr>
                <w:rFonts w:ascii="Arial" w:hAnsi="Arial" w:cs="Arial"/>
                <w:strike/>
                <w:color w:val="FF0000"/>
                <w:sz w:val="18"/>
                <w:szCs w:val="22"/>
                <w:lang w:eastAsia="en-US"/>
              </w:rPr>
              <w:t>and</w:t>
            </w:r>
            <w:r w:rsidRPr="00CC0120">
              <w:rPr>
                <w:rFonts w:ascii="Arial" w:hAnsi="Arial" w:cs="Arial"/>
                <w:color w:val="FF0000"/>
                <w:sz w:val="18"/>
                <w:szCs w:val="22"/>
                <w:lang w:eastAsia="en-US"/>
              </w:rPr>
              <w:t xml:space="preserve"> </w:t>
            </w:r>
            <w:r w:rsidR="00CC0120">
              <w:rPr>
                <w:rFonts w:ascii="Arial" w:hAnsi="Arial" w:cs="Arial"/>
                <w:color w:val="FF0000"/>
                <w:sz w:val="18"/>
                <w:szCs w:val="22"/>
                <w:lang w:eastAsia="en-US"/>
              </w:rPr>
              <w:t xml:space="preserve">but </w:t>
            </w:r>
            <w:r w:rsidRPr="00904DA7">
              <w:rPr>
                <w:rFonts w:ascii="Arial" w:hAnsi="Arial" w:cs="Arial"/>
                <w:sz w:val="18"/>
                <w:szCs w:val="22"/>
                <w:lang w:eastAsia="en-US"/>
              </w:rPr>
              <w:t>the corresponding neighbour cell(s) support(s) 12 PRB, 15 PRB or 20 PRB transmission bandwidth configuration as defined in TS 38.101-1 [15], TS 38.211 [16] and TS 38.213 [13]. Otherwise, the field is optional, Need S.</w:t>
            </w:r>
          </w:p>
        </w:tc>
      </w:tr>
    </w:tbl>
    <w:p w:rsidR="006B0C54" w:rsidRPr="00F239C4" w:rsidRDefault="006B0C54" w:rsidP="0069409B">
      <w:pPr>
        <w:rPr>
          <w:rFonts w:eastAsiaTheme="minorEastAsia"/>
          <w:b/>
          <w:sz w:val="21"/>
          <w:szCs w:val="21"/>
        </w:rPr>
      </w:pPr>
    </w:p>
    <w:p w:rsidR="005F7417" w:rsidRDefault="00F239C4" w:rsidP="0069409B">
      <w:pPr>
        <w:rPr>
          <w:rFonts w:eastAsiaTheme="minorEastAsia"/>
          <w:b/>
          <w:sz w:val="21"/>
          <w:szCs w:val="21"/>
        </w:rPr>
      </w:pPr>
      <w:r>
        <w:rPr>
          <w:rFonts w:eastAsiaTheme="minorEastAsia"/>
          <w:b/>
          <w:sz w:val="21"/>
          <w:szCs w:val="21"/>
        </w:rPr>
        <w:t>Proposal 2: Change the “</w:t>
      </w:r>
      <w:r w:rsidRPr="00F239C4">
        <w:rPr>
          <w:rFonts w:eastAsiaTheme="minorEastAsia"/>
          <w:b/>
          <w:sz w:val="21"/>
          <w:szCs w:val="21"/>
        </w:rPr>
        <w:t>Cond LessThan5MHz” description as below:</w:t>
      </w:r>
      <w:r>
        <w:rPr>
          <w:rFonts w:eastAsiaTheme="minorEastAsia"/>
          <w:b/>
          <w:sz w:val="21"/>
          <w:szCs w:val="21"/>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9C2803"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9C2803" w:rsidRPr="00904DA7" w:rsidRDefault="009C2803" w:rsidP="001D4C83">
            <w:pPr>
              <w:keepNext/>
              <w:keepLines/>
              <w:rPr>
                <w:rFonts w:ascii="Arial" w:hAnsi="Arial" w:cs="Arial"/>
                <w:sz w:val="18"/>
                <w:lang w:eastAsia="en-US"/>
              </w:rPr>
            </w:pPr>
            <w:r w:rsidRPr="00904DA7">
              <w:rPr>
                <w:rFonts w:ascii="Arial" w:hAnsi="Arial" w:cs="Arial"/>
                <w:i/>
                <w:sz w:val="18"/>
                <w:szCs w:val="22"/>
                <w:lang w:eastAsia="en-US"/>
              </w:rPr>
              <w:t>LessThan5MHz</w:t>
            </w:r>
          </w:p>
        </w:tc>
        <w:tc>
          <w:tcPr>
            <w:tcW w:w="7733" w:type="dxa"/>
            <w:tcBorders>
              <w:top w:val="single" w:sz="4" w:space="0" w:color="auto"/>
              <w:left w:val="single" w:sz="4" w:space="0" w:color="auto"/>
              <w:bottom w:val="single" w:sz="4" w:space="0" w:color="auto"/>
              <w:right w:val="single" w:sz="4" w:space="0" w:color="auto"/>
            </w:tcBorders>
            <w:hideMark/>
          </w:tcPr>
          <w:p w:rsidR="009C2803" w:rsidRPr="00904DA7" w:rsidRDefault="009C2803" w:rsidP="001D4C83">
            <w:pPr>
              <w:keepNext/>
              <w:keepLines/>
              <w:rPr>
                <w:rFonts w:ascii="Arial" w:hAnsi="Arial" w:cs="Arial"/>
                <w:sz w:val="18"/>
                <w:lang w:eastAsia="en-US"/>
              </w:rPr>
            </w:pPr>
            <w:r w:rsidRPr="00904DA7">
              <w:rPr>
                <w:rFonts w:ascii="Arial" w:hAnsi="Arial" w:cs="Arial"/>
                <w:sz w:val="18"/>
                <w:szCs w:val="22"/>
                <w:lang w:eastAsia="en-US"/>
              </w:rPr>
              <w:t xml:space="preserve">The field is mandatory present </w:t>
            </w:r>
            <w:r w:rsidRPr="009C2803">
              <w:rPr>
                <w:rFonts w:ascii="Arial" w:hAnsi="Arial" w:cs="Arial"/>
                <w:sz w:val="18"/>
                <w:szCs w:val="22"/>
                <w:lang w:eastAsia="en-US"/>
              </w:rPr>
              <w:t xml:space="preserve">if </w:t>
            </w:r>
            <w:r w:rsidRPr="00F239C4">
              <w:rPr>
                <w:rFonts w:ascii="Arial" w:hAnsi="Arial" w:cs="Arial"/>
                <w:strike/>
                <w:color w:val="FF0000"/>
                <w:sz w:val="18"/>
                <w:szCs w:val="22"/>
                <w:lang w:eastAsia="en-US"/>
              </w:rPr>
              <w:t xml:space="preserve">the </w:t>
            </w:r>
            <w:r w:rsidRPr="00F239C4">
              <w:rPr>
                <w:rFonts w:ascii="Arial" w:hAnsi="Arial" w:cs="Arial"/>
                <w:i/>
                <w:iCs/>
                <w:strike/>
                <w:color w:val="FF0000"/>
                <w:sz w:val="18"/>
                <w:lang w:eastAsia="sv-SE"/>
              </w:rPr>
              <w:t>carrierBandwidth</w:t>
            </w:r>
            <w:r w:rsidRPr="00F239C4">
              <w:rPr>
                <w:rFonts w:ascii="Arial" w:hAnsi="Arial" w:cs="Arial"/>
                <w:strike/>
                <w:color w:val="FF0000"/>
                <w:sz w:val="18"/>
                <w:lang w:eastAsia="sv-SE"/>
              </w:rPr>
              <w:t xml:space="preserve"> in SIB1 indicates UL or DL transmission bandwidth </w:t>
            </w:r>
            <w:r w:rsidRPr="00F239C4">
              <w:rPr>
                <w:rFonts w:ascii="Arial" w:hAnsi="Arial" w:cs="Arial"/>
                <w:strike/>
                <w:color w:val="FF0000"/>
                <w:sz w:val="18"/>
                <w:szCs w:val="22"/>
                <w:lang w:eastAsia="en-US"/>
              </w:rPr>
              <w:t>other than 15 PRB</w:t>
            </w:r>
            <w:r>
              <w:rPr>
                <w:rFonts w:ascii="Arial" w:hAnsi="Arial" w:cs="Arial"/>
                <w:strike/>
                <w:color w:val="FF0000"/>
                <w:sz w:val="18"/>
                <w:szCs w:val="22"/>
                <w:lang w:eastAsia="en-US"/>
              </w:rPr>
              <w:t xml:space="preserve"> </w:t>
            </w:r>
            <w:r>
              <w:rPr>
                <w:rFonts w:ascii="Arial" w:hAnsi="Arial" w:cs="Arial"/>
                <w:color w:val="7030A0"/>
                <w:sz w:val="18"/>
                <w:szCs w:val="22"/>
                <w:lang w:eastAsia="en-US"/>
              </w:rPr>
              <w:t>a cell doesn’t support</w:t>
            </w:r>
            <w:r w:rsidRPr="00F239C4">
              <w:rPr>
                <w:rFonts w:ascii="Arial" w:hAnsi="Arial" w:cs="Arial"/>
                <w:color w:val="7030A0"/>
                <w:sz w:val="18"/>
                <w:szCs w:val="22"/>
                <w:lang w:eastAsia="en-US"/>
              </w:rPr>
              <w:t xml:space="preserve"> 12 PRB, 15 PRB or 20 PRB transmission bandwidth</w:t>
            </w:r>
            <w:r>
              <w:rPr>
                <w:rFonts w:ascii="Arial" w:hAnsi="Arial" w:cs="Arial"/>
                <w:sz w:val="18"/>
                <w:szCs w:val="22"/>
                <w:lang w:eastAsia="en-US"/>
              </w:rPr>
              <w:t>,</w:t>
            </w:r>
            <w:r w:rsidRPr="00904DA7">
              <w:rPr>
                <w:rFonts w:ascii="Arial" w:hAnsi="Arial" w:cs="Arial"/>
                <w:sz w:val="18"/>
                <w:szCs w:val="22"/>
                <w:lang w:eastAsia="en-US"/>
              </w:rPr>
              <w:t xml:space="preserve"> </w:t>
            </w:r>
            <w:r w:rsidRPr="00CC0120">
              <w:rPr>
                <w:rFonts w:ascii="Arial" w:hAnsi="Arial" w:cs="Arial"/>
                <w:strike/>
                <w:color w:val="FF0000"/>
                <w:sz w:val="18"/>
                <w:szCs w:val="22"/>
                <w:lang w:eastAsia="en-US"/>
              </w:rPr>
              <w:t>and</w:t>
            </w:r>
            <w:r w:rsidRPr="00CC0120">
              <w:rPr>
                <w:rFonts w:ascii="Arial" w:hAnsi="Arial" w:cs="Arial"/>
                <w:color w:val="FF0000"/>
                <w:sz w:val="18"/>
                <w:szCs w:val="22"/>
                <w:lang w:eastAsia="en-US"/>
              </w:rPr>
              <w:t xml:space="preserve"> </w:t>
            </w:r>
            <w:r>
              <w:rPr>
                <w:rFonts w:ascii="Arial" w:hAnsi="Arial" w:cs="Arial"/>
                <w:color w:val="FF0000"/>
                <w:sz w:val="18"/>
                <w:szCs w:val="22"/>
                <w:lang w:eastAsia="en-US"/>
              </w:rPr>
              <w:t xml:space="preserve">but </w:t>
            </w:r>
            <w:r w:rsidRPr="00904DA7">
              <w:rPr>
                <w:rFonts w:ascii="Arial" w:hAnsi="Arial" w:cs="Arial"/>
                <w:sz w:val="18"/>
                <w:szCs w:val="22"/>
                <w:lang w:eastAsia="en-US"/>
              </w:rPr>
              <w:t>the corresponding neighbour cell(s) support(s) 12 PRB, 15 PRB or 20 PRB transmission bandwidth configuration as defined in TS 38.101-1 [15], TS 38.211 [16] and TS 38.213 [13]. Otherwise, the field is optional, Need S.</w:t>
            </w:r>
          </w:p>
        </w:tc>
      </w:tr>
    </w:tbl>
    <w:p w:rsidR="00F239C4" w:rsidRDefault="00F239C4" w:rsidP="0069409B">
      <w:pPr>
        <w:rPr>
          <w:rFonts w:eastAsiaTheme="minorEastAsia"/>
          <w:sz w:val="21"/>
          <w:szCs w:val="21"/>
        </w:rPr>
      </w:pPr>
    </w:p>
    <w:p w:rsidR="00F239C4" w:rsidRDefault="00F239C4" w:rsidP="0069409B">
      <w:pPr>
        <w:rPr>
          <w:rFonts w:eastAsiaTheme="minorEastAsia"/>
          <w:sz w:val="21"/>
          <w:szCs w:val="21"/>
        </w:rPr>
      </w:pPr>
      <w:r>
        <w:rPr>
          <w:rFonts w:eastAsiaTheme="minorEastAsia"/>
          <w:sz w:val="21"/>
          <w:szCs w:val="21"/>
        </w:rPr>
        <w:t>The corresponding CR</w:t>
      </w:r>
      <w:r w:rsidR="00584C4F">
        <w:rPr>
          <w:rFonts w:eastAsiaTheme="minorEastAsia"/>
          <w:sz w:val="21"/>
          <w:szCs w:val="21"/>
        </w:rPr>
        <w:t xml:space="preserve"> based on the above proposals</w:t>
      </w:r>
      <w:r>
        <w:rPr>
          <w:rFonts w:eastAsiaTheme="minorEastAsia"/>
          <w:sz w:val="21"/>
          <w:szCs w:val="21"/>
        </w:rPr>
        <w:t xml:space="preserve"> was also provided as in [5]</w:t>
      </w:r>
      <w:r>
        <w:rPr>
          <w:rFonts w:eastAsiaTheme="minorEastAsia" w:hint="eastAsia"/>
          <w:sz w:val="21"/>
          <w:szCs w:val="21"/>
        </w:rPr>
        <w:t>.</w:t>
      </w:r>
    </w:p>
    <w:p w:rsidR="00F239C4" w:rsidRPr="006B0C54" w:rsidRDefault="00F239C4" w:rsidP="0069409B">
      <w:pPr>
        <w:rPr>
          <w:rFonts w:eastAsiaTheme="minorEastAsia"/>
          <w:sz w:val="21"/>
          <w:szCs w:val="21"/>
        </w:rPr>
      </w:pPr>
      <w:r>
        <w:rPr>
          <w:rFonts w:eastAsiaTheme="minorEastAsia"/>
          <w:b/>
          <w:sz w:val="21"/>
          <w:szCs w:val="21"/>
        </w:rPr>
        <w:t>Proposal 3: Agree the related CR in [5].</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584C4F" w:rsidRDefault="00584C4F" w:rsidP="00584C4F">
      <w:pPr>
        <w:jc w:val="both"/>
        <w:rPr>
          <w:rFonts w:eastAsiaTheme="minorEastAsia"/>
          <w:b/>
          <w:sz w:val="21"/>
          <w:szCs w:val="21"/>
        </w:rPr>
      </w:pPr>
      <w:r w:rsidRPr="00BA5CE8">
        <w:rPr>
          <w:rFonts w:eastAsiaTheme="minorEastAsia"/>
          <w:b/>
          <w:sz w:val="21"/>
          <w:szCs w:val="21"/>
        </w:rPr>
        <w:t>Proposal 1:</w:t>
      </w:r>
      <w:r>
        <w:rPr>
          <w:rFonts w:eastAsiaTheme="minorEastAsia"/>
          <w:b/>
          <w:sz w:val="21"/>
          <w:szCs w:val="21"/>
        </w:rPr>
        <w:t xml:space="preserve"> Add the following two clarifications to the field description of the </w:t>
      </w:r>
      <w:r w:rsidRPr="009F4CDA">
        <w:rPr>
          <w:rFonts w:eastAsiaTheme="minorEastAsia"/>
          <w:b/>
          <w:i/>
          <w:sz w:val="21"/>
          <w:szCs w:val="21"/>
        </w:rPr>
        <w:t>carrierBandwidt</w:t>
      </w:r>
      <w:r w:rsidRPr="00195D4F">
        <w:rPr>
          <w:rFonts w:eastAsiaTheme="minorEastAsia"/>
          <w:b/>
          <w:i/>
          <w:sz w:val="21"/>
          <w:szCs w:val="21"/>
        </w:rPr>
        <w:t xml:space="preserve">h </w:t>
      </w:r>
      <w:r>
        <w:rPr>
          <w:rFonts w:eastAsiaTheme="minorEastAsia"/>
          <w:b/>
          <w:sz w:val="21"/>
          <w:szCs w:val="21"/>
        </w:rPr>
        <w:t>for the case where only 12/20 PRB transmission bandwidth can be used:</w:t>
      </w:r>
    </w:p>
    <w:p w:rsidR="00584C4F" w:rsidRPr="009F4CDA" w:rsidRDefault="00584C4F" w:rsidP="00584C4F">
      <w:pPr>
        <w:pStyle w:val="af5"/>
        <w:numPr>
          <w:ilvl w:val="0"/>
          <w:numId w:val="48"/>
        </w:numPr>
        <w:jc w:val="both"/>
        <w:rPr>
          <w:rFonts w:eastAsiaTheme="minorEastAsia"/>
          <w:b/>
          <w:sz w:val="21"/>
          <w:szCs w:val="21"/>
          <w:lang w:eastAsia="zh-CN"/>
        </w:rPr>
      </w:pPr>
      <w:r w:rsidRPr="009F4CDA">
        <w:rPr>
          <w:rFonts w:eastAsiaTheme="minorEastAsia"/>
          <w:b/>
          <w:sz w:val="21"/>
          <w:szCs w:val="21"/>
          <w:lang w:eastAsia="zh-CN"/>
        </w:rPr>
        <w:t xml:space="preserve">The network </w:t>
      </w:r>
      <w:r>
        <w:rPr>
          <w:rFonts w:eastAsiaTheme="minorEastAsia"/>
          <w:b/>
          <w:sz w:val="21"/>
          <w:szCs w:val="21"/>
          <w:lang w:eastAsia="zh-CN"/>
        </w:rPr>
        <w:t>shall</w:t>
      </w:r>
      <w:r w:rsidRPr="009F4CDA">
        <w:rPr>
          <w:rFonts w:eastAsiaTheme="minorEastAsia"/>
          <w:b/>
          <w:sz w:val="21"/>
          <w:szCs w:val="21"/>
          <w:lang w:eastAsia="zh-CN"/>
        </w:rPr>
        <w:t xml:space="preserve"> configure</w:t>
      </w:r>
      <w:r w:rsidRPr="00584C4F">
        <w:rPr>
          <w:rFonts w:eastAsiaTheme="minorEastAsia"/>
          <w:b/>
          <w:i/>
          <w:sz w:val="21"/>
          <w:szCs w:val="21"/>
          <w:lang w:eastAsia="zh-CN"/>
        </w:rPr>
        <w:t xml:space="preserve"> carrierBandwidth</w:t>
      </w:r>
      <w:r w:rsidRPr="009F4CDA">
        <w:rPr>
          <w:rFonts w:eastAsiaTheme="minorEastAsia"/>
          <w:b/>
          <w:sz w:val="21"/>
          <w:szCs w:val="21"/>
          <w:lang w:eastAsia="zh-CN"/>
        </w:rPr>
        <w:t xml:space="preserve"> to 15 PRB (for the 12 PRB case) and 25 PRB (for the 20 PRB case) respectively in SIB1 and in RRC dedicated signaling. </w:t>
      </w:r>
    </w:p>
    <w:p w:rsidR="00584C4F" w:rsidRDefault="00584C4F" w:rsidP="00584C4F">
      <w:pPr>
        <w:pStyle w:val="af5"/>
        <w:numPr>
          <w:ilvl w:val="0"/>
          <w:numId w:val="48"/>
        </w:numPr>
        <w:jc w:val="both"/>
        <w:rPr>
          <w:rFonts w:eastAsiaTheme="minorEastAsia"/>
          <w:b/>
          <w:sz w:val="21"/>
          <w:szCs w:val="21"/>
          <w:lang w:eastAsia="zh-CN"/>
        </w:rPr>
      </w:pPr>
      <w:r>
        <w:rPr>
          <w:rFonts w:eastAsiaTheme="minorEastAsia"/>
          <w:b/>
          <w:sz w:val="21"/>
          <w:szCs w:val="21"/>
          <w:lang w:eastAsia="zh-CN"/>
        </w:rPr>
        <w:t xml:space="preserve">The </w:t>
      </w:r>
      <w:r w:rsidRPr="009F4CDA">
        <w:rPr>
          <w:rFonts w:eastAsiaTheme="minorEastAsia"/>
          <w:b/>
          <w:sz w:val="21"/>
          <w:szCs w:val="21"/>
          <w:lang w:eastAsia="zh-CN"/>
        </w:rPr>
        <w:t xml:space="preserve">UE shall use 12/20 PRB as the transmission bandwidth, even though </w:t>
      </w:r>
      <w:r w:rsidRPr="00195D4F">
        <w:rPr>
          <w:rFonts w:eastAsiaTheme="minorEastAsia"/>
          <w:b/>
          <w:i/>
          <w:sz w:val="21"/>
          <w:szCs w:val="21"/>
          <w:lang w:eastAsia="zh-CN"/>
        </w:rPr>
        <w:t>carrierBandwidth</w:t>
      </w:r>
      <w:r w:rsidRPr="009F4CDA">
        <w:rPr>
          <w:rFonts w:eastAsiaTheme="minorEastAsia"/>
          <w:b/>
          <w:sz w:val="21"/>
          <w:szCs w:val="21"/>
          <w:lang w:eastAsia="zh-CN"/>
        </w:rPr>
        <w:t xml:space="preserve"> is configured to 15 PRB (for the 12 PRB case) and 25 PRB (for the 20 PRB case) respectively in SIB1 and in RRC dedicated signaling.</w:t>
      </w:r>
    </w:p>
    <w:p w:rsidR="00DC345D" w:rsidRPr="005F7417" w:rsidRDefault="00DC345D" w:rsidP="00DC345D">
      <w:pPr>
        <w:pStyle w:val="af5"/>
        <w:jc w:val="both"/>
        <w:rPr>
          <w:rFonts w:eastAsiaTheme="minorEastAsia"/>
          <w:sz w:val="21"/>
          <w:szCs w:val="21"/>
          <w:lang w:eastAsia="zh-CN"/>
        </w:rPr>
      </w:pPr>
    </w:p>
    <w:p w:rsidR="00DC345D" w:rsidRDefault="00DC345D" w:rsidP="00DC345D">
      <w:pPr>
        <w:rPr>
          <w:rFonts w:eastAsiaTheme="minorEastAsia"/>
          <w:b/>
          <w:sz w:val="21"/>
          <w:szCs w:val="21"/>
        </w:rPr>
      </w:pPr>
      <w:r>
        <w:rPr>
          <w:rFonts w:eastAsiaTheme="minorEastAsia"/>
          <w:b/>
          <w:sz w:val="21"/>
          <w:szCs w:val="21"/>
        </w:rPr>
        <w:t>Proposal 2: Change the “</w:t>
      </w:r>
      <w:r w:rsidRPr="00F239C4">
        <w:rPr>
          <w:rFonts w:eastAsiaTheme="minorEastAsia"/>
          <w:b/>
          <w:sz w:val="21"/>
          <w:szCs w:val="21"/>
        </w:rPr>
        <w:t>Cond LessThan5MHz” description as below:</w:t>
      </w:r>
      <w:r>
        <w:rPr>
          <w:rFonts w:eastAsiaTheme="minorEastAsia"/>
          <w:b/>
          <w:sz w:val="21"/>
          <w:szCs w:val="21"/>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9C2803" w:rsidRPr="00904DA7" w:rsidTr="001D4C83">
        <w:tc>
          <w:tcPr>
            <w:tcW w:w="1618" w:type="dxa"/>
            <w:tcBorders>
              <w:top w:val="single" w:sz="4" w:space="0" w:color="auto"/>
              <w:left w:val="single" w:sz="4" w:space="0" w:color="auto"/>
              <w:bottom w:val="single" w:sz="4" w:space="0" w:color="auto"/>
              <w:right w:val="single" w:sz="4" w:space="0" w:color="auto"/>
            </w:tcBorders>
            <w:hideMark/>
          </w:tcPr>
          <w:p w:rsidR="009C2803" w:rsidRPr="00904DA7" w:rsidRDefault="009C2803" w:rsidP="001D4C83">
            <w:pPr>
              <w:keepNext/>
              <w:keepLines/>
              <w:rPr>
                <w:rFonts w:ascii="Arial" w:hAnsi="Arial" w:cs="Arial"/>
                <w:sz w:val="18"/>
                <w:lang w:eastAsia="en-US"/>
              </w:rPr>
            </w:pPr>
            <w:r w:rsidRPr="00904DA7">
              <w:rPr>
                <w:rFonts w:ascii="Arial" w:hAnsi="Arial" w:cs="Arial"/>
                <w:i/>
                <w:sz w:val="18"/>
                <w:szCs w:val="22"/>
                <w:lang w:eastAsia="en-US"/>
              </w:rPr>
              <w:t>LessThan5MHz</w:t>
            </w:r>
          </w:p>
        </w:tc>
        <w:tc>
          <w:tcPr>
            <w:tcW w:w="7733" w:type="dxa"/>
            <w:tcBorders>
              <w:top w:val="single" w:sz="4" w:space="0" w:color="auto"/>
              <w:left w:val="single" w:sz="4" w:space="0" w:color="auto"/>
              <w:bottom w:val="single" w:sz="4" w:space="0" w:color="auto"/>
              <w:right w:val="single" w:sz="4" w:space="0" w:color="auto"/>
            </w:tcBorders>
            <w:hideMark/>
          </w:tcPr>
          <w:p w:rsidR="009C2803" w:rsidRPr="00904DA7" w:rsidRDefault="009C2803" w:rsidP="001D4C83">
            <w:pPr>
              <w:keepNext/>
              <w:keepLines/>
              <w:rPr>
                <w:rFonts w:ascii="Arial" w:hAnsi="Arial" w:cs="Arial"/>
                <w:sz w:val="18"/>
                <w:lang w:eastAsia="en-US"/>
              </w:rPr>
            </w:pPr>
            <w:r w:rsidRPr="00904DA7">
              <w:rPr>
                <w:rFonts w:ascii="Arial" w:hAnsi="Arial" w:cs="Arial"/>
                <w:sz w:val="18"/>
                <w:szCs w:val="22"/>
                <w:lang w:eastAsia="en-US"/>
              </w:rPr>
              <w:t xml:space="preserve">The field is mandatory present </w:t>
            </w:r>
            <w:r w:rsidRPr="009C2803">
              <w:rPr>
                <w:rFonts w:ascii="Arial" w:hAnsi="Arial" w:cs="Arial"/>
                <w:sz w:val="18"/>
                <w:szCs w:val="22"/>
                <w:lang w:eastAsia="en-US"/>
              </w:rPr>
              <w:t xml:space="preserve">if </w:t>
            </w:r>
            <w:r w:rsidRPr="00F239C4">
              <w:rPr>
                <w:rFonts w:ascii="Arial" w:hAnsi="Arial" w:cs="Arial"/>
                <w:strike/>
                <w:color w:val="FF0000"/>
                <w:sz w:val="18"/>
                <w:szCs w:val="22"/>
                <w:lang w:eastAsia="en-US"/>
              </w:rPr>
              <w:t xml:space="preserve">the </w:t>
            </w:r>
            <w:r w:rsidRPr="00F239C4">
              <w:rPr>
                <w:rFonts w:ascii="Arial" w:hAnsi="Arial" w:cs="Arial"/>
                <w:i/>
                <w:iCs/>
                <w:strike/>
                <w:color w:val="FF0000"/>
                <w:sz w:val="18"/>
                <w:lang w:eastAsia="sv-SE"/>
              </w:rPr>
              <w:t>carrierBandwidth</w:t>
            </w:r>
            <w:r w:rsidRPr="00F239C4">
              <w:rPr>
                <w:rFonts w:ascii="Arial" w:hAnsi="Arial" w:cs="Arial"/>
                <w:strike/>
                <w:color w:val="FF0000"/>
                <w:sz w:val="18"/>
                <w:lang w:eastAsia="sv-SE"/>
              </w:rPr>
              <w:t xml:space="preserve"> in SIB1 indicates UL or DL transmission bandwidth </w:t>
            </w:r>
            <w:r w:rsidRPr="00F239C4">
              <w:rPr>
                <w:rFonts w:ascii="Arial" w:hAnsi="Arial" w:cs="Arial"/>
                <w:strike/>
                <w:color w:val="FF0000"/>
                <w:sz w:val="18"/>
                <w:szCs w:val="22"/>
                <w:lang w:eastAsia="en-US"/>
              </w:rPr>
              <w:t>other than 15 PRB</w:t>
            </w:r>
            <w:r>
              <w:rPr>
                <w:rFonts w:ascii="Arial" w:hAnsi="Arial" w:cs="Arial"/>
                <w:strike/>
                <w:color w:val="FF0000"/>
                <w:sz w:val="18"/>
                <w:szCs w:val="22"/>
                <w:lang w:eastAsia="en-US"/>
              </w:rPr>
              <w:t xml:space="preserve"> </w:t>
            </w:r>
            <w:r>
              <w:rPr>
                <w:rFonts w:ascii="Arial" w:hAnsi="Arial" w:cs="Arial"/>
                <w:color w:val="7030A0"/>
                <w:sz w:val="18"/>
                <w:szCs w:val="22"/>
                <w:lang w:eastAsia="en-US"/>
              </w:rPr>
              <w:t>a cell doesn’t support</w:t>
            </w:r>
            <w:r w:rsidRPr="00F239C4">
              <w:rPr>
                <w:rFonts w:ascii="Arial" w:hAnsi="Arial" w:cs="Arial"/>
                <w:color w:val="7030A0"/>
                <w:sz w:val="18"/>
                <w:szCs w:val="22"/>
                <w:lang w:eastAsia="en-US"/>
              </w:rPr>
              <w:t xml:space="preserve"> 12 PRB, 15 PRB or 20 PRB transmission bandwidth</w:t>
            </w:r>
            <w:r>
              <w:rPr>
                <w:rFonts w:ascii="Arial" w:hAnsi="Arial" w:cs="Arial"/>
                <w:sz w:val="18"/>
                <w:szCs w:val="22"/>
                <w:lang w:eastAsia="en-US"/>
              </w:rPr>
              <w:t>,</w:t>
            </w:r>
            <w:r w:rsidRPr="00904DA7">
              <w:rPr>
                <w:rFonts w:ascii="Arial" w:hAnsi="Arial" w:cs="Arial"/>
                <w:sz w:val="18"/>
                <w:szCs w:val="22"/>
                <w:lang w:eastAsia="en-US"/>
              </w:rPr>
              <w:t xml:space="preserve"> </w:t>
            </w:r>
            <w:r w:rsidRPr="00CC0120">
              <w:rPr>
                <w:rFonts w:ascii="Arial" w:hAnsi="Arial" w:cs="Arial"/>
                <w:strike/>
                <w:color w:val="FF0000"/>
                <w:sz w:val="18"/>
                <w:szCs w:val="22"/>
                <w:lang w:eastAsia="en-US"/>
              </w:rPr>
              <w:t>and</w:t>
            </w:r>
            <w:r w:rsidRPr="00CC0120">
              <w:rPr>
                <w:rFonts w:ascii="Arial" w:hAnsi="Arial" w:cs="Arial"/>
                <w:color w:val="FF0000"/>
                <w:sz w:val="18"/>
                <w:szCs w:val="22"/>
                <w:lang w:eastAsia="en-US"/>
              </w:rPr>
              <w:t xml:space="preserve"> </w:t>
            </w:r>
            <w:r>
              <w:rPr>
                <w:rFonts w:ascii="Arial" w:hAnsi="Arial" w:cs="Arial"/>
                <w:color w:val="FF0000"/>
                <w:sz w:val="18"/>
                <w:szCs w:val="22"/>
                <w:lang w:eastAsia="en-US"/>
              </w:rPr>
              <w:t xml:space="preserve">but </w:t>
            </w:r>
            <w:r w:rsidRPr="00904DA7">
              <w:rPr>
                <w:rFonts w:ascii="Arial" w:hAnsi="Arial" w:cs="Arial"/>
                <w:sz w:val="18"/>
                <w:szCs w:val="22"/>
                <w:lang w:eastAsia="en-US"/>
              </w:rPr>
              <w:t>the corresponding neighbour cell(s) support(s) 12 PRB, 15 PRB or 20 PRB transmission bandwidth configuration as defined in TS 38.101-1 [15], TS 38.211 [16] and TS 38.213 [13]. Otherwise, the field is optional, Need S.</w:t>
            </w:r>
          </w:p>
        </w:tc>
      </w:tr>
    </w:tbl>
    <w:p w:rsidR="00DC345D" w:rsidRDefault="00DC345D" w:rsidP="00DC345D">
      <w:pPr>
        <w:rPr>
          <w:rFonts w:eastAsiaTheme="minorEastAsia"/>
          <w:b/>
          <w:sz w:val="21"/>
          <w:szCs w:val="21"/>
        </w:rPr>
      </w:pPr>
    </w:p>
    <w:p w:rsidR="00DC345D" w:rsidRDefault="00DC345D" w:rsidP="00DC345D">
      <w:pPr>
        <w:rPr>
          <w:sz w:val="21"/>
          <w:szCs w:val="21"/>
        </w:rPr>
      </w:pPr>
      <w:r>
        <w:rPr>
          <w:rFonts w:eastAsiaTheme="minorEastAsia"/>
          <w:b/>
          <w:sz w:val="21"/>
          <w:szCs w:val="21"/>
        </w:rPr>
        <w:t>Proposal 3: Agree the related CR in [5].</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E2702B" w:rsidRPr="00747437" w:rsidRDefault="00E2702B" w:rsidP="00747437">
      <w:pPr>
        <w:pStyle w:val="af5"/>
        <w:numPr>
          <w:ilvl w:val="0"/>
          <w:numId w:val="44"/>
        </w:numPr>
        <w:spacing w:beforeLines="50" w:before="120"/>
        <w:rPr>
          <w:sz w:val="21"/>
          <w:szCs w:val="21"/>
        </w:rPr>
      </w:pPr>
      <w:r w:rsidRPr="00747437">
        <w:rPr>
          <w:sz w:val="21"/>
          <w:szCs w:val="21"/>
        </w:rPr>
        <w:t>R2-2409409  LS on carrierBandwidth configuration for less-than-5MHz carriers          RAN2</w:t>
      </w:r>
    </w:p>
    <w:p w:rsidR="003B5EB3" w:rsidRPr="00747437" w:rsidRDefault="00712334" w:rsidP="00747437">
      <w:pPr>
        <w:pStyle w:val="af5"/>
        <w:numPr>
          <w:ilvl w:val="0"/>
          <w:numId w:val="44"/>
        </w:numPr>
        <w:spacing w:beforeLines="50" w:before="120"/>
        <w:rPr>
          <w:sz w:val="21"/>
          <w:szCs w:val="21"/>
        </w:rPr>
      </w:pPr>
      <w:r w:rsidRPr="00747437">
        <w:rPr>
          <w:rFonts w:hint="eastAsia"/>
          <w:sz w:val="21"/>
          <w:szCs w:val="21"/>
        </w:rPr>
        <w:t>R4-2420382</w:t>
      </w:r>
      <w:r w:rsidR="003B5EB3" w:rsidRPr="00747437">
        <w:rPr>
          <w:sz w:val="21"/>
          <w:szCs w:val="21"/>
        </w:rPr>
        <w:t xml:space="preserve"> </w:t>
      </w:r>
      <w:r w:rsidR="00957432" w:rsidRPr="00747437">
        <w:rPr>
          <w:sz w:val="21"/>
          <w:szCs w:val="21"/>
        </w:rPr>
        <w:t xml:space="preserve"> </w:t>
      </w:r>
      <w:r w:rsidRPr="00747437">
        <w:rPr>
          <w:rFonts w:hint="eastAsia"/>
          <w:sz w:val="21"/>
          <w:szCs w:val="21"/>
        </w:rPr>
        <w:t>Reply LS on carrierBandwidth configuration for less-than-5MHz carriers</w:t>
      </w:r>
      <w:r w:rsidRPr="00747437">
        <w:rPr>
          <w:sz w:val="21"/>
          <w:szCs w:val="21"/>
        </w:rPr>
        <w:t xml:space="preserve"> </w:t>
      </w:r>
      <w:r w:rsidR="00E2702B" w:rsidRPr="00747437">
        <w:rPr>
          <w:sz w:val="21"/>
          <w:szCs w:val="21"/>
        </w:rPr>
        <w:t xml:space="preserve">   </w:t>
      </w:r>
      <w:r w:rsidR="00161E0A">
        <w:rPr>
          <w:sz w:val="21"/>
          <w:szCs w:val="21"/>
        </w:rPr>
        <w:t xml:space="preserve"> </w:t>
      </w:r>
      <w:r w:rsidRPr="00747437">
        <w:rPr>
          <w:sz w:val="21"/>
          <w:szCs w:val="21"/>
        </w:rPr>
        <w:t xml:space="preserve">RAN4 </w:t>
      </w:r>
    </w:p>
    <w:p w:rsidR="00A30475" w:rsidRDefault="00A30475" w:rsidP="00747437">
      <w:pPr>
        <w:pStyle w:val="af5"/>
        <w:numPr>
          <w:ilvl w:val="0"/>
          <w:numId w:val="44"/>
        </w:numPr>
        <w:spacing w:beforeLines="50" w:before="120"/>
        <w:rPr>
          <w:sz w:val="21"/>
          <w:szCs w:val="21"/>
        </w:rPr>
      </w:pPr>
      <w:r w:rsidRPr="00747437">
        <w:rPr>
          <w:sz w:val="21"/>
          <w:szCs w:val="21"/>
        </w:rPr>
        <w:t xml:space="preserve">R2-2109301  Report of 3GPP TSG RAN WG2 meeting #115-e, Online </w:t>
      </w:r>
      <w:r w:rsidR="00A26FBC" w:rsidRPr="00747437">
        <w:rPr>
          <w:sz w:val="21"/>
          <w:szCs w:val="21"/>
        </w:rPr>
        <w:t xml:space="preserve">               </w:t>
      </w:r>
      <w:r w:rsidR="00195D4F">
        <w:rPr>
          <w:sz w:val="21"/>
          <w:szCs w:val="21"/>
        </w:rPr>
        <w:t xml:space="preserve"> </w:t>
      </w:r>
      <w:r w:rsidRPr="00747437">
        <w:rPr>
          <w:sz w:val="21"/>
          <w:szCs w:val="21"/>
        </w:rPr>
        <w:t>RAN2</w:t>
      </w:r>
    </w:p>
    <w:p w:rsidR="00A30475" w:rsidRPr="00282DA4" w:rsidRDefault="00F239C4" w:rsidP="00195D4F">
      <w:pPr>
        <w:pStyle w:val="af5"/>
        <w:numPr>
          <w:ilvl w:val="0"/>
          <w:numId w:val="44"/>
        </w:numPr>
        <w:spacing w:beforeLines="50" w:before="120"/>
        <w:rPr>
          <w:sz w:val="21"/>
          <w:szCs w:val="21"/>
        </w:rPr>
      </w:pPr>
      <w:r w:rsidRPr="00282DA4">
        <w:rPr>
          <w:sz w:val="21"/>
          <w:szCs w:val="21"/>
        </w:rPr>
        <w:t xml:space="preserve">R2-2409055  </w:t>
      </w:r>
      <w:r w:rsidR="00195D4F" w:rsidRPr="00282DA4">
        <w:rPr>
          <w:sz w:val="21"/>
          <w:szCs w:val="21"/>
        </w:rPr>
        <w:t>Correction on carrier bandwidth configuration for less than 5MHz</w:t>
      </w:r>
      <w:r w:rsidR="00195D4F" w:rsidRPr="00282DA4">
        <w:rPr>
          <w:sz w:val="21"/>
          <w:szCs w:val="21"/>
        </w:rPr>
        <w:tab/>
      </w:r>
      <w:r w:rsidRPr="00282DA4">
        <w:rPr>
          <w:sz w:val="21"/>
          <w:szCs w:val="21"/>
        </w:rPr>
        <w:t xml:space="preserve"> </w:t>
      </w:r>
      <w:r w:rsidR="00195D4F" w:rsidRPr="00282DA4">
        <w:rPr>
          <w:sz w:val="21"/>
          <w:szCs w:val="21"/>
        </w:rPr>
        <w:t xml:space="preserve">Huawei, </w:t>
      </w:r>
      <w:r w:rsidRPr="00282DA4">
        <w:rPr>
          <w:sz w:val="21"/>
          <w:szCs w:val="21"/>
        </w:rPr>
        <w:t>H</w:t>
      </w:r>
      <w:r w:rsidR="00195D4F" w:rsidRPr="00282DA4">
        <w:rPr>
          <w:sz w:val="21"/>
          <w:szCs w:val="21"/>
        </w:rPr>
        <w:t>iSilicon</w:t>
      </w:r>
    </w:p>
    <w:p w:rsidR="004326DA" w:rsidRPr="00282DA4" w:rsidRDefault="00282DA4" w:rsidP="00282DA4">
      <w:pPr>
        <w:pStyle w:val="af5"/>
        <w:numPr>
          <w:ilvl w:val="0"/>
          <w:numId w:val="44"/>
        </w:numPr>
        <w:spacing w:beforeLines="50" w:before="120"/>
        <w:rPr>
          <w:sz w:val="21"/>
          <w:szCs w:val="21"/>
        </w:rPr>
      </w:pPr>
      <w:r w:rsidRPr="00282DA4">
        <w:rPr>
          <w:sz w:val="21"/>
          <w:szCs w:val="21"/>
        </w:rPr>
        <w:t>R2-2501221</w:t>
      </w:r>
      <w:r w:rsidRPr="00282DA4">
        <w:rPr>
          <w:sz w:val="21"/>
          <w:szCs w:val="21"/>
        </w:rPr>
        <w:tab/>
      </w:r>
      <w:r>
        <w:rPr>
          <w:sz w:val="21"/>
          <w:szCs w:val="21"/>
        </w:rPr>
        <w:t xml:space="preserve">  </w:t>
      </w:r>
      <w:r w:rsidRPr="00282DA4">
        <w:rPr>
          <w:sz w:val="21"/>
          <w:szCs w:val="21"/>
        </w:rPr>
        <w:t>Correction on the Less than 5M Configuration</w:t>
      </w:r>
      <w:r w:rsidRPr="00282DA4">
        <w:rPr>
          <w:sz w:val="21"/>
          <w:szCs w:val="21"/>
        </w:rPr>
        <w:tab/>
      </w:r>
      <w:r>
        <w:rPr>
          <w:sz w:val="21"/>
          <w:szCs w:val="21"/>
        </w:rPr>
        <w:t>38.331  18</w:t>
      </w:r>
      <w:bookmarkStart w:id="16" w:name="_GoBack"/>
      <w:bookmarkEnd w:id="16"/>
      <w:r>
        <w:rPr>
          <w:sz w:val="21"/>
          <w:szCs w:val="21"/>
        </w:rPr>
        <w:t xml:space="preserve">.4.0  </w:t>
      </w:r>
      <w:r w:rsidRPr="00282DA4">
        <w:rPr>
          <w:sz w:val="21"/>
          <w:szCs w:val="21"/>
        </w:rPr>
        <w:t>ZTE Corporation</w:t>
      </w:r>
    </w:p>
    <w:sectPr w:rsidR="004326DA" w:rsidRPr="00282DA4"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7B5" w:rsidRDefault="002A47B5">
      <w:r>
        <w:separator/>
      </w:r>
    </w:p>
  </w:endnote>
  <w:endnote w:type="continuationSeparator" w:id="0">
    <w:p w:rsidR="002A47B5" w:rsidRDefault="002A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default"/>
    <w:sig w:usb0="00000000" w:usb1="00000000" w:usb2="00000012" w:usb3="00000000" w:csb0="0002009F" w:csb1="00000000"/>
  </w:font>
  <w:font w:name="Times">
    <w:panose1 w:val="02020603050405020304"/>
    <w:charset w:val="00"/>
    <w:family w:val="roman"/>
    <w:pitch w:val="variable"/>
    <w:sig w:usb0="E0002EFF" w:usb1="C000785B" w:usb2="00000009" w:usb3="00000000" w:csb0="000001FF" w:csb1="00000000"/>
  </w:font>
  <w:font w:name="Times-Roman">
    <w:altName w:val="Times New Roman"/>
    <w:charset w:val="00"/>
    <w:family w:val="auto"/>
    <w:pitch w:val="default"/>
    <w:sig w:usb0="E00002FF" w:usb1="5000205A" w:usb2="00000000"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7B5" w:rsidRDefault="002A47B5">
      <w:r>
        <w:separator/>
      </w:r>
    </w:p>
  </w:footnote>
  <w:footnote w:type="continuationSeparator" w:id="0">
    <w:p w:rsidR="002A47B5" w:rsidRDefault="002A4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0393C8"/>
    <w:multiLevelType w:val="singleLevel"/>
    <w:tmpl w:val="DD0393C8"/>
    <w:lvl w:ilvl="0">
      <w:start w:val="1"/>
      <w:numFmt w:val="bullet"/>
      <w:lvlText w:val=""/>
      <w:lvlJc w:val="left"/>
      <w:pPr>
        <w:ind w:left="1271"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73DB3"/>
    <w:multiLevelType w:val="hybridMultilevel"/>
    <w:tmpl w:val="478E5E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144D76"/>
    <w:multiLevelType w:val="hybridMultilevel"/>
    <w:tmpl w:val="478E5E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231D0"/>
    <w:multiLevelType w:val="hybridMultilevel"/>
    <w:tmpl w:val="478E5E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54B61"/>
    <w:multiLevelType w:val="multilevel"/>
    <w:tmpl w:val="3DB811AE"/>
    <w:lvl w:ilvl="0">
      <w:start w:val="1"/>
      <w:numFmt w:val="bullet"/>
      <w:lvlText w:val=""/>
      <w:lvlJc w:val="left"/>
      <w:pPr>
        <w:ind w:left="709" w:hanging="425"/>
      </w:pPr>
      <w:rPr>
        <w:rFonts w:ascii="Wingdings" w:hAnsi="Wingdings" w:hint="default"/>
      </w:rPr>
    </w:lvl>
    <w:lvl w:ilvl="1">
      <w:start w:val="1"/>
      <w:numFmt w:val="decimal"/>
      <w:lvlText w:val="%1.%2."/>
      <w:lvlJc w:val="left"/>
      <w:pPr>
        <w:ind w:left="851" w:hanging="567"/>
      </w:p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12"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9ED4D4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67E5CE7"/>
    <w:multiLevelType w:val="multilevel"/>
    <w:tmpl w:val="97A8A466"/>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7906"/>
        </w:tabs>
        <w:ind w:left="-7906" w:hanging="360"/>
      </w:pPr>
      <w:rPr>
        <w:rFonts w:ascii="Courier New" w:hAnsi="Courier New" w:cs="Courier New" w:hint="default"/>
      </w:rPr>
    </w:lvl>
    <w:lvl w:ilvl="2">
      <w:start w:val="1"/>
      <w:numFmt w:val="bullet"/>
      <w:lvlText w:val=""/>
      <w:lvlJc w:val="left"/>
      <w:pPr>
        <w:tabs>
          <w:tab w:val="num" w:pos="-7186"/>
        </w:tabs>
        <w:ind w:left="-7186" w:hanging="360"/>
      </w:pPr>
      <w:rPr>
        <w:rFonts w:ascii="Wingdings" w:hAnsi="Wingdings" w:hint="default"/>
      </w:rPr>
    </w:lvl>
    <w:lvl w:ilvl="3">
      <w:start w:val="1"/>
      <w:numFmt w:val="bullet"/>
      <w:lvlText w:val=""/>
      <w:lvlJc w:val="left"/>
      <w:pPr>
        <w:tabs>
          <w:tab w:val="num" w:pos="-6466"/>
        </w:tabs>
        <w:ind w:left="-6466" w:hanging="360"/>
      </w:pPr>
      <w:rPr>
        <w:rFonts w:ascii="Symbol" w:hAnsi="Symbol" w:hint="default"/>
      </w:rPr>
    </w:lvl>
    <w:lvl w:ilvl="4">
      <w:start w:val="1"/>
      <w:numFmt w:val="bullet"/>
      <w:lvlText w:val="o"/>
      <w:lvlJc w:val="left"/>
      <w:pPr>
        <w:tabs>
          <w:tab w:val="num" w:pos="-5746"/>
        </w:tabs>
        <w:ind w:left="-5746" w:hanging="360"/>
      </w:pPr>
      <w:rPr>
        <w:rFonts w:ascii="Courier New" w:hAnsi="Courier New" w:cs="Courier New" w:hint="default"/>
      </w:rPr>
    </w:lvl>
    <w:lvl w:ilvl="5">
      <w:start w:val="1"/>
      <w:numFmt w:val="bullet"/>
      <w:lvlText w:val=""/>
      <w:lvlJc w:val="left"/>
      <w:pPr>
        <w:tabs>
          <w:tab w:val="num" w:pos="-5026"/>
        </w:tabs>
        <w:ind w:left="-5026" w:hanging="360"/>
      </w:pPr>
      <w:rPr>
        <w:rFonts w:ascii="Wingdings" w:hAnsi="Wingdings" w:hint="default"/>
      </w:rPr>
    </w:lvl>
    <w:lvl w:ilvl="6">
      <w:start w:val="1"/>
      <w:numFmt w:val="bullet"/>
      <w:lvlText w:val=""/>
      <w:lvlJc w:val="left"/>
      <w:pPr>
        <w:tabs>
          <w:tab w:val="num" w:pos="-4306"/>
        </w:tabs>
        <w:ind w:left="-4306" w:hanging="360"/>
      </w:pPr>
      <w:rPr>
        <w:rFonts w:ascii="Symbol" w:hAnsi="Symbol" w:hint="default"/>
      </w:rPr>
    </w:lvl>
    <w:lvl w:ilvl="7">
      <w:start w:val="1"/>
      <w:numFmt w:val="bullet"/>
      <w:lvlText w:val="o"/>
      <w:lvlJc w:val="left"/>
      <w:pPr>
        <w:tabs>
          <w:tab w:val="num" w:pos="-3586"/>
        </w:tabs>
        <w:ind w:left="-3586" w:hanging="360"/>
      </w:pPr>
      <w:rPr>
        <w:rFonts w:ascii="Courier New" w:hAnsi="Courier New" w:cs="Courier New" w:hint="default"/>
      </w:rPr>
    </w:lvl>
    <w:lvl w:ilvl="8">
      <w:start w:val="1"/>
      <w:numFmt w:val="bullet"/>
      <w:lvlText w:val=""/>
      <w:lvlJc w:val="left"/>
      <w:pPr>
        <w:tabs>
          <w:tab w:val="num" w:pos="-2866"/>
        </w:tabs>
        <w:ind w:left="-2866" w:hanging="360"/>
      </w:pPr>
      <w:rPr>
        <w:rFonts w:ascii="Wingdings" w:hAnsi="Wingdings" w:hint="default"/>
      </w:rPr>
    </w:lvl>
  </w:abstractNum>
  <w:abstractNum w:abstractNumId="20"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8FA450"/>
    <w:multiLevelType w:val="multilevel"/>
    <w:tmpl w:val="2F8FA450"/>
    <w:lvl w:ilvl="0">
      <w:start w:val="1"/>
      <w:numFmt w:val="bullet"/>
      <w:lvlText w:val=""/>
      <w:lvlJc w:val="left"/>
      <w:pPr>
        <w:ind w:left="1979" w:hanging="420"/>
      </w:pPr>
      <w:rPr>
        <w:rFonts w:ascii="Wingdings" w:hAnsi="Wingdings" w:hint="default"/>
      </w:rPr>
    </w:lvl>
    <w:lvl w:ilvl="1">
      <w:start w:val="1"/>
      <w:numFmt w:val="bullet"/>
      <w:lvlText w:val=""/>
      <w:lvlJc w:val="left"/>
      <w:pPr>
        <w:tabs>
          <w:tab w:val="left" w:pos="2399"/>
        </w:tabs>
        <w:ind w:left="2399" w:hanging="420"/>
      </w:pPr>
      <w:rPr>
        <w:rFonts w:ascii="Wingdings" w:hAnsi="Wingdings" w:hint="default"/>
      </w:rPr>
    </w:lvl>
    <w:lvl w:ilvl="2">
      <w:start w:val="1"/>
      <w:numFmt w:val="bullet"/>
      <w:lvlText w:val=""/>
      <w:lvlJc w:val="left"/>
      <w:pPr>
        <w:tabs>
          <w:tab w:val="left" w:pos="2819"/>
        </w:tabs>
        <w:ind w:left="2819" w:hanging="420"/>
      </w:pPr>
      <w:rPr>
        <w:rFonts w:ascii="Wingdings" w:hAnsi="Wingdings" w:hint="default"/>
      </w:rPr>
    </w:lvl>
    <w:lvl w:ilvl="3">
      <w:start w:val="1"/>
      <w:numFmt w:val="bullet"/>
      <w:lvlText w:val=""/>
      <w:lvlJc w:val="left"/>
      <w:pPr>
        <w:tabs>
          <w:tab w:val="left" w:pos="3239"/>
        </w:tabs>
        <w:ind w:left="3239" w:hanging="420"/>
      </w:pPr>
      <w:rPr>
        <w:rFonts w:ascii="Wingdings" w:hAnsi="Wingdings" w:hint="default"/>
      </w:rPr>
    </w:lvl>
    <w:lvl w:ilvl="4">
      <w:start w:val="1"/>
      <w:numFmt w:val="bullet"/>
      <w:lvlText w:val=""/>
      <w:lvlJc w:val="left"/>
      <w:pPr>
        <w:tabs>
          <w:tab w:val="left" w:pos="3659"/>
        </w:tabs>
        <w:ind w:left="3659" w:hanging="420"/>
      </w:pPr>
      <w:rPr>
        <w:rFonts w:ascii="Wingdings" w:hAnsi="Wingdings" w:hint="default"/>
      </w:rPr>
    </w:lvl>
    <w:lvl w:ilvl="5">
      <w:start w:val="1"/>
      <w:numFmt w:val="bullet"/>
      <w:lvlText w:val=""/>
      <w:lvlJc w:val="left"/>
      <w:pPr>
        <w:tabs>
          <w:tab w:val="left" w:pos="4079"/>
        </w:tabs>
        <w:ind w:left="4079" w:hanging="420"/>
      </w:pPr>
      <w:rPr>
        <w:rFonts w:ascii="Wingdings" w:hAnsi="Wingdings" w:hint="default"/>
      </w:rPr>
    </w:lvl>
    <w:lvl w:ilvl="6">
      <w:start w:val="1"/>
      <w:numFmt w:val="bullet"/>
      <w:lvlText w:val=""/>
      <w:lvlJc w:val="left"/>
      <w:pPr>
        <w:tabs>
          <w:tab w:val="left" w:pos="4499"/>
        </w:tabs>
        <w:ind w:left="4499" w:hanging="420"/>
      </w:pPr>
      <w:rPr>
        <w:rFonts w:ascii="Wingdings" w:hAnsi="Wingdings" w:hint="default"/>
      </w:rPr>
    </w:lvl>
    <w:lvl w:ilvl="7">
      <w:start w:val="1"/>
      <w:numFmt w:val="bullet"/>
      <w:lvlText w:val=""/>
      <w:lvlJc w:val="left"/>
      <w:pPr>
        <w:tabs>
          <w:tab w:val="left" w:pos="4919"/>
        </w:tabs>
        <w:ind w:left="4919" w:hanging="420"/>
      </w:pPr>
      <w:rPr>
        <w:rFonts w:ascii="Wingdings" w:hAnsi="Wingdings" w:hint="default"/>
      </w:rPr>
    </w:lvl>
    <w:lvl w:ilvl="8">
      <w:start w:val="1"/>
      <w:numFmt w:val="bullet"/>
      <w:lvlText w:val=""/>
      <w:lvlJc w:val="left"/>
      <w:pPr>
        <w:tabs>
          <w:tab w:val="left" w:pos="5339"/>
        </w:tabs>
        <w:ind w:left="5339" w:hanging="420"/>
      </w:pPr>
      <w:rPr>
        <w:rFonts w:ascii="Wingdings" w:hAnsi="Wingdings" w:hint="default"/>
      </w:rPr>
    </w:lvl>
  </w:abstractNum>
  <w:abstractNum w:abstractNumId="23"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001F0"/>
    <w:multiLevelType w:val="hybridMultilevel"/>
    <w:tmpl w:val="478E5E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1F501D"/>
    <w:multiLevelType w:val="hybridMultilevel"/>
    <w:tmpl w:val="084EFB04"/>
    <w:lvl w:ilvl="0" w:tplc="4D1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3B4710"/>
    <w:multiLevelType w:val="hybridMultilevel"/>
    <w:tmpl w:val="F18C18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C3396E"/>
    <w:multiLevelType w:val="hybridMultilevel"/>
    <w:tmpl w:val="D062EEC0"/>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9F1907"/>
    <w:multiLevelType w:val="hybridMultilevel"/>
    <w:tmpl w:val="A7F4DB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110A87"/>
    <w:multiLevelType w:val="hybridMultilevel"/>
    <w:tmpl w:val="1A7C779A"/>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7"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6"/>
  </w:num>
  <w:num w:numId="3">
    <w:abstractNumId w:val="2"/>
  </w:num>
  <w:num w:numId="4">
    <w:abstractNumId w:val="8"/>
  </w:num>
  <w:num w:numId="5">
    <w:abstractNumId w:val="23"/>
  </w:num>
  <w:num w:numId="6">
    <w:abstractNumId w:val="40"/>
  </w:num>
  <w:num w:numId="7">
    <w:abstractNumId w:val="7"/>
  </w:num>
  <w:num w:numId="8">
    <w:abstractNumId w:val="21"/>
  </w:num>
  <w:num w:numId="9">
    <w:abstractNumId w:val="39"/>
  </w:num>
  <w:num w:numId="10">
    <w:abstractNumId w:val="16"/>
  </w:num>
  <w:num w:numId="11">
    <w:abstractNumId w:val="44"/>
  </w:num>
  <w:num w:numId="12">
    <w:abstractNumId w:val="10"/>
  </w:num>
  <w:num w:numId="13">
    <w:abstractNumId w:val="32"/>
  </w:num>
  <w:num w:numId="14">
    <w:abstractNumId w:val="15"/>
  </w:num>
  <w:num w:numId="15">
    <w:abstractNumId w:val="28"/>
  </w:num>
  <w:num w:numId="16">
    <w:abstractNumId w:val="33"/>
  </w:num>
  <w:num w:numId="17">
    <w:abstractNumId w:val="3"/>
  </w:num>
  <w:num w:numId="18">
    <w:abstractNumId w:val="17"/>
  </w:num>
  <w:num w:numId="19">
    <w:abstractNumId w:val="45"/>
  </w:num>
  <w:num w:numId="20">
    <w:abstractNumId w:val="38"/>
  </w:num>
  <w:num w:numId="21">
    <w:abstractNumId w:val="13"/>
  </w:num>
  <w:num w:numId="22">
    <w:abstractNumId w:val="12"/>
  </w:num>
  <w:num w:numId="23">
    <w:abstractNumId w:val="18"/>
  </w:num>
  <w:num w:numId="24">
    <w:abstractNumId w:val="27"/>
  </w:num>
  <w:num w:numId="25">
    <w:abstractNumId w:val="20"/>
  </w:num>
  <w:num w:numId="26">
    <w:abstractNumId w:val="47"/>
  </w:num>
  <w:num w:numId="27">
    <w:abstractNumId w:val="43"/>
  </w:num>
  <w:num w:numId="28">
    <w:abstractNumId w:val="25"/>
  </w:num>
  <w:num w:numId="29">
    <w:abstractNumId w:val="35"/>
  </w:num>
  <w:num w:numId="30">
    <w:abstractNumId w:val="46"/>
  </w:num>
  <w:num w:numId="31">
    <w:abstractNumId w:val="41"/>
  </w:num>
  <w:num w:numId="32">
    <w:abstractNumId w:val="11"/>
  </w:num>
  <w:num w:numId="33">
    <w:abstractNumId w:val="36"/>
  </w:num>
  <w:num w:numId="34">
    <w:abstractNumId w:val="0"/>
  </w:num>
  <w:num w:numId="35">
    <w:abstractNumId w:val="22"/>
  </w:num>
  <w:num w:numId="36">
    <w:abstractNumId w:val="14"/>
  </w:num>
  <w:num w:numId="37">
    <w:abstractNumId w:val="24"/>
  </w:num>
  <w:num w:numId="38">
    <w:abstractNumId w:val="31"/>
  </w:num>
  <w:num w:numId="39">
    <w:abstractNumId w:val="29"/>
  </w:num>
  <w:num w:numId="40">
    <w:abstractNumId w:val="30"/>
  </w:num>
  <w:num w:numId="41">
    <w:abstractNumId w:val="9"/>
  </w:num>
  <w:num w:numId="42">
    <w:abstractNumId w:val="19"/>
  </w:num>
  <w:num w:numId="43">
    <w:abstractNumId w:val="26"/>
  </w:num>
  <w:num w:numId="44">
    <w:abstractNumId w:val="34"/>
  </w:num>
  <w:num w:numId="45">
    <w:abstractNumId w:val="1"/>
  </w:num>
  <w:num w:numId="46">
    <w:abstractNumId w:val="37"/>
  </w:num>
  <w:num w:numId="47">
    <w:abstractNumId w:val="4"/>
  </w:num>
  <w:num w:numId="4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65B8"/>
    <w:rsid w:val="0001752D"/>
    <w:rsid w:val="00017B08"/>
    <w:rsid w:val="00020CEA"/>
    <w:rsid w:val="0002217E"/>
    <w:rsid w:val="000313A0"/>
    <w:rsid w:val="0003387D"/>
    <w:rsid w:val="0003405C"/>
    <w:rsid w:val="00034E06"/>
    <w:rsid w:val="00035667"/>
    <w:rsid w:val="0003713C"/>
    <w:rsid w:val="00037CBA"/>
    <w:rsid w:val="000404AD"/>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161E"/>
    <w:rsid w:val="000A29C6"/>
    <w:rsid w:val="000A3FBB"/>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1E0A"/>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5D4F"/>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9D"/>
    <w:rsid w:val="002175A7"/>
    <w:rsid w:val="00217ED1"/>
    <w:rsid w:val="00220318"/>
    <w:rsid w:val="00220B97"/>
    <w:rsid w:val="00221512"/>
    <w:rsid w:val="00221781"/>
    <w:rsid w:val="002224AB"/>
    <w:rsid w:val="00223A40"/>
    <w:rsid w:val="00225789"/>
    <w:rsid w:val="0022651C"/>
    <w:rsid w:val="0022703E"/>
    <w:rsid w:val="0023230A"/>
    <w:rsid w:val="002333B0"/>
    <w:rsid w:val="0023616A"/>
    <w:rsid w:val="002376E3"/>
    <w:rsid w:val="0024022B"/>
    <w:rsid w:val="00240285"/>
    <w:rsid w:val="00242004"/>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2"/>
    <w:rsid w:val="0026754C"/>
    <w:rsid w:val="0026765B"/>
    <w:rsid w:val="00272314"/>
    <w:rsid w:val="00272382"/>
    <w:rsid w:val="00275E76"/>
    <w:rsid w:val="00275ECF"/>
    <w:rsid w:val="00282DA4"/>
    <w:rsid w:val="00283BC0"/>
    <w:rsid w:val="00292A71"/>
    <w:rsid w:val="00292D0C"/>
    <w:rsid w:val="00292F72"/>
    <w:rsid w:val="00297928"/>
    <w:rsid w:val="0029795E"/>
    <w:rsid w:val="002A06E8"/>
    <w:rsid w:val="002A08BD"/>
    <w:rsid w:val="002A15E5"/>
    <w:rsid w:val="002A2316"/>
    <w:rsid w:val="002A2835"/>
    <w:rsid w:val="002A47B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2691A"/>
    <w:rsid w:val="00330074"/>
    <w:rsid w:val="003307E3"/>
    <w:rsid w:val="00331F95"/>
    <w:rsid w:val="00334917"/>
    <w:rsid w:val="00334C68"/>
    <w:rsid w:val="003358DC"/>
    <w:rsid w:val="00336ECB"/>
    <w:rsid w:val="00336ED1"/>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5EEE"/>
    <w:rsid w:val="003C6397"/>
    <w:rsid w:val="003C68BA"/>
    <w:rsid w:val="003D29FC"/>
    <w:rsid w:val="003D34AE"/>
    <w:rsid w:val="003D35B6"/>
    <w:rsid w:val="003D35FC"/>
    <w:rsid w:val="003D74FA"/>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26DA"/>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29AC"/>
    <w:rsid w:val="00483167"/>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3EED"/>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4C4F"/>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060"/>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5F7417"/>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6241"/>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C54"/>
    <w:rsid w:val="006B0E7D"/>
    <w:rsid w:val="006B1CF9"/>
    <w:rsid w:val="006B2DC0"/>
    <w:rsid w:val="006B427D"/>
    <w:rsid w:val="006B7AD6"/>
    <w:rsid w:val="006C0999"/>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13F3"/>
    <w:rsid w:val="00702BE7"/>
    <w:rsid w:val="00704012"/>
    <w:rsid w:val="0070648E"/>
    <w:rsid w:val="00707712"/>
    <w:rsid w:val="00710FD8"/>
    <w:rsid w:val="00710FE8"/>
    <w:rsid w:val="00712334"/>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47437"/>
    <w:rsid w:val="007505DB"/>
    <w:rsid w:val="0075305D"/>
    <w:rsid w:val="00753127"/>
    <w:rsid w:val="00755F6C"/>
    <w:rsid w:val="00756226"/>
    <w:rsid w:val="00760742"/>
    <w:rsid w:val="00760D2A"/>
    <w:rsid w:val="0076156D"/>
    <w:rsid w:val="00764485"/>
    <w:rsid w:val="00764DAF"/>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58B"/>
    <w:rsid w:val="007F4A70"/>
    <w:rsid w:val="007F4E68"/>
    <w:rsid w:val="007F600B"/>
    <w:rsid w:val="007F74B6"/>
    <w:rsid w:val="00801863"/>
    <w:rsid w:val="008039DD"/>
    <w:rsid w:val="0080606F"/>
    <w:rsid w:val="00810638"/>
    <w:rsid w:val="0081103A"/>
    <w:rsid w:val="0081271D"/>
    <w:rsid w:val="008137A0"/>
    <w:rsid w:val="00815A27"/>
    <w:rsid w:val="008176A0"/>
    <w:rsid w:val="0082046D"/>
    <w:rsid w:val="008205F2"/>
    <w:rsid w:val="0082097F"/>
    <w:rsid w:val="00822D7B"/>
    <w:rsid w:val="0082376A"/>
    <w:rsid w:val="00825998"/>
    <w:rsid w:val="008266A3"/>
    <w:rsid w:val="00834EF6"/>
    <w:rsid w:val="00836229"/>
    <w:rsid w:val="00840B20"/>
    <w:rsid w:val="00843A51"/>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853DD"/>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17D20"/>
    <w:rsid w:val="009200AA"/>
    <w:rsid w:val="00920A69"/>
    <w:rsid w:val="009223C7"/>
    <w:rsid w:val="00922544"/>
    <w:rsid w:val="00922D89"/>
    <w:rsid w:val="00931421"/>
    <w:rsid w:val="00932CD9"/>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03"/>
    <w:rsid w:val="009C28E4"/>
    <w:rsid w:val="009C57EE"/>
    <w:rsid w:val="009C7FC3"/>
    <w:rsid w:val="009D1C1D"/>
    <w:rsid w:val="009E0EB8"/>
    <w:rsid w:val="009E1AD8"/>
    <w:rsid w:val="009E22FE"/>
    <w:rsid w:val="009F4CDA"/>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261A2"/>
    <w:rsid w:val="00A26FBC"/>
    <w:rsid w:val="00A30475"/>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A5CE8"/>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C0120"/>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07735"/>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1AD0"/>
    <w:rsid w:val="00D42178"/>
    <w:rsid w:val="00D42EFA"/>
    <w:rsid w:val="00D444FC"/>
    <w:rsid w:val="00D46348"/>
    <w:rsid w:val="00D46353"/>
    <w:rsid w:val="00D47133"/>
    <w:rsid w:val="00D475E0"/>
    <w:rsid w:val="00D51520"/>
    <w:rsid w:val="00D51879"/>
    <w:rsid w:val="00D542E5"/>
    <w:rsid w:val="00D5731C"/>
    <w:rsid w:val="00D57621"/>
    <w:rsid w:val="00D60593"/>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45D"/>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2702B"/>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B6A"/>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5E1F"/>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9C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CDA"/>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Cs w:val="22"/>
      <w:lang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37"/>
      </w:numPr>
      <w:snapToGrid w:val="0"/>
      <w:spacing w:beforeLines="50" w:before="50" w:afterLines="50" w:after="50"/>
    </w:pPr>
    <w:rPr>
      <w:b/>
      <w:i/>
      <w:kern w:val="2"/>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character" w:styleId="af8">
    <w:name w:val="Strong"/>
    <w:basedOn w:val="a0"/>
    <w:uiPriority w:val="22"/>
    <w:qFormat/>
    <w:rsid w:val="00242004"/>
    <w:rPr>
      <w:b/>
      <w:bCs/>
    </w:rPr>
  </w:style>
  <w:style w:type="paragraph" w:customStyle="1" w:styleId="RAN1bullet2">
    <w:name w:val="RAN1 bullet2"/>
    <w:basedOn w:val="a"/>
    <w:qFormat/>
    <w:rsid w:val="00242004"/>
    <w:pPr>
      <w:numPr>
        <w:ilvl w:val="1"/>
        <w:numId w:val="45"/>
      </w:numPr>
      <w:tabs>
        <w:tab w:val="left" w:pos="1440"/>
      </w:tabs>
    </w:pPr>
    <w:rPr>
      <w:rFonts w:ascii="Times" w:eastAsia="Batang"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673147095">
      <w:bodyDiv w:val="1"/>
      <w:marLeft w:val="0"/>
      <w:marRight w:val="0"/>
      <w:marTop w:val="0"/>
      <w:marBottom w:val="0"/>
      <w:divBdr>
        <w:top w:val="none" w:sz="0" w:space="0" w:color="auto"/>
        <w:left w:val="none" w:sz="0" w:space="0" w:color="auto"/>
        <w:bottom w:val="none" w:sz="0" w:space="0" w:color="auto"/>
        <w:right w:val="none" w:sz="0" w:space="0" w:color="auto"/>
      </w:divBdr>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2116440836">
      <w:bodyDiv w:val="1"/>
      <w:marLeft w:val="0"/>
      <w:marRight w:val="0"/>
      <w:marTop w:val="0"/>
      <w:marBottom w:val="0"/>
      <w:divBdr>
        <w:top w:val="none" w:sz="0" w:space="0" w:color="auto"/>
        <w:left w:val="none" w:sz="0" w:space="0" w:color="auto"/>
        <w:bottom w:val="none" w:sz="0" w:space="0" w:color="auto"/>
        <w:right w:val="none" w:sz="0" w:space="0" w:color="auto"/>
      </w:divBdr>
      <w:divsChild>
        <w:div w:id="1471939405">
          <w:marLeft w:val="0"/>
          <w:marRight w:val="0"/>
          <w:marTop w:val="0"/>
          <w:marBottom w:val="0"/>
          <w:divBdr>
            <w:top w:val="none" w:sz="0" w:space="0" w:color="auto"/>
            <w:left w:val="none" w:sz="0" w:space="0" w:color="auto"/>
            <w:bottom w:val="none" w:sz="0" w:space="0" w:color="auto"/>
            <w:right w:val="none" w:sz="0" w:space="0" w:color="auto"/>
          </w:divBdr>
        </w:div>
        <w:div w:id="7378238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E17950-08A7-4DC6-8707-BF26DE0E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1646</Words>
  <Characters>9383</Characters>
  <Application>Microsoft Office Word</Application>
  <DocSecurity>0</DocSecurity>
  <Lines>78</Lines>
  <Paragraphs>22</Paragraphs>
  <ScaleCrop>false</ScaleCrop>
  <Company>ZTE</Company>
  <LinksUpToDate>false</LinksUpToDate>
  <CharactersWithSpaces>11007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15</cp:revision>
  <dcterms:created xsi:type="dcterms:W3CDTF">2025-02-05T01:33:00Z</dcterms:created>
  <dcterms:modified xsi:type="dcterms:W3CDTF">2025-02-07T07:27:00Z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