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6E6B" w14:textId="3CC53A21" w:rsidR="00DE6CB9" w:rsidRPr="00DE6CB9" w:rsidRDefault="00DE6CB9" w:rsidP="00DE6CB9">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sidRPr="00DE6CB9">
        <w:rPr>
          <w:rFonts w:eastAsia="SimSun" w:cs="Arial"/>
          <w:b/>
          <w:kern w:val="0"/>
          <w:sz w:val="28"/>
          <w:szCs w:val="28"/>
          <w:lang w:val="en-US" w:eastAsia="en-US"/>
        </w:rPr>
        <w:t>3GPP TSG-RAN WG2 Meeting #12</w:t>
      </w:r>
      <w:r w:rsidR="00E57EE9">
        <w:rPr>
          <w:rFonts w:eastAsia="SimSun" w:cs="Arial"/>
          <w:b/>
          <w:kern w:val="0"/>
          <w:sz w:val="28"/>
          <w:szCs w:val="28"/>
          <w:lang w:val="en-US" w:eastAsia="en-US"/>
        </w:rPr>
        <w:t>9</w:t>
      </w:r>
      <w:r w:rsidRPr="00DE6CB9">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CF0E37">
        <w:rPr>
          <w:rFonts w:eastAsia="SimSun" w:cs="Arial"/>
          <w:b/>
          <w:kern w:val="0"/>
          <w:sz w:val="28"/>
          <w:szCs w:val="28"/>
          <w:lang w:val="en-US" w:eastAsia="en-US"/>
        </w:rPr>
        <w:tab/>
        <w:t xml:space="preserve">  </w:t>
      </w:r>
      <w:r w:rsidR="00353B2E">
        <w:rPr>
          <w:rFonts w:eastAsia="SimSun" w:cs="Arial"/>
          <w:b/>
          <w:kern w:val="0"/>
          <w:sz w:val="28"/>
          <w:szCs w:val="28"/>
          <w:lang w:val="en-US" w:eastAsia="en-US"/>
        </w:rPr>
        <w:t xml:space="preserve"> </w:t>
      </w:r>
      <w:r w:rsidR="00E57EE9">
        <w:rPr>
          <w:rFonts w:eastAsia="SimSun" w:cs="Arial"/>
          <w:b/>
          <w:kern w:val="0"/>
          <w:sz w:val="28"/>
          <w:szCs w:val="28"/>
          <w:lang w:val="en-US" w:eastAsia="en-US"/>
        </w:rPr>
        <w:t xml:space="preserve"> </w:t>
      </w:r>
      <w:r w:rsidR="00DB6EA9" w:rsidRPr="00DB6EA9">
        <w:rPr>
          <w:rFonts w:eastAsia="SimSun" w:cs="Arial"/>
          <w:b/>
          <w:bCs/>
          <w:kern w:val="0"/>
          <w:sz w:val="28"/>
          <w:szCs w:val="28"/>
          <w:lang w:eastAsia="en-US"/>
        </w:rPr>
        <w:t>R2-2500780</w:t>
      </w:r>
    </w:p>
    <w:p w14:paraId="031AB71A" w14:textId="1A682DC1" w:rsidR="006F617B" w:rsidRDefault="00042ACD" w:rsidP="00DE6CB9">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Athens, Greece, Feb 17 – 21 2025</w:t>
      </w:r>
      <w:r w:rsidR="00DE6CB9">
        <w:rPr>
          <w:rFonts w:eastAsia="SimSun" w:cs="Arial"/>
          <w:b/>
          <w:kern w:val="0"/>
          <w:sz w:val="28"/>
          <w:szCs w:val="28"/>
          <w:lang w:val="en-US" w:eastAsia="en-US"/>
        </w:rPr>
        <w:tab/>
      </w:r>
      <w:bookmarkEnd w:id="0"/>
      <w:r w:rsidR="00DE6CB9">
        <w:rPr>
          <w:rFonts w:cs="Arial"/>
          <w:b/>
          <w:bCs/>
          <w:kern w:val="0"/>
          <w:sz w:val="28"/>
          <w:szCs w:val="28"/>
        </w:rPr>
        <w:tab/>
        <w:t xml:space="preserve">      </w:t>
      </w:r>
      <w:r w:rsidR="00DE6CB9">
        <w:rPr>
          <w:rFonts w:cs="Arial"/>
          <w:b/>
          <w:bCs/>
          <w:color w:val="D9D9D9" w:themeColor="background1" w:themeShade="D9"/>
          <w:kern w:val="0"/>
          <w:sz w:val="20"/>
          <w:szCs w:val="28"/>
        </w:rPr>
        <w:t xml:space="preserve">   </w:t>
      </w:r>
    </w:p>
    <w:p w14:paraId="32EF2335" w14:textId="35B3A132" w:rsidR="006F617B" w:rsidRDefault="00000000" w:rsidP="00CF0E37">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sidR="00CF0E37" w:rsidRPr="00CF0E37">
        <w:rPr>
          <w:rFonts w:cs="Arial"/>
          <w:b/>
          <w:bCs/>
          <w:snapToGrid w:val="0"/>
          <w:kern w:val="0"/>
          <w:sz w:val="28"/>
          <w:szCs w:val="28"/>
        </w:rPr>
        <w:t>ZTE Corporation, Sanechips</w:t>
      </w:r>
      <w:r w:rsidR="00357080">
        <w:rPr>
          <w:rFonts w:cs="Arial"/>
          <w:b/>
          <w:bCs/>
          <w:snapToGrid w:val="0"/>
          <w:kern w:val="0"/>
          <w:sz w:val="28"/>
          <w:szCs w:val="28"/>
        </w:rPr>
        <w:t xml:space="preserve"> </w:t>
      </w:r>
    </w:p>
    <w:p w14:paraId="1B267C07" w14:textId="7461E3FC"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042ACD">
        <w:rPr>
          <w:rFonts w:cs="Arial"/>
          <w:b/>
          <w:bCs/>
          <w:snapToGrid w:val="0"/>
          <w:kern w:val="0"/>
          <w:sz w:val="28"/>
          <w:szCs w:val="28"/>
        </w:rPr>
        <w:t>SDT on separate BWP</w:t>
      </w:r>
      <w:r w:rsidR="00EF5C99">
        <w:rPr>
          <w:rFonts w:cs="Arial"/>
          <w:b/>
          <w:bCs/>
          <w:snapToGrid w:val="0"/>
          <w:kern w:val="0"/>
          <w:sz w:val="28"/>
          <w:szCs w:val="28"/>
        </w:rPr>
        <w:t xml:space="preserve"> </w:t>
      </w:r>
    </w:p>
    <w:p w14:paraId="2E70E5DF" w14:textId="25D38E63"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8C7BFE">
        <w:rPr>
          <w:rFonts w:cs="Arial"/>
          <w:b/>
          <w:bCs/>
          <w:snapToGrid w:val="0"/>
          <w:kern w:val="0"/>
          <w:sz w:val="28"/>
          <w:szCs w:val="28"/>
        </w:rPr>
        <w:t>8.</w:t>
      </w:r>
      <w:r w:rsidR="00042ACD">
        <w:rPr>
          <w:rFonts w:cs="Arial"/>
          <w:b/>
          <w:bCs/>
          <w:snapToGrid w:val="0"/>
          <w:kern w:val="0"/>
          <w:sz w:val="28"/>
          <w:szCs w:val="28"/>
        </w:rPr>
        <w:t>18</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532C42F0" w14:textId="2F899552" w:rsidR="007C46CE" w:rsidRDefault="00042ACD" w:rsidP="00042ACD">
      <w:pPr>
        <w:spacing w:after="0" w:line="14" w:lineRule="auto"/>
        <w:rPr>
          <w:b/>
          <w:bCs/>
        </w:rPr>
      </w:pPr>
      <w:r>
        <w:rPr>
          <w:sz w:val="20"/>
          <w:szCs w:val="20"/>
        </w:rPr>
        <w:t xml:space="preserve">At RAN2#128, there was a discussion regarding the BWP restriction in SDT </w:t>
      </w:r>
      <w:r>
        <w:rPr>
          <w:sz w:val="20"/>
          <w:szCs w:val="20"/>
        </w:rPr>
        <w:fldChar w:fldCharType="begin"/>
      </w:r>
      <w:r>
        <w:rPr>
          <w:sz w:val="20"/>
          <w:szCs w:val="20"/>
        </w:rPr>
        <w:instrText xml:space="preserve"> REF _Ref189572135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It was agreed that this issue will be addressed but the exact solution is left FFS. In this contribution we look at various aspects of configuring SDT on a separate BWP and propose a way forward. </w:t>
      </w:r>
    </w:p>
    <w:p w14:paraId="543C6AD0" w14:textId="13B43797" w:rsidR="007C46CE" w:rsidRDefault="00042ACD" w:rsidP="007C46C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752B8F2D" w14:textId="378D0032" w:rsidR="00925E1D" w:rsidRDefault="00042ACD" w:rsidP="00925E1D">
      <w:r>
        <w:t xml:space="preserve">Currently, SDT resources can only be configured in the initial BWP. In Rel-17 there was some discussion configuring SDT on non-initial BWP, however this was not agreed at that time. </w:t>
      </w:r>
      <w:r w:rsidR="009C49D8">
        <w:t xml:space="preserve">In </w:t>
      </w:r>
      <w:r w:rsidR="009C49D8">
        <w:fldChar w:fldCharType="begin"/>
      </w:r>
      <w:r w:rsidR="009C49D8">
        <w:instrText xml:space="preserve"> REF _Ref189572135 \r \h </w:instrText>
      </w:r>
      <w:r w:rsidR="009C49D8">
        <w:fldChar w:fldCharType="separate"/>
      </w:r>
      <w:r w:rsidR="009C49D8">
        <w:t>[1]</w:t>
      </w:r>
      <w:r w:rsidR="009C49D8">
        <w:fldChar w:fldCharType="end"/>
      </w:r>
      <w:r w:rsidR="009C49D8">
        <w:t xml:space="preserve">, it was noted that the SDT operation over initial BWP also requires the usage of conservative MCS schemes because of lack of CQI feedback. This means that the resource usage for SDT will be high, contributing to congestion over initial BWP. One option to solve this issue is to introduce a CQI feedback to be provided by the UE to </w:t>
      </w:r>
      <w:proofErr w:type="spellStart"/>
      <w:r w:rsidR="009C49D8">
        <w:t>gN</w:t>
      </w:r>
      <w:r w:rsidR="00564D2D">
        <w:t>B</w:t>
      </w:r>
      <w:proofErr w:type="spellEnd"/>
      <w:r w:rsidR="00564D2D">
        <w:t xml:space="preserve">. In </w:t>
      </w:r>
      <w:r w:rsidR="00564D2D">
        <w:fldChar w:fldCharType="begin"/>
      </w:r>
      <w:r w:rsidR="00564D2D">
        <w:instrText xml:space="preserve"> REF _Ref189572135 \r \h </w:instrText>
      </w:r>
      <w:r w:rsidR="00564D2D">
        <w:fldChar w:fldCharType="separate"/>
      </w:r>
      <w:r w:rsidR="00564D2D">
        <w:t>[1]</w:t>
      </w:r>
      <w:r w:rsidR="00564D2D">
        <w:fldChar w:fldCharType="end"/>
      </w:r>
      <w:r w:rsidR="00564D2D">
        <w:t xml:space="preserve">, it was proposed that the CQI feedback is included in MSG3/MSGA. However, the size of MSG3/MSGA is quite restricted and including additional information in these messages is not practical as this will restrict the coverage of MSG3/MSGA. </w:t>
      </w:r>
      <w:r w:rsidR="00CB3831">
        <w:t xml:space="preserve">Furthermore, the network has a good idea of the channel quality for initial access anyway because it can estimate the quality based on the uplink messages such as RACH and MSG3/MSGA. In case of SDT, the situation is even better because the network also configures an RSRP threshold for SDT and hence if SDT is initiated, then it means that the DL signal is above the RSRP threshold and this also gives a good indication of which MCS the network may use for the SDT session. If inclusion of CQI in MSG3/MSGA is expected to provide some additional benefit, then it would be good at least to check if this is the case with RAN1. </w:t>
      </w:r>
    </w:p>
    <w:p w14:paraId="22AA1AEF" w14:textId="055B41CD" w:rsidR="00564D2D" w:rsidRDefault="00564D2D" w:rsidP="00564D2D">
      <w:pPr>
        <w:pStyle w:val="BodyText"/>
        <w:rPr>
          <w:b/>
          <w:bCs/>
        </w:rPr>
      </w:pPr>
      <w:r w:rsidRPr="008946C4">
        <w:rPr>
          <w:b/>
          <w:bCs/>
        </w:rPr>
        <w:t xml:space="preserve">Observation 1: Inclusion of additional information in MSG3/MSGA will reduce the coverage of these messages and is not preferable. </w:t>
      </w:r>
    </w:p>
    <w:p w14:paraId="2CA91660" w14:textId="750C86E9" w:rsidR="00CB3831" w:rsidRDefault="00CB3831" w:rsidP="00564D2D">
      <w:pPr>
        <w:pStyle w:val="BodyText"/>
        <w:rPr>
          <w:b/>
          <w:bCs/>
        </w:rPr>
      </w:pPr>
      <w:r>
        <w:rPr>
          <w:b/>
          <w:bCs/>
        </w:rPr>
        <w:t>Observation 2: Network has a reasonable idea of the MCS to be used for SDT data based on the quality of RACH/MSG3/MSGA and also based on the fact that SDT is only initiated if the path loss reference of the cell is above the configured RSRP threshold</w:t>
      </w:r>
    </w:p>
    <w:p w14:paraId="36A1BF56" w14:textId="6ABF63EB" w:rsidR="00CB3831" w:rsidRPr="00CB3831" w:rsidRDefault="00CB3831" w:rsidP="00564D2D">
      <w:pPr>
        <w:pStyle w:val="BodyText"/>
      </w:pPr>
      <w:r w:rsidRPr="00CB3831">
        <w:t xml:space="preserve">Based on the above, the following proposal is made: </w:t>
      </w:r>
    </w:p>
    <w:p w14:paraId="1B27265B" w14:textId="7AA93137" w:rsidR="00CB3831" w:rsidRPr="008946C4" w:rsidRDefault="00CB3831" w:rsidP="00564D2D">
      <w:pPr>
        <w:pStyle w:val="BodyText"/>
        <w:rPr>
          <w:b/>
          <w:bCs/>
        </w:rPr>
      </w:pPr>
      <w:r>
        <w:rPr>
          <w:b/>
          <w:bCs/>
        </w:rPr>
        <w:t xml:space="preserve">Proposal 1: If RAN2 intends to consider inclusion of CQI in MSG3/MSGA, we should check </w:t>
      </w:r>
      <w:r w:rsidR="00741B02">
        <w:rPr>
          <w:b/>
          <w:bCs/>
        </w:rPr>
        <w:t xml:space="preserve">with RAN1 </w:t>
      </w:r>
      <w:r>
        <w:rPr>
          <w:b/>
          <w:bCs/>
        </w:rPr>
        <w:t xml:space="preserve">if this is </w:t>
      </w:r>
      <w:r w:rsidR="00741B02">
        <w:rPr>
          <w:b/>
          <w:bCs/>
        </w:rPr>
        <w:t xml:space="preserve">indeed </w:t>
      </w:r>
      <w:r>
        <w:rPr>
          <w:b/>
          <w:bCs/>
        </w:rPr>
        <w:t xml:space="preserve">beneficial </w:t>
      </w:r>
    </w:p>
    <w:p w14:paraId="74AE0D2D" w14:textId="2361910B" w:rsidR="007C46CE" w:rsidRDefault="00847004" w:rsidP="009D0369">
      <w:pPr>
        <w:pStyle w:val="BodyText"/>
      </w:pPr>
      <w:r w:rsidRPr="00847004">
        <w:t>One ge</w:t>
      </w:r>
      <w:r>
        <w:t xml:space="preserve">neral issue with restricting SDT to initial BWP is that the SDT traffic will </w:t>
      </w:r>
      <w:r w:rsidR="00741B02">
        <w:t xml:space="preserve">be on the same BWP as the </w:t>
      </w:r>
      <w:r>
        <w:t>initial access signalling from other IDLE</w:t>
      </w:r>
      <w:r w:rsidR="00741B02">
        <w:t>/</w:t>
      </w:r>
      <w:r>
        <w:t xml:space="preserve">INACTIVE mode UEs. This will restrict the capacity of the network to support a larger population of SDT UEs in the cell. To avoid this issue, one option is to remove the restriction of initial BWP for SDT UEs. </w:t>
      </w:r>
    </w:p>
    <w:p w14:paraId="04B7E717" w14:textId="13607186" w:rsidR="00847004" w:rsidRDefault="00847004" w:rsidP="009D0369">
      <w:pPr>
        <w:pStyle w:val="BodyText"/>
        <w:rPr>
          <w:b/>
          <w:bCs/>
        </w:rPr>
      </w:pPr>
      <w:r w:rsidRPr="00847004">
        <w:rPr>
          <w:b/>
          <w:bCs/>
        </w:rPr>
        <w:t xml:space="preserve">Observation </w:t>
      </w:r>
      <w:r w:rsidR="00741B02">
        <w:rPr>
          <w:b/>
          <w:bCs/>
        </w:rPr>
        <w:t>3</w:t>
      </w:r>
      <w:r w:rsidRPr="00847004">
        <w:rPr>
          <w:b/>
          <w:bCs/>
        </w:rPr>
        <w:t xml:space="preserve">: Restricting SDT operation on initial BWP results in congestion over initial BWP and may unnecessarily restrict the network capacity. </w:t>
      </w:r>
    </w:p>
    <w:p w14:paraId="126BED84" w14:textId="1F884A47" w:rsidR="00847004" w:rsidRDefault="00847004" w:rsidP="009D0369">
      <w:pPr>
        <w:pStyle w:val="BodyText"/>
      </w:pPr>
      <w:r>
        <w:t xml:space="preserve">Thus, one option that can be considered is to remove this restriction of initial BWP for SDT. This means that </w:t>
      </w:r>
      <w:r w:rsidR="00051B48">
        <w:t>SDT</w:t>
      </w:r>
      <w:r>
        <w:t xml:space="preserve"> may be configured over non-initial BWP. </w:t>
      </w:r>
    </w:p>
    <w:p w14:paraId="54B8E95E" w14:textId="070FBE3F" w:rsidR="00051B48" w:rsidRPr="00051B48" w:rsidRDefault="00051B48" w:rsidP="009D0369">
      <w:pPr>
        <w:pStyle w:val="BodyText"/>
        <w:rPr>
          <w:b/>
          <w:bCs/>
        </w:rPr>
      </w:pPr>
      <w:r w:rsidRPr="00051B48">
        <w:rPr>
          <w:b/>
          <w:bCs/>
        </w:rPr>
        <w:t xml:space="preserve">Proposal </w:t>
      </w:r>
      <w:r w:rsidR="00741B02">
        <w:rPr>
          <w:b/>
          <w:bCs/>
        </w:rPr>
        <w:t>2</w:t>
      </w:r>
      <w:r w:rsidRPr="00051B48">
        <w:rPr>
          <w:b/>
          <w:bCs/>
        </w:rPr>
        <w:t xml:space="preserve">: </w:t>
      </w:r>
      <w:r w:rsidR="00DB6EA9" w:rsidRPr="00DB6EA9">
        <w:rPr>
          <w:b/>
          <w:bCs/>
        </w:rPr>
        <w:t>Discuss whether configuration of SDT on non-initial BWP can be specified as part of TEI19</w:t>
      </w:r>
    </w:p>
    <w:p w14:paraId="06553488" w14:textId="1F677975" w:rsidR="00D15C27" w:rsidRDefault="001E6B07" w:rsidP="009D0369">
      <w:pPr>
        <w:pStyle w:val="BodyText"/>
      </w:pPr>
      <w:r>
        <w:t xml:space="preserve">If </w:t>
      </w:r>
      <w:r w:rsidR="00051B48">
        <w:t>RA-</w:t>
      </w:r>
      <w:r>
        <w:t xml:space="preserve">SDT operation is </w:t>
      </w:r>
      <w:r w:rsidR="00A507F2">
        <w:t xml:space="preserve">to be </w:t>
      </w:r>
      <w:r>
        <w:t xml:space="preserve">allowed on separate </w:t>
      </w:r>
      <w:r w:rsidR="00051B48">
        <w:t xml:space="preserve">(non-initial) </w:t>
      </w:r>
      <w:r>
        <w:t xml:space="preserve">BWP, </w:t>
      </w:r>
      <w:r w:rsidR="00051B48">
        <w:t>then the UE has to select the separate BWP for RA-SDT based on feature priorities. So, in order to implement this, the UE has to first check whether RA-SDT resources exist on the separate BWP (considering all the feature priorities etc) and select this BWP if RA-SDT resources exist on this BWP</w:t>
      </w:r>
      <w:r w:rsidR="00741B02">
        <w:t xml:space="preserve"> (according to the current feature prioritization mechanism)</w:t>
      </w:r>
      <w:r w:rsidR="00051B48">
        <w:t xml:space="preserve">. If not, the UE shall perform the resume procedure on the normal initial BWP. </w:t>
      </w:r>
    </w:p>
    <w:p w14:paraId="4D128770" w14:textId="4422C5A4" w:rsidR="00A507F2" w:rsidRPr="00A507F2" w:rsidRDefault="00051B48" w:rsidP="009D0369">
      <w:pPr>
        <w:pStyle w:val="BodyText"/>
        <w:rPr>
          <w:b/>
          <w:bCs/>
        </w:rPr>
      </w:pPr>
      <w:r>
        <w:rPr>
          <w:b/>
          <w:bCs/>
        </w:rPr>
        <w:t xml:space="preserve">Proposal </w:t>
      </w:r>
      <w:r w:rsidR="00741B02">
        <w:rPr>
          <w:b/>
          <w:bCs/>
        </w:rPr>
        <w:t>3</w:t>
      </w:r>
      <w:r>
        <w:rPr>
          <w:b/>
          <w:bCs/>
        </w:rPr>
        <w:t xml:space="preserve">: For RA-SDT, </w:t>
      </w:r>
      <w:r w:rsidR="00AC6D1E">
        <w:rPr>
          <w:b/>
          <w:bCs/>
        </w:rPr>
        <w:t xml:space="preserve">the UE shall select the new BWP for SDT if RA-SDT resources exist on the </w:t>
      </w:r>
      <w:r w:rsidR="00741B02">
        <w:rPr>
          <w:b/>
          <w:bCs/>
        </w:rPr>
        <w:t>non-initial</w:t>
      </w:r>
      <w:r w:rsidR="00AC6D1E">
        <w:rPr>
          <w:b/>
          <w:bCs/>
        </w:rPr>
        <w:t xml:space="preserve"> BWP considering all the feature priorities etc</w:t>
      </w:r>
      <w:r>
        <w:rPr>
          <w:b/>
          <w:bCs/>
        </w:rPr>
        <w:t xml:space="preserve"> </w:t>
      </w:r>
      <w:r w:rsidR="00741B02">
        <w:rPr>
          <w:b/>
          <w:bCs/>
        </w:rPr>
        <w:t xml:space="preserve">and if this is not the case, then the UE shall select the normal initial BWP. </w:t>
      </w:r>
    </w:p>
    <w:p w14:paraId="62D81965" w14:textId="7464260B" w:rsidR="00A507F2" w:rsidRDefault="00A507F2" w:rsidP="009D0369">
      <w:pPr>
        <w:pStyle w:val="BodyText"/>
      </w:pPr>
      <w:r>
        <w:t xml:space="preserve">In case of CG-SDT on the other hand, there is no issue with RACH partitioning and feature prioritization. So, </w:t>
      </w:r>
      <w:r w:rsidR="00AC6D1E">
        <w:t xml:space="preserve">if SDT is triggered and valid CG-SDT resources exist on the separate BWP, then the UE shall select the CG-SDT resources on the separate BWP. </w:t>
      </w:r>
      <w:r>
        <w:t xml:space="preserve"> </w:t>
      </w:r>
    </w:p>
    <w:p w14:paraId="58CA10CE" w14:textId="38E42DD5" w:rsidR="00A507F2" w:rsidRDefault="00A507F2" w:rsidP="009D0369">
      <w:pPr>
        <w:pStyle w:val="BodyText"/>
        <w:rPr>
          <w:b/>
          <w:bCs/>
        </w:rPr>
      </w:pPr>
      <w:r w:rsidRPr="00A507F2">
        <w:rPr>
          <w:b/>
          <w:bCs/>
        </w:rPr>
        <w:t xml:space="preserve">Proposal </w:t>
      </w:r>
      <w:r w:rsidR="00741B02">
        <w:rPr>
          <w:b/>
          <w:bCs/>
        </w:rPr>
        <w:t>4</w:t>
      </w:r>
      <w:r w:rsidRPr="00A507F2">
        <w:rPr>
          <w:b/>
          <w:bCs/>
        </w:rPr>
        <w:t xml:space="preserve">: </w:t>
      </w:r>
      <w:r w:rsidR="00AC6D1E">
        <w:rPr>
          <w:b/>
          <w:bCs/>
        </w:rPr>
        <w:t xml:space="preserve">If </w:t>
      </w:r>
      <w:r w:rsidR="00741B02">
        <w:rPr>
          <w:b/>
          <w:bCs/>
        </w:rPr>
        <w:t>a valid CG-SDT</w:t>
      </w:r>
      <w:r w:rsidR="00C42443">
        <w:rPr>
          <w:b/>
          <w:bCs/>
        </w:rPr>
        <w:t xml:space="preserve"> resource</w:t>
      </w:r>
      <w:r w:rsidR="00741B02">
        <w:rPr>
          <w:b/>
          <w:bCs/>
        </w:rPr>
        <w:t xml:space="preserve"> exists on the non-initial BWP then the UE shall select the CG-SDT resource one the non-initial BWP</w:t>
      </w:r>
    </w:p>
    <w:p w14:paraId="6EE12BB3" w14:textId="77777777" w:rsidR="00741B02" w:rsidRPr="00741B02" w:rsidRDefault="00741B02" w:rsidP="009D0369">
      <w:pPr>
        <w:pStyle w:val="BodyText"/>
      </w:pPr>
    </w:p>
    <w:p w14:paraId="36012EA6" w14:textId="77777777" w:rsidR="006F617B" w:rsidRDefault="00000000" w:rsidP="009D036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F65B4CC" w14:textId="0518FE31" w:rsidR="009576B1" w:rsidRPr="009576B1" w:rsidRDefault="009576B1" w:rsidP="009576B1">
      <w:pPr>
        <w:pStyle w:val="BodyText"/>
      </w:pPr>
      <w:bookmarkStart w:id="6" w:name="_Toc18404543"/>
      <w:bookmarkStart w:id="7" w:name="_Toc18413612"/>
      <w:bookmarkStart w:id="8" w:name="_Toc18403976"/>
      <w:r w:rsidRPr="009576B1">
        <w:t xml:space="preserve">The following observations and proposals are made in this paper: </w:t>
      </w:r>
    </w:p>
    <w:p w14:paraId="1FC25A61" w14:textId="33A1C094" w:rsidR="009576B1" w:rsidRPr="009576B1" w:rsidRDefault="009576B1" w:rsidP="009576B1">
      <w:pPr>
        <w:pStyle w:val="BodyText"/>
        <w:rPr>
          <w:b/>
          <w:bCs/>
          <w:i/>
          <w:iCs/>
        </w:rPr>
      </w:pPr>
      <w:r w:rsidRPr="009576B1">
        <w:rPr>
          <w:b/>
          <w:bCs/>
          <w:i/>
          <w:iCs/>
        </w:rPr>
        <w:t xml:space="preserve">Observation 1: Inclusion of additional information in MSG3/MSGA will reduce the coverage of these messages and is not preferable. </w:t>
      </w:r>
    </w:p>
    <w:p w14:paraId="7E11FB60" w14:textId="77777777" w:rsidR="009576B1" w:rsidRPr="009576B1" w:rsidRDefault="009576B1" w:rsidP="009576B1">
      <w:pPr>
        <w:pStyle w:val="BodyText"/>
        <w:rPr>
          <w:b/>
          <w:bCs/>
          <w:i/>
          <w:iCs/>
        </w:rPr>
      </w:pPr>
      <w:r w:rsidRPr="009576B1">
        <w:rPr>
          <w:b/>
          <w:bCs/>
          <w:i/>
          <w:iCs/>
        </w:rPr>
        <w:t>Observation 2: Network has a reasonable idea of the MCS to be used for SDT data based on the quality of RACH/MSG3/MSGA and also based on the fact that SDT is only initiated if the path loss reference of the cell is above the configured RSRP threshold</w:t>
      </w:r>
    </w:p>
    <w:p w14:paraId="092AFD28" w14:textId="77777777" w:rsidR="009576B1" w:rsidRPr="009576B1" w:rsidRDefault="009576B1" w:rsidP="009576B1">
      <w:pPr>
        <w:pStyle w:val="BodyText"/>
        <w:rPr>
          <w:b/>
          <w:bCs/>
          <w:i/>
          <w:iCs/>
        </w:rPr>
      </w:pPr>
      <w:r w:rsidRPr="009576B1">
        <w:rPr>
          <w:b/>
          <w:bCs/>
          <w:i/>
          <w:iCs/>
        </w:rPr>
        <w:t xml:space="preserve">Observation 3: Restricting SDT operation on initial BWP results in congestion over initial BWP and may unnecessarily restrict the network capacity. </w:t>
      </w:r>
    </w:p>
    <w:p w14:paraId="61F8B906" w14:textId="77777777" w:rsidR="009576B1" w:rsidRPr="009576B1" w:rsidRDefault="009576B1" w:rsidP="009576B1">
      <w:pPr>
        <w:pStyle w:val="BodyText"/>
        <w:rPr>
          <w:b/>
          <w:bCs/>
          <w:i/>
          <w:iCs/>
        </w:rPr>
      </w:pPr>
    </w:p>
    <w:p w14:paraId="238B5753" w14:textId="77777777" w:rsidR="009576B1" w:rsidRPr="009576B1" w:rsidRDefault="009576B1" w:rsidP="009576B1">
      <w:pPr>
        <w:pStyle w:val="BodyText"/>
        <w:rPr>
          <w:b/>
          <w:bCs/>
          <w:i/>
          <w:iCs/>
        </w:rPr>
      </w:pPr>
      <w:r w:rsidRPr="009576B1">
        <w:rPr>
          <w:b/>
          <w:bCs/>
          <w:i/>
          <w:iCs/>
        </w:rPr>
        <w:t xml:space="preserve">Proposal 1: If RAN2 intends to consider inclusion of CQI in MSG3/MSGA, we should check with RAN1 if this is indeed beneficial </w:t>
      </w:r>
    </w:p>
    <w:p w14:paraId="513EAF50" w14:textId="1FC7FD63" w:rsidR="009576B1" w:rsidRPr="009576B1" w:rsidRDefault="009576B1" w:rsidP="009576B1">
      <w:pPr>
        <w:pStyle w:val="BodyText"/>
        <w:rPr>
          <w:b/>
          <w:bCs/>
          <w:i/>
          <w:iCs/>
        </w:rPr>
      </w:pPr>
      <w:r w:rsidRPr="009576B1">
        <w:rPr>
          <w:b/>
          <w:bCs/>
          <w:i/>
          <w:iCs/>
        </w:rPr>
        <w:t xml:space="preserve">Proposal 2: </w:t>
      </w:r>
      <w:r w:rsidR="00DB6EA9">
        <w:rPr>
          <w:b/>
          <w:bCs/>
          <w:i/>
          <w:iCs/>
        </w:rPr>
        <w:t>Discuss whether configuration</w:t>
      </w:r>
      <w:r w:rsidRPr="009576B1">
        <w:rPr>
          <w:b/>
          <w:bCs/>
          <w:i/>
          <w:iCs/>
        </w:rPr>
        <w:t xml:space="preserve"> of SDT on non-initial BWP </w:t>
      </w:r>
      <w:r w:rsidR="00DB6EA9">
        <w:rPr>
          <w:b/>
          <w:bCs/>
          <w:i/>
          <w:iCs/>
        </w:rPr>
        <w:t>can be specified as</w:t>
      </w:r>
      <w:r w:rsidRPr="009576B1">
        <w:rPr>
          <w:b/>
          <w:bCs/>
          <w:i/>
          <w:iCs/>
        </w:rPr>
        <w:t xml:space="preserve"> part of TEI19</w:t>
      </w:r>
    </w:p>
    <w:p w14:paraId="6CD86A59" w14:textId="77777777" w:rsidR="009576B1" w:rsidRPr="009576B1" w:rsidRDefault="009576B1" w:rsidP="009576B1">
      <w:pPr>
        <w:pStyle w:val="BodyText"/>
        <w:rPr>
          <w:b/>
          <w:bCs/>
          <w:i/>
          <w:iCs/>
        </w:rPr>
      </w:pPr>
      <w:r w:rsidRPr="009576B1">
        <w:rPr>
          <w:b/>
          <w:bCs/>
          <w:i/>
          <w:iCs/>
        </w:rPr>
        <w:t xml:space="preserve">Proposal 3: For RA-SDT, the UE shall select the new BWP for SDT if RA-SDT resources exist on the non-initial BWP considering all the feature priorities etc and if this is not the case, then the UE shall select the normal initial BWP. </w:t>
      </w:r>
    </w:p>
    <w:p w14:paraId="4574D3D0" w14:textId="0855C662" w:rsidR="009576B1" w:rsidRPr="009576B1" w:rsidRDefault="009576B1" w:rsidP="009576B1">
      <w:pPr>
        <w:pStyle w:val="BodyText"/>
        <w:rPr>
          <w:b/>
          <w:bCs/>
          <w:i/>
          <w:iCs/>
        </w:rPr>
      </w:pPr>
      <w:r w:rsidRPr="009576B1">
        <w:rPr>
          <w:b/>
          <w:bCs/>
          <w:i/>
          <w:iCs/>
        </w:rPr>
        <w:t xml:space="preserve">Proposal 4: If a valid CG-SDT </w:t>
      </w:r>
      <w:r w:rsidR="00C42443">
        <w:rPr>
          <w:b/>
          <w:bCs/>
          <w:i/>
          <w:iCs/>
        </w:rPr>
        <w:t xml:space="preserve">resource </w:t>
      </w:r>
      <w:r w:rsidRPr="009576B1">
        <w:rPr>
          <w:b/>
          <w:bCs/>
          <w:i/>
          <w:iCs/>
        </w:rPr>
        <w:t xml:space="preserve">exists on the non-initial BWP then the UE shall select the CG-SDT resource </w:t>
      </w:r>
      <w:r w:rsidR="00C42443">
        <w:rPr>
          <w:b/>
          <w:bCs/>
          <w:i/>
          <w:iCs/>
        </w:rPr>
        <w:t>on</w:t>
      </w:r>
      <w:r w:rsidRPr="009576B1">
        <w:rPr>
          <w:b/>
          <w:bCs/>
          <w:i/>
          <w:iCs/>
        </w:rPr>
        <w:t xml:space="preserve"> the non-initial BWP</w:t>
      </w:r>
    </w:p>
    <w:p w14:paraId="67E48B84" w14:textId="1FDDFB9D" w:rsidR="006F617B" w:rsidRDefault="00000000" w:rsidP="009D036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7DC7CCCB" w14:textId="732BD7F7" w:rsidR="00042ACD" w:rsidRPr="00042ACD" w:rsidRDefault="00042ACD" w:rsidP="00042ACD">
      <w:pPr>
        <w:pStyle w:val="ListParagraph"/>
        <w:numPr>
          <w:ilvl w:val="0"/>
          <w:numId w:val="15"/>
        </w:numPr>
        <w:ind w:firstLineChars="0"/>
      </w:pPr>
      <w:bookmarkStart w:id="9" w:name="_Ref189572135"/>
      <w:r w:rsidRPr="00042ACD">
        <w:t>R2-2410542</w:t>
      </w:r>
      <w:r w:rsidRPr="00042ACD">
        <w:tab/>
        <w:t>Quality Indication in Msg3 for SDT</w:t>
      </w:r>
      <w:r w:rsidRPr="00042ACD">
        <w:tab/>
        <w:t>Ericsson</w:t>
      </w:r>
      <w:r w:rsidRPr="00042ACD">
        <w:tab/>
        <w:t>discussion</w:t>
      </w:r>
      <w:r w:rsidRPr="00042ACD">
        <w:tab/>
        <w:t>Rel-19</w:t>
      </w:r>
      <w:r w:rsidRPr="00042ACD">
        <w:tab/>
        <w:t>TEI19</w:t>
      </w:r>
      <w:bookmarkEnd w:id="9"/>
    </w:p>
    <w:sectPr w:rsidR="00042ACD" w:rsidRPr="00042ACD">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C0A88" w14:textId="77777777" w:rsidR="00C448C0" w:rsidRDefault="00C448C0">
      <w:pPr>
        <w:spacing w:line="240" w:lineRule="auto"/>
      </w:pPr>
      <w:r>
        <w:separator/>
      </w:r>
    </w:p>
  </w:endnote>
  <w:endnote w:type="continuationSeparator" w:id="0">
    <w:p w14:paraId="11C478FF" w14:textId="77777777" w:rsidR="00C448C0" w:rsidRDefault="00C448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98448" w14:textId="77777777" w:rsidR="00DB6EA9" w:rsidRDefault="00DB6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C141C" w14:textId="77777777" w:rsidR="00C448C0" w:rsidRDefault="00C448C0">
      <w:pPr>
        <w:spacing w:after="0"/>
      </w:pPr>
      <w:r>
        <w:separator/>
      </w:r>
    </w:p>
  </w:footnote>
  <w:footnote w:type="continuationSeparator" w:id="0">
    <w:p w14:paraId="6F14FA94" w14:textId="77777777" w:rsidR="00C448C0" w:rsidRDefault="00C448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9B4E8" w14:textId="77777777" w:rsidR="00DB6EA9" w:rsidRDefault="00DB6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B5B68" w14:textId="77777777" w:rsidR="00DB6EA9" w:rsidRDefault="00DB6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31DC8" w14:textId="77777777" w:rsidR="00DB6EA9" w:rsidRDefault="00DB6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1960B3"/>
    <w:multiLevelType w:val="hybridMultilevel"/>
    <w:tmpl w:val="405EB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515658"/>
    <w:multiLevelType w:val="hybridMultilevel"/>
    <w:tmpl w:val="866C7692"/>
    <w:lvl w:ilvl="0" w:tplc="C6D6AE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9147DE"/>
    <w:multiLevelType w:val="hybridMultilevel"/>
    <w:tmpl w:val="9D900E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AD6575"/>
    <w:multiLevelType w:val="hybridMultilevel"/>
    <w:tmpl w:val="27AA3142"/>
    <w:lvl w:ilvl="0" w:tplc="4F40DF3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48C0C6F"/>
    <w:multiLevelType w:val="hybridMultilevel"/>
    <w:tmpl w:val="5DCA85AE"/>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FE45A08"/>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2D27ABD"/>
    <w:multiLevelType w:val="hybridMultilevel"/>
    <w:tmpl w:val="E3000058"/>
    <w:lvl w:ilvl="0" w:tplc="FC74A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E707FD4"/>
    <w:multiLevelType w:val="hybridMultilevel"/>
    <w:tmpl w:val="E460C02A"/>
    <w:lvl w:ilvl="0" w:tplc="BD7CCBC6">
      <w:start w:val="10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5858059">
    <w:abstractNumId w:val="0"/>
  </w:num>
  <w:num w:numId="2" w16cid:durableId="533227141">
    <w:abstractNumId w:val="10"/>
  </w:num>
  <w:num w:numId="3" w16cid:durableId="1262058351">
    <w:abstractNumId w:val="5"/>
  </w:num>
  <w:num w:numId="4" w16cid:durableId="2090540524">
    <w:abstractNumId w:val="7"/>
  </w:num>
  <w:num w:numId="5" w16cid:durableId="1050765743">
    <w:abstractNumId w:val="3"/>
  </w:num>
  <w:num w:numId="6" w16cid:durableId="1823304774">
    <w:abstractNumId w:val="13"/>
  </w:num>
  <w:num w:numId="7" w16cid:durableId="814103292">
    <w:abstractNumId w:val="12"/>
  </w:num>
  <w:num w:numId="8" w16cid:durableId="657345677">
    <w:abstractNumId w:val="11"/>
  </w:num>
  <w:num w:numId="9" w16cid:durableId="892472872">
    <w:abstractNumId w:val="4"/>
  </w:num>
  <w:num w:numId="10" w16cid:durableId="1648632197">
    <w:abstractNumId w:val="1"/>
  </w:num>
  <w:num w:numId="11" w16cid:durableId="127287996">
    <w:abstractNumId w:val="2"/>
  </w:num>
  <w:num w:numId="12" w16cid:durableId="1940986521">
    <w:abstractNumId w:val="6"/>
  </w:num>
  <w:num w:numId="13" w16cid:durableId="1054817754">
    <w:abstractNumId w:val="9"/>
  </w:num>
  <w:num w:numId="14" w16cid:durableId="1027414816">
    <w:abstractNumId w:val="14"/>
  </w:num>
  <w:num w:numId="15" w16cid:durableId="8477168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E8A"/>
    <w:rsid w:val="000055B1"/>
    <w:rsid w:val="00007440"/>
    <w:rsid w:val="0000762A"/>
    <w:rsid w:val="000103E7"/>
    <w:rsid w:val="0001278E"/>
    <w:rsid w:val="000130CA"/>
    <w:rsid w:val="00013FAD"/>
    <w:rsid w:val="000148BC"/>
    <w:rsid w:val="0001674A"/>
    <w:rsid w:val="00016A0C"/>
    <w:rsid w:val="00016E39"/>
    <w:rsid w:val="000176F4"/>
    <w:rsid w:val="0001798D"/>
    <w:rsid w:val="00017BA5"/>
    <w:rsid w:val="00021259"/>
    <w:rsid w:val="00021359"/>
    <w:rsid w:val="000223BE"/>
    <w:rsid w:val="000248FC"/>
    <w:rsid w:val="00024E29"/>
    <w:rsid w:val="0002660A"/>
    <w:rsid w:val="00026899"/>
    <w:rsid w:val="0002698B"/>
    <w:rsid w:val="0002777B"/>
    <w:rsid w:val="00027EEC"/>
    <w:rsid w:val="00035A1E"/>
    <w:rsid w:val="00035EF9"/>
    <w:rsid w:val="00037973"/>
    <w:rsid w:val="00040A63"/>
    <w:rsid w:val="0004105F"/>
    <w:rsid w:val="00042ACD"/>
    <w:rsid w:val="00042E6F"/>
    <w:rsid w:val="00043923"/>
    <w:rsid w:val="00043BEF"/>
    <w:rsid w:val="00043FCA"/>
    <w:rsid w:val="00044EB3"/>
    <w:rsid w:val="00045EDE"/>
    <w:rsid w:val="00046E22"/>
    <w:rsid w:val="00046E3D"/>
    <w:rsid w:val="00051B48"/>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4E81"/>
    <w:rsid w:val="0008677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D73DE"/>
    <w:rsid w:val="000E1125"/>
    <w:rsid w:val="000E1993"/>
    <w:rsid w:val="000E1EF3"/>
    <w:rsid w:val="000E3B8A"/>
    <w:rsid w:val="000E74D8"/>
    <w:rsid w:val="000F0A49"/>
    <w:rsid w:val="000F0A7B"/>
    <w:rsid w:val="000F1BBC"/>
    <w:rsid w:val="000F4CFF"/>
    <w:rsid w:val="000F4DA1"/>
    <w:rsid w:val="00100030"/>
    <w:rsid w:val="00103CED"/>
    <w:rsid w:val="00111739"/>
    <w:rsid w:val="00111C96"/>
    <w:rsid w:val="00111CE0"/>
    <w:rsid w:val="00111DF0"/>
    <w:rsid w:val="001135C5"/>
    <w:rsid w:val="00114117"/>
    <w:rsid w:val="001147C0"/>
    <w:rsid w:val="001156DF"/>
    <w:rsid w:val="00120BED"/>
    <w:rsid w:val="00122B73"/>
    <w:rsid w:val="001253A3"/>
    <w:rsid w:val="00126145"/>
    <w:rsid w:val="0012673B"/>
    <w:rsid w:val="001277F8"/>
    <w:rsid w:val="00131F75"/>
    <w:rsid w:val="0013288E"/>
    <w:rsid w:val="00134275"/>
    <w:rsid w:val="0013534D"/>
    <w:rsid w:val="00137B0E"/>
    <w:rsid w:val="00137D4E"/>
    <w:rsid w:val="00140571"/>
    <w:rsid w:val="001413B6"/>
    <w:rsid w:val="00141835"/>
    <w:rsid w:val="001421C9"/>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2D50"/>
    <w:rsid w:val="0018310D"/>
    <w:rsid w:val="00183C5A"/>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341"/>
    <w:rsid w:val="001D2914"/>
    <w:rsid w:val="001D2FB0"/>
    <w:rsid w:val="001D32E2"/>
    <w:rsid w:val="001E01CC"/>
    <w:rsid w:val="001E0341"/>
    <w:rsid w:val="001E11F0"/>
    <w:rsid w:val="001E1C36"/>
    <w:rsid w:val="001E1F34"/>
    <w:rsid w:val="001E26D9"/>
    <w:rsid w:val="001E3D8C"/>
    <w:rsid w:val="001E43EF"/>
    <w:rsid w:val="001E44CD"/>
    <w:rsid w:val="001E5102"/>
    <w:rsid w:val="001E695B"/>
    <w:rsid w:val="001E6B07"/>
    <w:rsid w:val="001E6F40"/>
    <w:rsid w:val="001F0A3C"/>
    <w:rsid w:val="001F1606"/>
    <w:rsid w:val="001F17A7"/>
    <w:rsid w:val="001F31F0"/>
    <w:rsid w:val="001F3DF5"/>
    <w:rsid w:val="001F4346"/>
    <w:rsid w:val="001F483A"/>
    <w:rsid w:val="00201FFE"/>
    <w:rsid w:val="00202C4B"/>
    <w:rsid w:val="00203B88"/>
    <w:rsid w:val="00204EC4"/>
    <w:rsid w:val="00206380"/>
    <w:rsid w:val="002155FA"/>
    <w:rsid w:val="00216B8F"/>
    <w:rsid w:val="00216E24"/>
    <w:rsid w:val="002176DE"/>
    <w:rsid w:val="002177BC"/>
    <w:rsid w:val="00217C8F"/>
    <w:rsid w:val="00223B64"/>
    <w:rsid w:val="002244F8"/>
    <w:rsid w:val="00224BF7"/>
    <w:rsid w:val="0023029F"/>
    <w:rsid w:val="00230D4F"/>
    <w:rsid w:val="00231281"/>
    <w:rsid w:val="00231DC2"/>
    <w:rsid w:val="002333B7"/>
    <w:rsid w:val="002344F2"/>
    <w:rsid w:val="002368E4"/>
    <w:rsid w:val="002404E0"/>
    <w:rsid w:val="00241832"/>
    <w:rsid w:val="00241B67"/>
    <w:rsid w:val="00244D42"/>
    <w:rsid w:val="00246FFA"/>
    <w:rsid w:val="00247076"/>
    <w:rsid w:val="00252B94"/>
    <w:rsid w:val="0025578E"/>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7949"/>
    <w:rsid w:val="00281718"/>
    <w:rsid w:val="002855D0"/>
    <w:rsid w:val="00286954"/>
    <w:rsid w:val="00290E18"/>
    <w:rsid w:val="002910B9"/>
    <w:rsid w:val="00291D54"/>
    <w:rsid w:val="00293A6E"/>
    <w:rsid w:val="002961E6"/>
    <w:rsid w:val="00297A88"/>
    <w:rsid w:val="002A645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3B8B"/>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0C6E"/>
    <w:rsid w:val="00351234"/>
    <w:rsid w:val="00351331"/>
    <w:rsid w:val="00353B2E"/>
    <w:rsid w:val="003546A6"/>
    <w:rsid w:val="00354915"/>
    <w:rsid w:val="00354E6F"/>
    <w:rsid w:val="00355E51"/>
    <w:rsid w:val="00357080"/>
    <w:rsid w:val="003577BE"/>
    <w:rsid w:val="003626F9"/>
    <w:rsid w:val="00362FCF"/>
    <w:rsid w:val="003645A1"/>
    <w:rsid w:val="0036468F"/>
    <w:rsid w:val="00366993"/>
    <w:rsid w:val="00370E0A"/>
    <w:rsid w:val="00371876"/>
    <w:rsid w:val="00372C00"/>
    <w:rsid w:val="0037325E"/>
    <w:rsid w:val="003737D0"/>
    <w:rsid w:val="00373D4E"/>
    <w:rsid w:val="003748F7"/>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01F3"/>
    <w:rsid w:val="003C26DA"/>
    <w:rsid w:val="003C3751"/>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36ACA"/>
    <w:rsid w:val="00440472"/>
    <w:rsid w:val="00441EB5"/>
    <w:rsid w:val="004423E2"/>
    <w:rsid w:val="00442CB8"/>
    <w:rsid w:val="0044341B"/>
    <w:rsid w:val="00443D84"/>
    <w:rsid w:val="00444F7D"/>
    <w:rsid w:val="00445007"/>
    <w:rsid w:val="00446A9B"/>
    <w:rsid w:val="00447798"/>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87F51"/>
    <w:rsid w:val="00490956"/>
    <w:rsid w:val="0049176F"/>
    <w:rsid w:val="004925C0"/>
    <w:rsid w:val="00492EA5"/>
    <w:rsid w:val="00493247"/>
    <w:rsid w:val="00494981"/>
    <w:rsid w:val="00495E19"/>
    <w:rsid w:val="0049613E"/>
    <w:rsid w:val="0049650D"/>
    <w:rsid w:val="004972E8"/>
    <w:rsid w:val="004A0053"/>
    <w:rsid w:val="004A014A"/>
    <w:rsid w:val="004A0572"/>
    <w:rsid w:val="004A1051"/>
    <w:rsid w:val="004A1B41"/>
    <w:rsid w:val="004A2687"/>
    <w:rsid w:val="004A402F"/>
    <w:rsid w:val="004A636A"/>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4908"/>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3CD2"/>
    <w:rsid w:val="005146EB"/>
    <w:rsid w:val="005153FD"/>
    <w:rsid w:val="005160E0"/>
    <w:rsid w:val="0052051B"/>
    <w:rsid w:val="00521264"/>
    <w:rsid w:val="005214BE"/>
    <w:rsid w:val="005219AA"/>
    <w:rsid w:val="00522736"/>
    <w:rsid w:val="00522F3B"/>
    <w:rsid w:val="0052335F"/>
    <w:rsid w:val="00524AF3"/>
    <w:rsid w:val="00525585"/>
    <w:rsid w:val="00525811"/>
    <w:rsid w:val="00525BAC"/>
    <w:rsid w:val="0052657B"/>
    <w:rsid w:val="00532112"/>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4D2D"/>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273"/>
    <w:rsid w:val="006053DC"/>
    <w:rsid w:val="0060600F"/>
    <w:rsid w:val="00606E1D"/>
    <w:rsid w:val="00607058"/>
    <w:rsid w:val="0060767B"/>
    <w:rsid w:val="00607A61"/>
    <w:rsid w:val="006127D4"/>
    <w:rsid w:val="00612F0C"/>
    <w:rsid w:val="00614547"/>
    <w:rsid w:val="00614D4B"/>
    <w:rsid w:val="0061693D"/>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3663B"/>
    <w:rsid w:val="006408DC"/>
    <w:rsid w:val="006413AD"/>
    <w:rsid w:val="00642690"/>
    <w:rsid w:val="00643A7A"/>
    <w:rsid w:val="006445EB"/>
    <w:rsid w:val="0064545A"/>
    <w:rsid w:val="00645C93"/>
    <w:rsid w:val="00646A76"/>
    <w:rsid w:val="006503F8"/>
    <w:rsid w:val="00650D0F"/>
    <w:rsid w:val="00651856"/>
    <w:rsid w:val="006521E7"/>
    <w:rsid w:val="0065579F"/>
    <w:rsid w:val="006608AE"/>
    <w:rsid w:val="00662BA8"/>
    <w:rsid w:val="00670351"/>
    <w:rsid w:val="006706AA"/>
    <w:rsid w:val="006718B7"/>
    <w:rsid w:val="00673154"/>
    <w:rsid w:val="006746B2"/>
    <w:rsid w:val="0067540D"/>
    <w:rsid w:val="00677F5E"/>
    <w:rsid w:val="00682047"/>
    <w:rsid w:val="0068365D"/>
    <w:rsid w:val="0068430C"/>
    <w:rsid w:val="00685237"/>
    <w:rsid w:val="006852A4"/>
    <w:rsid w:val="00686D6B"/>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B5F03"/>
    <w:rsid w:val="006C1A2F"/>
    <w:rsid w:val="006C2D21"/>
    <w:rsid w:val="006C60A2"/>
    <w:rsid w:val="006C60B2"/>
    <w:rsid w:val="006C6193"/>
    <w:rsid w:val="006D0533"/>
    <w:rsid w:val="006D5430"/>
    <w:rsid w:val="006D63EF"/>
    <w:rsid w:val="006D6D39"/>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17B"/>
    <w:rsid w:val="00726958"/>
    <w:rsid w:val="00727D4D"/>
    <w:rsid w:val="00731322"/>
    <w:rsid w:val="007317DA"/>
    <w:rsid w:val="00731E30"/>
    <w:rsid w:val="00733A47"/>
    <w:rsid w:val="00733B79"/>
    <w:rsid w:val="00736CDD"/>
    <w:rsid w:val="00736FEF"/>
    <w:rsid w:val="00737516"/>
    <w:rsid w:val="00741230"/>
    <w:rsid w:val="00741B02"/>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4C7F"/>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B6CF3"/>
    <w:rsid w:val="007C0BA7"/>
    <w:rsid w:val="007C1074"/>
    <w:rsid w:val="007C2B31"/>
    <w:rsid w:val="007C33E4"/>
    <w:rsid w:val="007C41B3"/>
    <w:rsid w:val="007C44F4"/>
    <w:rsid w:val="007C46CE"/>
    <w:rsid w:val="007C501B"/>
    <w:rsid w:val="007C6325"/>
    <w:rsid w:val="007D11B8"/>
    <w:rsid w:val="007D17E8"/>
    <w:rsid w:val="007D1F28"/>
    <w:rsid w:val="007D1FA3"/>
    <w:rsid w:val="007D2587"/>
    <w:rsid w:val="007D36F2"/>
    <w:rsid w:val="007D3BD3"/>
    <w:rsid w:val="007D5A25"/>
    <w:rsid w:val="007D5A65"/>
    <w:rsid w:val="007D7FB1"/>
    <w:rsid w:val="007E0F24"/>
    <w:rsid w:val="007E1458"/>
    <w:rsid w:val="007E17B1"/>
    <w:rsid w:val="007E1E78"/>
    <w:rsid w:val="007E27C0"/>
    <w:rsid w:val="007E4716"/>
    <w:rsid w:val="007E5BA9"/>
    <w:rsid w:val="007E648F"/>
    <w:rsid w:val="007E6E32"/>
    <w:rsid w:val="007E771D"/>
    <w:rsid w:val="007F2524"/>
    <w:rsid w:val="007F3DA7"/>
    <w:rsid w:val="007F4203"/>
    <w:rsid w:val="007F502E"/>
    <w:rsid w:val="007F55FC"/>
    <w:rsid w:val="007F65F6"/>
    <w:rsid w:val="007F6A42"/>
    <w:rsid w:val="007F6FA8"/>
    <w:rsid w:val="008013CA"/>
    <w:rsid w:val="00802795"/>
    <w:rsid w:val="008056CF"/>
    <w:rsid w:val="00806C7C"/>
    <w:rsid w:val="0080716C"/>
    <w:rsid w:val="0080728E"/>
    <w:rsid w:val="008117EB"/>
    <w:rsid w:val="008143C7"/>
    <w:rsid w:val="00814945"/>
    <w:rsid w:val="00814985"/>
    <w:rsid w:val="0081500E"/>
    <w:rsid w:val="00815441"/>
    <w:rsid w:val="008160BF"/>
    <w:rsid w:val="00816F96"/>
    <w:rsid w:val="008170EC"/>
    <w:rsid w:val="008175D4"/>
    <w:rsid w:val="008217FF"/>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4D81"/>
    <w:rsid w:val="00847004"/>
    <w:rsid w:val="00850446"/>
    <w:rsid w:val="008505B6"/>
    <w:rsid w:val="00850AD1"/>
    <w:rsid w:val="00851A3E"/>
    <w:rsid w:val="00851C79"/>
    <w:rsid w:val="00852259"/>
    <w:rsid w:val="0085338A"/>
    <w:rsid w:val="00853419"/>
    <w:rsid w:val="00855B34"/>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5FCE"/>
    <w:rsid w:val="008768D2"/>
    <w:rsid w:val="00876917"/>
    <w:rsid w:val="008770A4"/>
    <w:rsid w:val="00880F6C"/>
    <w:rsid w:val="0088223F"/>
    <w:rsid w:val="00884DAD"/>
    <w:rsid w:val="008850B6"/>
    <w:rsid w:val="008855E2"/>
    <w:rsid w:val="00885E69"/>
    <w:rsid w:val="00886521"/>
    <w:rsid w:val="00887F76"/>
    <w:rsid w:val="00891079"/>
    <w:rsid w:val="00891E8C"/>
    <w:rsid w:val="008937A3"/>
    <w:rsid w:val="008946C4"/>
    <w:rsid w:val="0089509A"/>
    <w:rsid w:val="008A4FE1"/>
    <w:rsid w:val="008A5E28"/>
    <w:rsid w:val="008B302A"/>
    <w:rsid w:val="008B4198"/>
    <w:rsid w:val="008B4609"/>
    <w:rsid w:val="008B4D59"/>
    <w:rsid w:val="008B725C"/>
    <w:rsid w:val="008C1D6D"/>
    <w:rsid w:val="008C3F98"/>
    <w:rsid w:val="008C594A"/>
    <w:rsid w:val="008C7BFE"/>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35E2"/>
    <w:rsid w:val="008F7007"/>
    <w:rsid w:val="009026D8"/>
    <w:rsid w:val="00902833"/>
    <w:rsid w:val="009039E2"/>
    <w:rsid w:val="009068B3"/>
    <w:rsid w:val="0091077D"/>
    <w:rsid w:val="0091196A"/>
    <w:rsid w:val="00911DC9"/>
    <w:rsid w:val="009122C5"/>
    <w:rsid w:val="009123FF"/>
    <w:rsid w:val="00914451"/>
    <w:rsid w:val="00916287"/>
    <w:rsid w:val="009164CD"/>
    <w:rsid w:val="00917271"/>
    <w:rsid w:val="0091740C"/>
    <w:rsid w:val="00922A9F"/>
    <w:rsid w:val="00922F01"/>
    <w:rsid w:val="00924EF9"/>
    <w:rsid w:val="00925478"/>
    <w:rsid w:val="00925525"/>
    <w:rsid w:val="00925A8F"/>
    <w:rsid w:val="00925D8E"/>
    <w:rsid w:val="00925E1D"/>
    <w:rsid w:val="009269F5"/>
    <w:rsid w:val="00930CAD"/>
    <w:rsid w:val="00932081"/>
    <w:rsid w:val="0093373D"/>
    <w:rsid w:val="00935008"/>
    <w:rsid w:val="00935E3F"/>
    <w:rsid w:val="00937ADC"/>
    <w:rsid w:val="009400CF"/>
    <w:rsid w:val="00940533"/>
    <w:rsid w:val="009410AE"/>
    <w:rsid w:val="00942D4D"/>
    <w:rsid w:val="009432FE"/>
    <w:rsid w:val="009438F8"/>
    <w:rsid w:val="00944414"/>
    <w:rsid w:val="00945FA9"/>
    <w:rsid w:val="0094691D"/>
    <w:rsid w:val="00946FAF"/>
    <w:rsid w:val="00951051"/>
    <w:rsid w:val="0095202B"/>
    <w:rsid w:val="0095367A"/>
    <w:rsid w:val="00954F42"/>
    <w:rsid w:val="00957172"/>
    <w:rsid w:val="009576B1"/>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6228"/>
    <w:rsid w:val="0097718E"/>
    <w:rsid w:val="009800B6"/>
    <w:rsid w:val="00980E36"/>
    <w:rsid w:val="00982920"/>
    <w:rsid w:val="00985205"/>
    <w:rsid w:val="0098564A"/>
    <w:rsid w:val="00985DB7"/>
    <w:rsid w:val="0098601F"/>
    <w:rsid w:val="009861C6"/>
    <w:rsid w:val="00986B3C"/>
    <w:rsid w:val="009872C7"/>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C49D8"/>
    <w:rsid w:val="009D00BA"/>
    <w:rsid w:val="009D0369"/>
    <w:rsid w:val="009D159F"/>
    <w:rsid w:val="009D2A16"/>
    <w:rsid w:val="009D33C3"/>
    <w:rsid w:val="009D6952"/>
    <w:rsid w:val="009D7F9A"/>
    <w:rsid w:val="009E068F"/>
    <w:rsid w:val="009E1B89"/>
    <w:rsid w:val="009E47DB"/>
    <w:rsid w:val="009E6103"/>
    <w:rsid w:val="009E619C"/>
    <w:rsid w:val="009E7020"/>
    <w:rsid w:val="009E7045"/>
    <w:rsid w:val="009E748B"/>
    <w:rsid w:val="009E7EB9"/>
    <w:rsid w:val="009F1449"/>
    <w:rsid w:val="009F2244"/>
    <w:rsid w:val="009F3D12"/>
    <w:rsid w:val="009F4BCF"/>
    <w:rsid w:val="00A01EEB"/>
    <w:rsid w:val="00A02219"/>
    <w:rsid w:val="00A03D3F"/>
    <w:rsid w:val="00A04BEB"/>
    <w:rsid w:val="00A04DE2"/>
    <w:rsid w:val="00A05412"/>
    <w:rsid w:val="00A117FD"/>
    <w:rsid w:val="00A11A20"/>
    <w:rsid w:val="00A11C05"/>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0A2"/>
    <w:rsid w:val="00A323D7"/>
    <w:rsid w:val="00A32701"/>
    <w:rsid w:val="00A32A1D"/>
    <w:rsid w:val="00A330EB"/>
    <w:rsid w:val="00A334CC"/>
    <w:rsid w:val="00A40F4B"/>
    <w:rsid w:val="00A4263A"/>
    <w:rsid w:val="00A44BE1"/>
    <w:rsid w:val="00A4500D"/>
    <w:rsid w:val="00A4512F"/>
    <w:rsid w:val="00A504A8"/>
    <w:rsid w:val="00A507F2"/>
    <w:rsid w:val="00A527D9"/>
    <w:rsid w:val="00A53CDD"/>
    <w:rsid w:val="00A53FF7"/>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140F"/>
    <w:rsid w:val="00AC4276"/>
    <w:rsid w:val="00AC464D"/>
    <w:rsid w:val="00AC51E8"/>
    <w:rsid w:val="00AC6D1E"/>
    <w:rsid w:val="00AC70FC"/>
    <w:rsid w:val="00AD02E4"/>
    <w:rsid w:val="00AD0CA9"/>
    <w:rsid w:val="00AD1C5F"/>
    <w:rsid w:val="00AD2407"/>
    <w:rsid w:val="00AD3E16"/>
    <w:rsid w:val="00AD5FBC"/>
    <w:rsid w:val="00AD62D8"/>
    <w:rsid w:val="00AD6B6A"/>
    <w:rsid w:val="00AD7273"/>
    <w:rsid w:val="00AD74B1"/>
    <w:rsid w:val="00AE156B"/>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565"/>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8BF"/>
    <w:rsid w:val="00B44CA2"/>
    <w:rsid w:val="00B454AE"/>
    <w:rsid w:val="00B45626"/>
    <w:rsid w:val="00B5008D"/>
    <w:rsid w:val="00B5068E"/>
    <w:rsid w:val="00B50D18"/>
    <w:rsid w:val="00B52464"/>
    <w:rsid w:val="00B53DB0"/>
    <w:rsid w:val="00B53EAE"/>
    <w:rsid w:val="00B54DC8"/>
    <w:rsid w:val="00B55CF3"/>
    <w:rsid w:val="00B5652F"/>
    <w:rsid w:val="00B57187"/>
    <w:rsid w:val="00B57304"/>
    <w:rsid w:val="00B609A8"/>
    <w:rsid w:val="00B65BF6"/>
    <w:rsid w:val="00B670CE"/>
    <w:rsid w:val="00B67B79"/>
    <w:rsid w:val="00B67E74"/>
    <w:rsid w:val="00B707A4"/>
    <w:rsid w:val="00B716F8"/>
    <w:rsid w:val="00B720CB"/>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55C7"/>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4B73"/>
    <w:rsid w:val="00C057BD"/>
    <w:rsid w:val="00C0598C"/>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2443"/>
    <w:rsid w:val="00C43809"/>
    <w:rsid w:val="00C448C0"/>
    <w:rsid w:val="00C44E24"/>
    <w:rsid w:val="00C44FC9"/>
    <w:rsid w:val="00C45167"/>
    <w:rsid w:val="00C47045"/>
    <w:rsid w:val="00C473CE"/>
    <w:rsid w:val="00C50168"/>
    <w:rsid w:val="00C5115B"/>
    <w:rsid w:val="00C5180C"/>
    <w:rsid w:val="00C52111"/>
    <w:rsid w:val="00C523E4"/>
    <w:rsid w:val="00C531B7"/>
    <w:rsid w:val="00C53622"/>
    <w:rsid w:val="00C54982"/>
    <w:rsid w:val="00C54B46"/>
    <w:rsid w:val="00C55B71"/>
    <w:rsid w:val="00C56DB9"/>
    <w:rsid w:val="00C60E81"/>
    <w:rsid w:val="00C621A1"/>
    <w:rsid w:val="00C63153"/>
    <w:rsid w:val="00C63CB8"/>
    <w:rsid w:val="00C65327"/>
    <w:rsid w:val="00C66DB1"/>
    <w:rsid w:val="00C67235"/>
    <w:rsid w:val="00C67382"/>
    <w:rsid w:val="00C72471"/>
    <w:rsid w:val="00C72B4C"/>
    <w:rsid w:val="00C7590E"/>
    <w:rsid w:val="00C76306"/>
    <w:rsid w:val="00C77327"/>
    <w:rsid w:val="00C8086B"/>
    <w:rsid w:val="00C824B7"/>
    <w:rsid w:val="00C82D97"/>
    <w:rsid w:val="00C84D14"/>
    <w:rsid w:val="00C91C45"/>
    <w:rsid w:val="00C93053"/>
    <w:rsid w:val="00C9369C"/>
    <w:rsid w:val="00C93EDD"/>
    <w:rsid w:val="00C953EF"/>
    <w:rsid w:val="00C953F6"/>
    <w:rsid w:val="00C96B31"/>
    <w:rsid w:val="00C97FD3"/>
    <w:rsid w:val="00CA0363"/>
    <w:rsid w:val="00CA06A4"/>
    <w:rsid w:val="00CA2343"/>
    <w:rsid w:val="00CA501F"/>
    <w:rsid w:val="00CA586A"/>
    <w:rsid w:val="00CA59FA"/>
    <w:rsid w:val="00CA61CF"/>
    <w:rsid w:val="00CA759F"/>
    <w:rsid w:val="00CB08EB"/>
    <w:rsid w:val="00CB1749"/>
    <w:rsid w:val="00CB3831"/>
    <w:rsid w:val="00CB3A9F"/>
    <w:rsid w:val="00CB447F"/>
    <w:rsid w:val="00CB5048"/>
    <w:rsid w:val="00CB6D48"/>
    <w:rsid w:val="00CC0379"/>
    <w:rsid w:val="00CC10DA"/>
    <w:rsid w:val="00CC156D"/>
    <w:rsid w:val="00CC58C3"/>
    <w:rsid w:val="00CD229F"/>
    <w:rsid w:val="00CE2D1F"/>
    <w:rsid w:val="00CE316E"/>
    <w:rsid w:val="00CE52F0"/>
    <w:rsid w:val="00CF0E37"/>
    <w:rsid w:val="00CF121A"/>
    <w:rsid w:val="00CF18A3"/>
    <w:rsid w:val="00CF3084"/>
    <w:rsid w:val="00CF356A"/>
    <w:rsid w:val="00CF4A61"/>
    <w:rsid w:val="00CF4B9A"/>
    <w:rsid w:val="00D0108B"/>
    <w:rsid w:val="00D014BD"/>
    <w:rsid w:val="00D029CB"/>
    <w:rsid w:val="00D04274"/>
    <w:rsid w:val="00D05A8B"/>
    <w:rsid w:val="00D06659"/>
    <w:rsid w:val="00D0699D"/>
    <w:rsid w:val="00D1043B"/>
    <w:rsid w:val="00D1447E"/>
    <w:rsid w:val="00D15A58"/>
    <w:rsid w:val="00D15C27"/>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3A89"/>
    <w:rsid w:val="00D34E4E"/>
    <w:rsid w:val="00D369E4"/>
    <w:rsid w:val="00D40723"/>
    <w:rsid w:val="00D41A51"/>
    <w:rsid w:val="00D42DFD"/>
    <w:rsid w:val="00D4448D"/>
    <w:rsid w:val="00D45E14"/>
    <w:rsid w:val="00D4755C"/>
    <w:rsid w:val="00D52825"/>
    <w:rsid w:val="00D52834"/>
    <w:rsid w:val="00D52DF3"/>
    <w:rsid w:val="00D544FE"/>
    <w:rsid w:val="00D5596F"/>
    <w:rsid w:val="00D56F3F"/>
    <w:rsid w:val="00D61F13"/>
    <w:rsid w:val="00D672D6"/>
    <w:rsid w:val="00D67616"/>
    <w:rsid w:val="00D677FC"/>
    <w:rsid w:val="00D67D4A"/>
    <w:rsid w:val="00D70434"/>
    <w:rsid w:val="00D708A4"/>
    <w:rsid w:val="00D70B9D"/>
    <w:rsid w:val="00D72B46"/>
    <w:rsid w:val="00D73122"/>
    <w:rsid w:val="00D75D2E"/>
    <w:rsid w:val="00D75ED6"/>
    <w:rsid w:val="00D77EA3"/>
    <w:rsid w:val="00D806A3"/>
    <w:rsid w:val="00D80A75"/>
    <w:rsid w:val="00D81ABD"/>
    <w:rsid w:val="00D81BAC"/>
    <w:rsid w:val="00D82EE7"/>
    <w:rsid w:val="00D83149"/>
    <w:rsid w:val="00D83173"/>
    <w:rsid w:val="00D836F0"/>
    <w:rsid w:val="00D8380A"/>
    <w:rsid w:val="00D83FCD"/>
    <w:rsid w:val="00D84ABB"/>
    <w:rsid w:val="00D85273"/>
    <w:rsid w:val="00D87C37"/>
    <w:rsid w:val="00D90425"/>
    <w:rsid w:val="00D90CC5"/>
    <w:rsid w:val="00D92C6A"/>
    <w:rsid w:val="00D95330"/>
    <w:rsid w:val="00DA12AB"/>
    <w:rsid w:val="00DA1A93"/>
    <w:rsid w:val="00DA7973"/>
    <w:rsid w:val="00DB0731"/>
    <w:rsid w:val="00DB3689"/>
    <w:rsid w:val="00DB3767"/>
    <w:rsid w:val="00DB39E0"/>
    <w:rsid w:val="00DB3CB4"/>
    <w:rsid w:val="00DB6EA9"/>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6CB9"/>
    <w:rsid w:val="00DE7200"/>
    <w:rsid w:val="00DF329D"/>
    <w:rsid w:val="00DF365A"/>
    <w:rsid w:val="00DF4CBC"/>
    <w:rsid w:val="00DF5370"/>
    <w:rsid w:val="00DF76DE"/>
    <w:rsid w:val="00DF7E4D"/>
    <w:rsid w:val="00E0032E"/>
    <w:rsid w:val="00E01113"/>
    <w:rsid w:val="00E01355"/>
    <w:rsid w:val="00E0205D"/>
    <w:rsid w:val="00E0313E"/>
    <w:rsid w:val="00E0491A"/>
    <w:rsid w:val="00E0557E"/>
    <w:rsid w:val="00E1018A"/>
    <w:rsid w:val="00E120F4"/>
    <w:rsid w:val="00E136D8"/>
    <w:rsid w:val="00E153F6"/>
    <w:rsid w:val="00E15F7E"/>
    <w:rsid w:val="00E173DF"/>
    <w:rsid w:val="00E1769D"/>
    <w:rsid w:val="00E20CA8"/>
    <w:rsid w:val="00E228A9"/>
    <w:rsid w:val="00E248EB"/>
    <w:rsid w:val="00E2626C"/>
    <w:rsid w:val="00E275F7"/>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57EE9"/>
    <w:rsid w:val="00E6166E"/>
    <w:rsid w:val="00E62764"/>
    <w:rsid w:val="00E62B3D"/>
    <w:rsid w:val="00E6315A"/>
    <w:rsid w:val="00E63986"/>
    <w:rsid w:val="00E63D20"/>
    <w:rsid w:val="00E63DAC"/>
    <w:rsid w:val="00E65E86"/>
    <w:rsid w:val="00E66C3B"/>
    <w:rsid w:val="00E7092F"/>
    <w:rsid w:val="00E71B00"/>
    <w:rsid w:val="00E73C7F"/>
    <w:rsid w:val="00E73D86"/>
    <w:rsid w:val="00E740D9"/>
    <w:rsid w:val="00E77D65"/>
    <w:rsid w:val="00E821B2"/>
    <w:rsid w:val="00E8224F"/>
    <w:rsid w:val="00E853FB"/>
    <w:rsid w:val="00E85E3C"/>
    <w:rsid w:val="00E86AFE"/>
    <w:rsid w:val="00E86E3F"/>
    <w:rsid w:val="00E87816"/>
    <w:rsid w:val="00E902C7"/>
    <w:rsid w:val="00E943EE"/>
    <w:rsid w:val="00E94456"/>
    <w:rsid w:val="00E9493E"/>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69E2"/>
    <w:rsid w:val="00ED6D8F"/>
    <w:rsid w:val="00ED7856"/>
    <w:rsid w:val="00ED792B"/>
    <w:rsid w:val="00ED7DC2"/>
    <w:rsid w:val="00EE3EE2"/>
    <w:rsid w:val="00EE5769"/>
    <w:rsid w:val="00EE5CA6"/>
    <w:rsid w:val="00EE6916"/>
    <w:rsid w:val="00EF1335"/>
    <w:rsid w:val="00EF1557"/>
    <w:rsid w:val="00EF2499"/>
    <w:rsid w:val="00EF277F"/>
    <w:rsid w:val="00EF4AE0"/>
    <w:rsid w:val="00EF5901"/>
    <w:rsid w:val="00EF5C99"/>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2789F"/>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3CFC"/>
    <w:rsid w:val="00F544AB"/>
    <w:rsid w:val="00F54D8A"/>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6F37"/>
    <w:rsid w:val="00FA793B"/>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D66C3"/>
    <w:rsid w:val="00FE018C"/>
    <w:rsid w:val="00FE09E7"/>
    <w:rsid w:val="00FE2161"/>
    <w:rsid w:val="00FE3D39"/>
    <w:rsid w:val="00FE5159"/>
    <w:rsid w:val="00FE58B6"/>
    <w:rsid w:val="00FE5AA8"/>
    <w:rsid w:val="00FE7430"/>
    <w:rsid w:val="00FF00E3"/>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2025-02-05T11:35:00Z</dcterms:created>
  <dcterms:modified xsi:type="dcterms:W3CDTF">2025-02-06T16:28:00Z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