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2C4EF7E2"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6435DE">
        <w:rPr>
          <w:rFonts w:ascii="Arial" w:eastAsia="MS Mincho" w:hAnsi="Arial"/>
          <w:b/>
          <w:sz w:val="24"/>
          <w:szCs w:val="24"/>
          <w:lang w:eastAsia="x-none"/>
        </w:rPr>
        <w:t>6</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EC680F">
        <w:rPr>
          <w:rFonts w:ascii="Arial" w:eastAsia="MS Mincho" w:hAnsi="Arial"/>
          <w:b/>
          <w:sz w:val="24"/>
          <w:szCs w:val="24"/>
          <w:lang w:eastAsia="x-none"/>
        </w:rPr>
        <w:t>04501</w:t>
      </w:r>
    </w:p>
    <w:p w14:paraId="7791F180" w14:textId="32A36488" w:rsidR="00A32E79" w:rsidRPr="00A32E79" w:rsidRDefault="006435DE"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Fukuoka</w:t>
      </w:r>
      <w:r w:rsidR="00570984">
        <w:rPr>
          <w:rFonts w:ascii="Arial" w:eastAsia="MS Mincho" w:hAnsi="Arial"/>
          <w:b/>
          <w:sz w:val="24"/>
          <w:szCs w:val="24"/>
          <w:lang w:eastAsia="x-none"/>
        </w:rPr>
        <w:t xml:space="preserve">, </w:t>
      </w:r>
      <w:r>
        <w:rPr>
          <w:rFonts w:ascii="Arial" w:eastAsia="MS Mincho" w:hAnsi="Arial"/>
          <w:b/>
          <w:sz w:val="24"/>
          <w:szCs w:val="24"/>
          <w:lang w:eastAsia="x-none"/>
        </w:rPr>
        <w:t>Japan</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20</w:t>
      </w:r>
      <w:r w:rsidR="00F84150">
        <w:rPr>
          <w:rFonts w:ascii="Arial" w:eastAsia="MS Mincho" w:hAnsi="Arial"/>
          <w:b/>
          <w:sz w:val="24"/>
          <w:szCs w:val="24"/>
          <w:lang w:eastAsia="x-none"/>
        </w:rPr>
        <w:t>-</w:t>
      </w:r>
      <w:r>
        <w:rPr>
          <w:rFonts w:ascii="Arial" w:eastAsia="MS Mincho" w:hAnsi="Arial"/>
          <w:b/>
          <w:sz w:val="24"/>
          <w:szCs w:val="24"/>
          <w:lang w:eastAsia="x-none"/>
        </w:rPr>
        <w:t>24</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3462A48B"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2A586A">
        <w:rPr>
          <w:rFonts w:ascii="Arial" w:eastAsia="PMingLiU" w:hAnsi="Arial" w:cs="Arial"/>
          <w:b/>
          <w:sz w:val="24"/>
          <w:szCs w:val="24"/>
          <w:lang w:eastAsia="zh-CN"/>
        </w:rPr>
        <w:t>8.2.3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64487E27"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proofErr w:type="spellStart"/>
      <w:r w:rsidR="00081273">
        <w:rPr>
          <w:rFonts w:ascii="Arial" w:eastAsia="PMingLiU" w:hAnsi="Arial" w:cs="Arial"/>
          <w:b/>
          <w:sz w:val="24"/>
          <w:szCs w:val="24"/>
          <w:lang w:eastAsia="zh-CN"/>
        </w:rPr>
        <w:t>AIoT</w:t>
      </w:r>
      <w:proofErr w:type="spellEnd"/>
      <w:r w:rsidR="00081273">
        <w:rPr>
          <w:rFonts w:ascii="Arial" w:eastAsia="PMingLiU" w:hAnsi="Arial" w:cs="Arial"/>
          <w:b/>
          <w:sz w:val="24"/>
          <w:szCs w:val="24"/>
          <w:lang w:eastAsia="zh-CN"/>
        </w:rPr>
        <w:t xml:space="preserve"> read and write operations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76F386C4"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9A7F1A">
        <w:rPr>
          <w:rFonts w:ascii="Calibri" w:eastAsia="PMingLiU" w:hAnsi="Calibri"/>
          <w:sz w:val="22"/>
          <w:szCs w:val="22"/>
          <w:lang w:eastAsia="zh-TW"/>
        </w:rPr>
        <w:t>proposes a general approach from RAN2 perspective to reading and writing data (including signalling) between the reader and the device</w:t>
      </w:r>
      <w:r w:rsidR="0089612D">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6F6AD06"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653CB3">
        <w:rPr>
          <w:rFonts w:eastAsia="PMingLiU"/>
          <w:lang w:eastAsia="zh-TW"/>
        </w:rPr>
        <w:t>Device model</w:t>
      </w:r>
    </w:p>
    <w:p w14:paraId="0CBFAF74" w14:textId="0E6C1448" w:rsidR="007C173A" w:rsidRDefault="00653CB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Based on the discussion at RAN2#125bis, there seems to be some level of consensus on modelling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device as “storage”, i.e., providing an interface through which the reader can read and write data blocks to </w:t>
      </w:r>
      <w:proofErr w:type="gramStart"/>
      <w:r>
        <w:rPr>
          <w:rFonts w:ascii="Calibri" w:eastAsia="PMingLiU" w:hAnsi="Calibri"/>
          <w:sz w:val="22"/>
          <w:szCs w:val="22"/>
          <w:lang w:eastAsia="zh-TW"/>
        </w:rPr>
        <w:t>particular logical</w:t>
      </w:r>
      <w:proofErr w:type="gramEnd"/>
      <w:r>
        <w:rPr>
          <w:rFonts w:ascii="Calibri" w:eastAsia="PMingLiU" w:hAnsi="Calibri"/>
          <w:sz w:val="22"/>
          <w:szCs w:val="22"/>
          <w:lang w:eastAsia="zh-TW"/>
        </w:rPr>
        <w:t xml:space="preserve"> locations.  From an upper layer perspective, the device may have a detailed memory map associating locations with a high-level structure, but from the reader’s perspective it can be considered as just a storage medium.</w:t>
      </w:r>
    </w:p>
    <w:p w14:paraId="1469B234" w14:textId="5A8A4850" w:rsidR="007C173A" w:rsidRDefault="007C173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should be noted that a “read” operation could be viewed as an </w:t>
      </w:r>
      <w:proofErr w:type="gramStart"/>
      <w:r>
        <w:rPr>
          <w:rFonts w:ascii="Calibri" w:eastAsia="PMingLiU" w:hAnsi="Calibri"/>
          <w:sz w:val="22"/>
          <w:szCs w:val="22"/>
          <w:lang w:eastAsia="zh-TW"/>
        </w:rPr>
        <w:t>upper-layer</w:t>
      </w:r>
      <w:proofErr w:type="gramEnd"/>
      <w:r>
        <w:rPr>
          <w:rFonts w:ascii="Calibri" w:eastAsia="PMingLiU" w:hAnsi="Calibri"/>
          <w:sz w:val="22"/>
          <w:szCs w:val="22"/>
          <w:lang w:eastAsia="zh-TW"/>
        </w:rPr>
        <w:t xml:space="preserve"> “read” message, blindly forwarded by the reader, or as an active operation of which the reader is aware.  We intend the latter interpretation: The reader knows when it is reading or writing and sends a read or write instruction to the device, rather than just forwarding a transparent upper-layer command.</w:t>
      </w:r>
      <w:r w:rsidR="00E829FB">
        <w:rPr>
          <w:rFonts w:ascii="Calibri" w:eastAsia="PMingLiU" w:hAnsi="Calibri"/>
          <w:sz w:val="22"/>
          <w:szCs w:val="22"/>
          <w:lang w:eastAsia="zh-TW"/>
        </w:rPr>
        <w:t xml:space="preserve">  (One reason for this preference is the “nomadic reader” use case: If the reader forwards upper-layer material transparently, it can do nothing when not in contact with the controller, but if the reader can initiate read/write operations by itself, the controller can send a UE reader out to deliver or gather data from devices that may be out of coverage, e.g., roam throughout the farm and take inventory of all the pigs, irrespective of coverage conditions.)</w:t>
      </w:r>
    </w:p>
    <w:p w14:paraId="1CA90FD0" w14:textId="2B6598F6" w:rsidR="00653CB3" w:rsidRPr="00653CB3" w:rsidRDefault="00653CB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The interface between the reader and the device is managed by read and write operations</w:t>
      </w:r>
      <w:r w:rsidR="009A7F1A">
        <w:rPr>
          <w:rFonts w:ascii="Calibri" w:eastAsia="PMingLiU" w:hAnsi="Calibri"/>
          <w:sz w:val="22"/>
          <w:szCs w:val="22"/>
          <w:lang w:eastAsia="zh-TW"/>
        </w:rPr>
        <w:t xml:space="preserve"> visible to the reader and</w:t>
      </w:r>
      <w:r>
        <w:rPr>
          <w:rFonts w:ascii="Calibri" w:eastAsia="PMingLiU" w:hAnsi="Calibri"/>
          <w:sz w:val="22"/>
          <w:szCs w:val="22"/>
          <w:lang w:eastAsia="zh-TW"/>
        </w:rPr>
        <w:t xml:space="preserve"> addressing logical locations of the device.</w:t>
      </w:r>
    </w:p>
    <w:p w14:paraId="63609586" w14:textId="73FB1B96" w:rsidR="008D2107" w:rsidRDefault="00653CB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Some storage locations may be “live data” where a write causes execution of a procedure at the device; this model is a way of implementing signalling messages as read/write operations, without specifying separate control- and user-plane behaviours, as further discussed in [1].  Alternatively, the read and write operations could contain a </w:t>
      </w:r>
      <w:proofErr w:type="gramStart"/>
      <w:r>
        <w:rPr>
          <w:rFonts w:ascii="Calibri" w:eastAsia="PMingLiU" w:hAnsi="Calibri"/>
          <w:sz w:val="22"/>
          <w:szCs w:val="22"/>
          <w:lang w:eastAsia="zh-TW"/>
        </w:rPr>
        <w:t>type</w:t>
      </w:r>
      <w:proofErr w:type="gramEnd"/>
      <w:r>
        <w:rPr>
          <w:rFonts w:ascii="Calibri" w:eastAsia="PMingLiU" w:hAnsi="Calibri"/>
          <w:sz w:val="22"/>
          <w:szCs w:val="22"/>
          <w:lang w:eastAsia="zh-TW"/>
        </w:rPr>
        <w:t xml:space="preserve"> field identifying specific message types</w:t>
      </w:r>
      <w:r w:rsidR="000A370F">
        <w:rPr>
          <w:rFonts w:ascii="Calibri" w:eastAsia="PMingLiU" w:hAnsi="Calibri"/>
          <w:sz w:val="22"/>
          <w:szCs w:val="22"/>
          <w:lang w:eastAsia="zh-TW"/>
        </w:rPr>
        <w:t>.</w:t>
      </w:r>
    </w:p>
    <w:p w14:paraId="6A3B8104" w14:textId="69654776" w:rsidR="00653CB3" w:rsidRDefault="00653CB3"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Signalling messages between the reader and the device are modelled as read and write operations whose addressing indicates specific functionality.  FFS if the addresses are logical locations with specified behaviour or a separate form of data.</w:t>
      </w:r>
    </w:p>
    <w:p w14:paraId="6918C35B" w14:textId="795BC503" w:rsidR="00D02239" w:rsidRDefault="00D02239" w:rsidP="00D02239">
      <w:pPr>
        <w:pStyle w:val="Heading2"/>
        <w:rPr>
          <w:rFonts w:eastAsia="PMingLiU"/>
          <w:lang w:eastAsia="zh-TW"/>
        </w:rPr>
      </w:pPr>
      <w:r>
        <w:rPr>
          <w:rFonts w:eastAsia="PMingLiU"/>
          <w:lang w:eastAsia="zh-TW"/>
        </w:rPr>
        <w:lastRenderedPageBreak/>
        <w:t>2.2</w:t>
      </w:r>
      <w:r>
        <w:rPr>
          <w:rFonts w:eastAsia="PMingLiU"/>
          <w:lang w:eastAsia="zh-TW"/>
        </w:rPr>
        <w:tab/>
        <w:t xml:space="preserve">Read </w:t>
      </w:r>
      <w:proofErr w:type="gramStart"/>
      <w:r>
        <w:rPr>
          <w:rFonts w:eastAsia="PMingLiU"/>
          <w:lang w:eastAsia="zh-TW"/>
        </w:rPr>
        <w:t>operation</w:t>
      </w:r>
      <w:proofErr w:type="gramEnd"/>
    </w:p>
    <w:p w14:paraId="72B6A120" w14:textId="71A3EE5B" w:rsidR="00D02239" w:rsidRDefault="00D02239"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read operation is </w:t>
      </w:r>
      <w:proofErr w:type="gramStart"/>
      <w:r>
        <w:rPr>
          <w:rFonts w:ascii="Calibri" w:eastAsia="PMingLiU" w:hAnsi="Calibri"/>
          <w:sz w:val="22"/>
          <w:szCs w:val="22"/>
          <w:lang w:eastAsia="zh-TW"/>
        </w:rPr>
        <w:t>fairly straightforward</w:t>
      </w:r>
      <w:proofErr w:type="gramEnd"/>
      <w:r>
        <w:rPr>
          <w:rFonts w:ascii="Calibri" w:eastAsia="PMingLiU" w:hAnsi="Calibri"/>
          <w:sz w:val="22"/>
          <w:szCs w:val="22"/>
          <w:lang w:eastAsia="zh-TW"/>
        </w:rPr>
        <w:t>, representing DO-DTT data retrieval or the solicitation of a signalling message from the device.</w:t>
      </w:r>
      <w:r w:rsidR="00D06DA5">
        <w:rPr>
          <w:rFonts w:ascii="Calibri" w:eastAsia="PMingLiU" w:hAnsi="Calibri"/>
          <w:sz w:val="22"/>
          <w:szCs w:val="22"/>
          <w:lang w:eastAsia="zh-TW"/>
        </w:rPr>
        <w:t xml:space="preserve">  The reader sends a read </w:t>
      </w:r>
      <w:proofErr w:type="gramStart"/>
      <w:r w:rsidR="00D06DA5">
        <w:rPr>
          <w:rFonts w:ascii="Calibri" w:eastAsia="PMingLiU" w:hAnsi="Calibri"/>
          <w:sz w:val="22"/>
          <w:szCs w:val="22"/>
          <w:lang w:eastAsia="zh-TW"/>
        </w:rPr>
        <w:t>request</w:t>
      </w:r>
      <w:proofErr w:type="gramEnd"/>
      <w:r w:rsidR="00D06DA5">
        <w:rPr>
          <w:rFonts w:ascii="Calibri" w:eastAsia="PMingLiU" w:hAnsi="Calibri"/>
          <w:sz w:val="22"/>
          <w:szCs w:val="22"/>
          <w:lang w:eastAsia="zh-TW"/>
        </w:rPr>
        <w:t xml:space="preserve"> and the device responds with the requested data.  It is probably desirable to have an acknowledgement from the reader, so that the device knows its transmission was received (this may, for instance, lead the device to delete a local copy of data that have been successfully uploaded to a reader).  The procedure is shown in figure 1.</w:t>
      </w:r>
    </w:p>
    <w:p w14:paraId="3A173473" w14:textId="282A573F" w:rsidR="00D06DA5" w:rsidRDefault="00E829FB" w:rsidP="00E829FB">
      <w:pPr>
        <w:keepNext/>
        <w:overflowPunct/>
        <w:autoSpaceDE/>
        <w:autoSpaceDN/>
        <w:adjustRightInd/>
        <w:spacing w:after="240"/>
        <w:jc w:val="center"/>
        <w:textAlignment w:val="auto"/>
        <w:rPr>
          <w:rFonts w:ascii="Calibri" w:eastAsia="PMingLiU" w:hAnsi="Calibri"/>
          <w:sz w:val="22"/>
          <w:szCs w:val="22"/>
          <w:lang w:eastAsia="zh-TW"/>
        </w:rPr>
      </w:pPr>
      <w:r>
        <w:object w:dxaOrig="7251" w:dyaOrig="2930" w14:anchorId="052EB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46.25pt" o:ole="">
            <v:imagedata r:id="rId8" o:title=""/>
          </v:shape>
          <o:OLEObject Type="Embed" ProgID="Visio.Drawing.15" ShapeID="_x0000_i1025" DrawAspect="Content" ObjectID="_1776789074" r:id="rId9"/>
        </w:object>
      </w:r>
    </w:p>
    <w:p w14:paraId="19A641FD" w14:textId="4223196B" w:rsidR="00E829FB" w:rsidRDefault="00E829FB" w:rsidP="00E829F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Read procedure</w:t>
      </w:r>
    </w:p>
    <w:p w14:paraId="767BFEB9" w14:textId="34594C13" w:rsidR="00E41266" w:rsidRDefault="00E4126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456263">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The read procedure consists of a read request from the reader, a data response from the device, and an acknowledgement from the reader.</w:t>
      </w:r>
    </w:p>
    <w:p w14:paraId="6265643F" w14:textId="281104C3" w:rsidR="00DE130C" w:rsidRDefault="00DE130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Embedding the acknowledgement in the AIoT MAC layer as a separate message avoids the need to have a general reliable-delivery behaviour defined in L2.  For this purpose a message-based acknowledgement mechanism is adequate; it can be discussed whether a sequence number is needed (alternatively, transmissions may be serialised so that an ack always refers to the most recent message).</w:t>
      </w:r>
    </w:p>
    <w:p w14:paraId="3823E1A0" w14:textId="39B077AD" w:rsidR="00DE130C" w:rsidRPr="00DE130C" w:rsidRDefault="00DE130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456263">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The acknowledgement mechanism for a read operation is a separate ack message of the same protocol layer as the read message (e.g., AIoT MAC layer).  FFS if there is a sequence number.</w:t>
      </w:r>
    </w:p>
    <w:p w14:paraId="1DF48B51" w14:textId="3DA5058D" w:rsidR="00DE130C" w:rsidRDefault="00DE130C" w:rsidP="00DE130C">
      <w:pPr>
        <w:pStyle w:val="Heading2"/>
        <w:rPr>
          <w:rFonts w:eastAsia="PMingLiU"/>
          <w:lang w:eastAsia="zh-TW"/>
        </w:rPr>
      </w:pPr>
      <w:r>
        <w:rPr>
          <w:rFonts w:eastAsia="PMingLiU"/>
          <w:lang w:eastAsia="zh-TW"/>
        </w:rPr>
        <w:t>2.3</w:t>
      </w:r>
      <w:r>
        <w:rPr>
          <w:rFonts w:eastAsia="PMingLiU"/>
          <w:lang w:eastAsia="zh-TW"/>
        </w:rPr>
        <w:tab/>
        <w:t>Write operation</w:t>
      </w:r>
    </w:p>
    <w:p w14:paraId="47B67EFE" w14:textId="36C53699" w:rsidR="00DE130C" w:rsidRDefault="00DE130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write operation, for DT data delivery or sending a signalling message to the device, is a simple one-shot message.  As with the read operation, an acknowledgement is desirable.  The procedure is shown in figure 2.</w:t>
      </w:r>
    </w:p>
    <w:p w14:paraId="2856D563" w14:textId="77777777" w:rsidR="00E829FB" w:rsidRDefault="00E829FB" w:rsidP="00E829FB">
      <w:pPr>
        <w:keepNext/>
        <w:overflowPunct/>
        <w:autoSpaceDE/>
        <w:autoSpaceDN/>
        <w:adjustRightInd/>
        <w:spacing w:after="240"/>
        <w:jc w:val="center"/>
        <w:textAlignment w:val="auto"/>
      </w:pPr>
      <w:r>
        <w:object w:dxaOrig="7251" w:dyaOrig="2390" w14:anchorId="6D06B050">
          <v:shape id="_x0000_i1026" type="#_x0000_t75" style="width:362.25pt;height:119.25pt" o:ole="">
            <v:imagedata r:id="rId10" o:title=""/>
          </v:shape>
          <o:OLEObject Type="Embed" ProgID="Visio.Drawing.15" ShapeID="_x0000_i1026" DrawAspect="Content" ObjectID="_1776789075" r:id="rId11"/>
        </w:object>
      </w:r>
    </w:p>
    <w:p w14:paraId="06BF9A08" w14:textId="42382DDC" w:rsidR="00E829FB" w:rsidRDefault="00E829FB" w:rsidP="00E829F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Write procedure</w:t>
      </w:r>
    </w:p>
    <w:p w14:paraId="1B6B4439" w14:textId="21006CB3" w:rsidR="00DE130C" w:rsidRDefault="00DE130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456263">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The write procedure consists of a write command from the reader and an acknowledgement from the device.</w:t>
      </w:r>
    </w:p>
    <w:p w14:paraId="0FD5CAF2" w14:textId="67D2AD78" w:rsidR="00DE130C" w:rsidRDefault="00DE130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acknowledgement considerations are the same as for the read procedure.</w:t>
      </w:r>
    </w:p>
    <w:p w14:paraId="27420025" w14:textId="5C9D57A0" w:rsidR="00DE130C" w:rsidRPr="00DE130C" w:rsidRDefault="00DE130C" w:rsidP="008D2107">
      <w:pPr>
        <w:overflowPunct/>
        <w:autoSpaceDE/>
        <w:autoSpaceDN/>
        <w:adjustRightInd/>
        <w:spacing w:after="240"/>
        <w:textAlignment w:val="auto"/>
        <w:rPr>
          <w:rFonts w:ascii="Calibri" w:eastAsia="PMingLiU" w:hAnsi="Calibri"/>
          <w:sz w:val="22"/>
          <w:szCs w:val="22"/>
          <w:lang w:eastAsia="zh-TW"/>
        </w:rPr>
      </w:pPr>
      <w:r w:rsidRPr="00DE130C">
        <w:rPr>
          <w:rFonts w:ascii="Calibri" w:eastAsia="PMingLiU" w:hAnsi="Calibri"/>
          <w:b/>
          <w:bCs/>
          <w:sz w:val="22"/>
          <w:szCs w:val="22"/>
          <w:lang w:eastAsia="zh-TW"/>
        </w:rPr>
        <w:lastRenderedPageBreak/>
        <w:t xml:space="preserve">Proposal </w:t>
      </w:r>
      <w:r w:rsidR="00456263">
        <w:rPr>
          <w:rFonts w:ascii="Calibri" w:eastAsia="PMingLiU" w:hAnsi="Calibri"/>
          <w:b/>
          <w:bCs/>
          <w:sz w:val="22"/>
          <w:szCs w:val="22"/>
          <w:lang w:eastAsia="zh-TW"/>
        </w:rPr>
        <w:t>6</w:t>
      </w:r>
      <w:r w:rsidRPr="00DE130C">
        <w:rPr>
          <w:rFonts w:ascii="Calibri" w:eastAsia="PMingLiU" w:hAnsi="Calibri"/>
          <w:b/>
          <w:bCs/>
          <w:sz w:val="22"/>
          <w:szCs w:val="22"/>
          <w:lang w:eastAsia="zh-TW"/>
        </w:rPr>
        <w:t xml:space="preserve">: </w:t>
      </w:r>
      <w:r>
        <w:rPr>
          <w:rFonts w:ascii="Calibri" w:eastAsia="PMingLiU" w:hAnsi="Calibri"/>
          <w:sz w:val="22"/>
          <w:szCs w:val="22"/>
          <w:lang w:eastAsia="zh-TW"/>
        </w:rPr>
        <w:t>The acknowledgement mechanism for a write operation is a separate ack message of the same protocol layer as the write message (e.g., AIoT MAC layer).  FFS if there is a sequence number.</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5423536A" w14:textId="77777777" w:rsidR="00EC680F" w:rsidRDefault="00EC680F" w:rsidP="00EC68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The interface between the reader and the device is managed by read and write operations visible to the reader and addressing logical locations of the device.</w:t>
      </w:r>
    </w:p>
    <w:p w14:paraId="6A43F717" w14:textId="77777777" w:rsidR="00EC680F" w:rsidRDefault="00EC680F" w:rsidP="00EC68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Signalling messages between the reader and the device are modelled as read and write operations whose addressing indicates specific functionality.  FFS if the addresses are logical locations with specified behaviour or a separate form of data.</w:t>
      </w:r>
    </w:p>
    <w:p w14:paraId="4C6B0CF7" w14:textId="77777777" w:rsidR="00EC680F" w:rsidRDefault="00EC680F" w:rsidP="00EC68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The read procedure consists of a read request from the reader, a data response from the device, and an acknowledgement from the reader.</w:t>
      </w:r>
    </w:p>
    <w:p w14:paraId="41DD30E1" w14:textId="77777777" w:rsidR="00EC680F" w:rsidRDefault="00EC680F" w:rsidP="00EC68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acknowledgement mechanism for a read operation is a separate ack message of the same protocol layer as the read message (e.g.,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layer).  FFS if there is a sequence number.</w:t>
      </w:r>
    </w:p>
    <w:p w14:paraId="5DA8F6B6" w14:textId="77777777" w:rsidR="00EC680F" w:rsidRDefault="00EC680F" w:rsidP="00EC68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write procedure consists of a write command from the reader and an acknowledgement from the device.</w:t>
      </w:r>
    </w:p>
    <w:p w14:paraId="360D8F31" w14:textId="77777777" w:rsidR="00EC680F" w:rsidRDefault="00EC680F" w:rsidP="00EC680F">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6: </w:t>
      </w:r>
      <w:r>
        <w:rPr>
          <w:rFonts w:ascii="Calibri" w:eastAsia="PMingLiU" w:hAnsi="Calibri"/>
          <w:sz w:val="22"/>
          <w:szCs w:val="22"/>
          <w:lang w:eastAsia="zh-TW"/>
        </w:rPr>
        <w:t xml:space="preserve">The acknowledgement mechanism for a write operation is a separate ack message of the same protocol layer as the write message (e.g.,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layer).  FFS if there is a sequence number.</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D2CC04A" w14:textId="48E4CC3D" w:rsidR="006624D2"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653CB3">
        <w:rPr>
          <w:rFonts w:ascii="Calibri" w:eastAsia="PMingLiU" w:hAnsi="Calibri"/>
          <w:sz w:val="22"/>
          <w:szCs w:val="22"/>
          <w:lang w:eastAsia="zh-TW"/>
        </w:rPr>
        <w:t>R2-24</w:t>
      </w:r>
      <w:r w:rsidR="00EC680F">
        <w:rPr>
          <w:rFonts w:ascii="Calibri" w:eastAsia="PMingLiU" w:hAnsi="Calibri"/>
          <w:sz w:val="22"/>
          <w:szCs w:val="22"/>
          <w:lang w:eastAsia="zh-TW"/>
        </w:rPr>
        <w:t>04507</w:t>
      </w:r>
      <w:r w:rsidR="00653CB3">
        <w:rPr>
          <w:rFonts w:ascii="Calibri" w:eastAsia="PMingLiU" w:hAnsi="Calibri"/>
          <w:sz w:val="22"/>
          <w:szCs w:val="22"/>
          <w:lang w:eastAsia="zh-TW"/>
        </w:rPr>
        <w:t>, “Control and user plane modelling for ambient IoT interface”, MediaTek Inc., RAN2#126</w:t>
      </w:r>
    </w:p>
    <w:bookmarkEnd w:id="2"/>
    <w:bookmarkEnd w:id="3"/>
    <w:bookmarkEnd w:id="4"/>
    <w:bookmarkEnd w:id="5"/>
    <w:bookmarkEnd w:id="6"/>
    <w:bookmarkEnd w:id="7"/>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80DCF" w14:textId="77777777" w:rsidR="002877C1" w:rsidRDefault="002877C1">
      <w:pPr>
        <w:spacing w:after="0"/>
      </w:pPr>
      <w:r>
        <w:separator/>
      </w:r>
    </w:p>
  </w:endnote>
  <w:endnote w:type="continuationSeparator" w:id="0">
    <w:p w14:paraId="09349D2C" w14:textId="77777777" w:rsidR="002877C1" w:rsidRDefault="002877C1">
      <w:pPr>
        <w:spacing w:after="0"/>
      </w:pPr>
      <w:r>
        <w:continuationSeparator/>
      </w:r>
    </w:p>
  </w:endnote>
  <w:endnote w:type="continuationNotice" w:id="1">
    <w:p w14:paraId="04557AB7" w14:textId="77777777" w:rsidR="002877C1" w:rsidRDefault="00287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81CA0" w14:textId="77777777" w:rsidR="002877C1" w:rsidRDefault="002877C1">
      <w:pPr>
        <w:spacing w:after="0"/>
      </w:pPr>
      <w:r>
        <w:separator/>
      </w:r>
    </w:p>
  </w:footnote>
  <w:footnote w:type="continuationSeparator" w:id="0">
    <w:p w14:paraId="78B74FD3" w14:textId="77777777" w:rsidR="002877C1" w:rsidRDefault="002877C1">
      <w:pPr>
        <w:spacing w:after="0"/>
      </w:pPr>
      <w:r>
        <w:continuationSeparator/>
      </w:r>
    </w:p>
  </w:footnote>
  <w:footnote w:type="continuationNotice" w:id="1">
    <w:p w14:paraId="25D26A6E" w14:textId="77777777" w:rsidR="002877C1" w:rsidRDefault="002877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7"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8"/>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9"/>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7"/>
  </w:num>
  <w:num w:numId="27" w16cid:durableId="943154110">
    <w:abstractNumId w:val="19"/>
  </w:num>
  <w:num w:numId="28" w16cid:durableId="590508564">
    <w:abstractNumId w:val="31"/>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6"/>
  </w:num>
  <w:num w:numId="34" w16cid:durableId="1347367270">
    <w:abstractNumId w:val="9"/>
  </w:num>
  <w:num w:numId="35" w16cid:durableId="1509325865">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273"/>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370F"/>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952"/>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A0B"/>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7C1"/>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E38"/>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86A"/>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263"/>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CB3"/>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3A"/>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6F4"/>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A7F1A"/>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239"/>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6DA5"/>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30C"/>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266"/>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9FB"/>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80F"/>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D44"/>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1447075">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864</Words>
  <Characters>4931</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2024-05-10T02:41:00Z</dcterms:created>
  <dcterms:modified xsi:type="dcterms:W3CDTF">2024-05-10T02:41:00Z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