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ind w:left="1985" w:hanging="1985"/>
        <w:rPr>
          <w:rFonts w:hint="default" w:eastAsiaTheme="minorEastAsia"/>
          <w:b/>
          <w:sz w:val="24"/>
          <w:lang w:val="en-US" w:eastAsia="zh-CN"/>
        </w:rPr>
      </w:pPr>
      <w:r>
        <w:rPr>
          <w:rFonts w:eastAsiaTheme="minorEastAsia"/>
          <w:b/>
          <w:sz w:val="24"/>
          <w:lang w:eastAsia="zh-CN"/>
        </w:rPr>
        <w:t>3GPP TSG-RAN WG2 Meeting #12</w:t>
      </w:r>
      <w:r>
        <w:rPr>
          <w:rFonts w:hint="eastAsia" w:eastAsiaTheme="minorEastAsia"/>
          <w:b/>
          <w:sz w:val="24"/>
          <w:lang w:val="en-US" w:eastAsia="zh-CN"/>
        </w:rPr>
        <w:t>4</w:t>
      </w:r>
      <w:r>
        <w:rPr>
          <w:rFonts w:eastAsiaTheme="minorEastAsia"/>
          <w:b/>
          <w:sz w:val="24"/>
          <w:lang w:eastAsia="zh-CN"/>
        </w:rPr>
        <w:t xml:space="preserve"> </w:t>
      </w:r>
      <w:r>
        <w:rPr>
          <w:rFonts w:hint="eastAsia" w:eastAsiaTheme="minorEastAsia"/>
          <w:b/>
          <w:sz w:val="24"/>
          <w:lang w:eastAsia="zh-CN"/>
        </w:rPr>
        <w:t xml:space="preserve">                     </w:t>
      </w:r>
      <w:r>
        <w:rPr>
          <w:rFonts w:eastAsiaTheme="minorEastAsia"/>
          <w:b/>
          <w:sz w:val="24"/>
          <w:lang w:eastAsia="zh-CN"/>
        </w:rPr>
        <w:tab/>
      </w:r>
      <w:r>
        <w:rPr>
          <w:rFonts w:eastAsiaTheme="minorEastAsia"/>
          <w:b/>
          <w:sz w:val="24"/>
          <w:lang w:eastAsia="zh-CN"/>
        </w:rPr>
        <w:t xml:space="preserve">           </w:t>
      </w:r>
      <w:r>
        <w:rPr>
          <w:rFonts w:hint="eastAsia" w:eastAsiaTheme="minorEastAsia"/>
          <w:b/>
          <w:sz w:val="24"/>
          <w:lang w:eastAsia="zh-CN"/>
        </w:rPr>
        <w:t xml:space="preserve">                        </w:t>
      </w:r>
      <w:r>
        <w:rPr>
          <w:rFonts w:eastAsiaTheme="minorEastAsia"/>
          <w:b/>
          <w:sz w:val="24"/>
          <w:lang w:eastAsia="zh-CN"/>
        </w:rPr>
        <w:t xml:space="preserve"> </w:t>
      </w:r>
      <w:r>
        <w:rPr>
          <w:rFonts w:hint="eastAsia" w:eastAsiaTheme="minorEastAsia"/>
          <w:b/>
          <w:sz w:val="24"/>
          <w:lang w:eastAsia="zh-CN"/>
        </w:rPr>
        <w:t>R2-2312657</w:t>
      </w:r>
    </w:p>
    <w:p>
      <w:pPr>
        <w:pStyle w:val="28"/>
        <w:tabs>
          <w:tab w:val="left" w:pos="1701"/>
          <w:tab w:val="right" w:pos="9923"/>
        </w:tabs>
        <w:rPr>
          <w:rFonts w:ascii="Arial" w:hAnsi="Arial" w:cs="Times New Roman" w:eastAsiaTheme="minorEastAsia"/>
          <w:b/>
          <w:sz w:val="24"/>
          <w:lang w:val="en-GB" w:eastAsia="zh-CN" w:bidi="ar-SA"/>
        </w:rPr>
      </w:pPr>
      <w:r>
        <w:rPr>
          <w:rFonts w:ascii="Arial" w:hAnsi="Arial" w:cs="Times New Roman" w:eastAsiaTheme="minorEastAsia"/>
          <w:b/>
          <w:sz w:val="24"/>
          <w:lang w:val="en-GB" w:eastAsia="zh-CN" w:bidi="ar-SA"/>
        </w:rPr>
        <w:t>Chicago, USA, Nov. 13th – 17th, 2023</w:t>
      </w:r>
    </w:p>
    <w:p>
      <w:pPr>
        <w:pStyle w:val="28"/>
        <w:rPr>
          <w:rFonts w:eastAsiaTheme="minorEastAsia"/>
          <w:sz w:val="24"/>
          <w:lang w:eastAsia="zh-CN"/>
        </w:rPr>
      </w:pPr>
    </w:p>
    <w:p>
      <w:pPr>
        <w:tabs>
          <w:tab w:val="left" w:pos="1985"/>
        </w:tabs>
        <w:ind w:left="1985" w:hanging="1985"/>
        <w:rPr>
          <w:rFonts w:cs="Arial"/>
          <w:b/>
          <w:bCs/>
          <w:sz w:val="24"/>
          <w:lang w:eastAsia="zh-CN"/>
        </w:rPr>
      </w:pPr>
      <w:r>
        <w:rPr>
          <w:rFonts w:cs="Arial"/>
          <w:b/>
          <w:bCs/>
          <w:sz w:val="24"/>
          <w:lang w:eastAsia="zh-CN"/>
        </w:rPr>
        <w:t>Agenda</w:t>
      </w:r>
      <w:r>
        <w:rPr>
          <w:rFonts w:hint="eastAsia" w:cs="Arial"/>
          <w:b/>
          <w:bCs/>
          <w:sz w:val="24"/>
          <w:lang w:eastAsia="zh-CN"/>
        </w:rPr>
        <w:t xml:space="preserve"> I</w:t>
      </w:r>
      <w:r>
        <w:rPr>
          <w:rFonts w:cs="Arial"/>
          <w:b/>
          <w:bCs/>
          <w:sz w:val="24"/>
          <w:lang w:eastAsia="zh-CN"/>
        </w:rPr>
        <w:t>tem:</w:t>
      </w:r>
      <w:r>
        <w:rPr>
          <w:rFonts w:cs="Arial"/>
          <w:b/>
          <w:bCs/>
          <w:sz w:val="24"/>
          <w:lang w:eastAsia="zh-CN"/>
        </w:rPr>
        <w:tab/>
      </w:r>
      <w:r>
        <w:rPr>
          <w:rFonts w:hint="eastAsia" w:cs="Arial"/>
          <w:b/>
          <w:bCs/>
          <w:sz w:val="24"/>
          <w:lang w:eastAsia="zh-CN"/>
        </w:rPr>
        <w:t>7</w:t>
      </w:r>
      <w:r>
        <w:rPr>
          <w:rFonts w:cs="Arial"/>
          <w:b/>
          <w:bCs/>
          <w:sz w:val="24"/>
          <w:lang w:eastAsia="zh-CN"/>
        </w:rPr>
        <w:t>.5.3</w:t>
      </w:r>
    </w:p>
    <w:p>
      <w:pPr>
        <w:tabs>
          <w:tab w:val="left" w:pos="1985"/>
        </w:tabs>
        <w:ind w:left="1985" w:hanging="1985"/>
        <w:rPr>
          <w:rFonts w:cs="Arial"/>
          <w:b/>
          <w:bCs/>
          <w:sz w:val="24"/>
          <w:lang w:eastAsia="zh-CN"/>
        </w:rPr>
      </w:pPr>
      <w:r>
        <w:rPr>
          <w:rFonts w:cs="Arial"/>
          <w:b/>
          <w:bCs/>
          <w:sz w:val="24"/>
        </w:rPr>
        <w:t>Source:</w:t>
      </w:r>
      <w:r>
        <w:rPr>
          <w:rFonts w:cs="Arial"/>
          <w:b/>
          <w:bCs/>
          <w:sz w:val="24"/>
        </w:rPr>
        <w:tab/>
      </w:r>
      <w:r>
        <w:rPr>
          <w:rFonts w:hint="eastAsia" w:cs="Arial"/>
          <w:b/>
          <w:bCs/>
          <w:sz w:val="24"/>
          <w:lang w:eastAsia="zh-CN"/>
        </w:rPr>
        <w:t>CMCC</w:t>
      </w:r>
    </w:p>
    <w:p>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r>
        <w:rPr>
          <w:rFonts w:cs="Arial"/>
          <w:b/>
          <w:bCs/>
          <w:sz w:val="24"/>
          <w:lang w:eastAsia="zh-CN"/>
        </w:rPr>
        <w:t xml:space="preserve">Discussion </w:t>
      </w:r>
      <w:r>
        <w:rPr>
          <w:rFonts w:hint="eastAsia" w:cs="Arial"/>
          <w:b/>
          <w:bCs/>
          <w:sz w:val="24"/>
          <w:lang w:val="en-US" w:eastAsia="zh-CN"/>
        </w:rPr>
        <w:t xml:space="preserve">on the </w:t>
      </w:r>
      <w:r>
        <w:rPr>
          <w:rFonts w:hint="eastAsia" w:cs="Arial"/>
          <w:b/>
          <w:bCs/>
          <w:sz w:val="24"/>
          <w:lang w:eastAsia="zh-CN"/>
        </w:rPr>
        <w:t>DRX enhancement</w:t>
      </w:r>
    </w:p>
    <w:p>
      <w:pPr>
        <w:rPr>
          <w:rFonts w:eastAsiaTheme="minorEastAsia"/>
          <w:b/>
          <w:sz w:val="24"/>
          <w:lang w:eastAsia="zh-CN"/>
        </w:rPr>
      </w:pPr>
      <w:r>
        <w:rPr>
          <w:rFonts w:eastAsiaTheme="minorEastAsia"/>
          <w:b/>
          <w:sz w:val="24"/>
          <w:lang w:eastAsia="zh-CN"/>
        </w:rPr>
        <w:t>WID/SID:</w:t>
      </w:r>
      <w:r>
        <w:rPr>
          <w:rFonts w:eastAsiaTheme="minorEastAsia"/>
          <w:b/>
          <w:sz w:val="24"/>
          <w:lang w:eastAsia="zh-CN"/>
        </w:rPr>
        <w:tab/>
      </w:r>
      <w:r>
        <w:rPr>
          <w:rFonts w:hint="eastAsia" w:eastAsiaTheme="minorEastAsia"/>
          <w:b/>
          <w:sz w:val="24"/>
          <w:lang w:eastAsia="zh-CN"/>
        </w:rPr>
        <w:t xml:space="preserve">             </w:t>
      </w:r>
      <w:r>
        <w:rPr>
          <w:rFonts w:cs="Arial"/>
          <w:b/>
          <w:bCs/>
          <w:sz w:val="24"/>
          <w:lang w:eastAsia="zh-CN"/>
        </w:rPr>
        <w:t>NR_XR_enh-Core</w:t>
      </w:r>
    </w:p>
    <w:bookmarkEnd w:id="0"/>
    <w:bookmarkEnd w:id="1"/>
    <w:p>
      <w:pPr>
        <w:tabs>
          <w:tab w:val="left" w:pos="1985"/>
        </w:tabs>
        <w:rPr>
          <w:rFonts w:cs="Arial"/>
          <w:b/>
          <w:bCs/>
          <w:sz w:val="24"/>
        </w:rPr>
      </w:pPr>
      <w:r>
        <w:rPr>
          <w:rFonts w:cs="Arial"/>
          <w:b/>
          <w:bCs/>
          <w:sz w:val="24"/>
        </w:rPr>
        <w:t>Document for:</w:t>
      </w:r>
      <w:r>
        <w:rPr>
          <w:rFonts w:cs="Arial"/>
          <w:b/>
          <w:bCs/>
          <w:sz w:val="24"/>
        </w:rPr>
        <w:tab/>
      </w:r>
      <w:r>
        <w:rPr>
          <w:rFonts w:cs="Arial"/>
          <w:b/>
          <w:bCs/>
          <w:sz w:val="24"/>
        </w:rPr>
        <w:t>Discussion</w:t>
      </w:r>
    </w:p>
    <w:p>
      <w:pPr>
        <w:pStyle w:val="2"/>
      </w:pPr>
      <w:r>
        <w:t>Introduction</w:t>
      </w:r>
    </w:p>
    <w:p>
      <w:pPr>
        <w:rPr>
          <w:rFonts w:hint="eastAsia" w:ascii="Times New Roman" w:hAnsi="Times New Roman" w:eastAsia="宋体"/>
          <w:lang w:eastAsia="zh-CN"/>
        </w:rPr>
      </w:pPr>
      <w:r>
        <w:rPr>
          <w:rFonts w:ascii="Times New Roman" w:hAnsi="Times New Roman" w:eastAsia="宋体"/>
          <w:lang w:eastAsia="zh-CN"/>
        </w:rPr>
        <w:t>In the RAN</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12</w:t>
      </w:r>
      <w:r>
        <w:rPr>
          <w:rFonts w:hint="eastAsia" w:ascii="Times New Roman" w:hAnsi="Times New Roman" w:eastAsia="宋体"/>
          <w:lang w:val="en-US" w:eastAsia="zh-CN"/>
        </w:rPr>
        <w:t>3bis</w:t>
      </w:r>
      <w:r>
        <w:rPr>
          <w:rFonts w:ascii="Times New Roman" w:hAnsi="Times New Roman" w:eastAsia="宋体"/>
          <w:lang w:eastAsia="zh-CN"/>
        </w:rPr>
        <w:t xml:space="preserve"> meeting, </w:t>
      </w:r>
      <w:r>
        <w:rPr>
          <w:rFonts w:hint="eastAsia" w:ascii="Times New Roman" w:hAnsi="Times New Roman" w:eastAsia="宋体"/>
          <w:lang w:eastAsia="zh-CN"/>
        </w:rPr>
        <w:t xml:space="preserve">the XR-specific power saving issue </w:t>
      </w:r>
      <w:r>
        <w:rPr>
          <w:rFonts w:ascii="Times New Roman" w:hAnsi="Times New Roman" w:eastAsia="宋体"/>
          <w:lang w:eastAsia="zh-CN"/>
        </w:rPr>
        <w:t>ha</w:t>
      </w:r>
      <w:r>
        <w:rPr>
          <w:rFonts w:hint="eastAsia" w:ascii="Times New Roman" w:hAnsi="Times New Roman" w:eastAsia="宋体"/>
          <w:lang w:eastAsia="zh-CN"/>
        </w:rPr>
        <w:t>s been discussed as below:</w:t>
      </w:r>
    </w:p>
    <w:p>
      <w:pPr>
        <w:pStyle w:val="83"/>
        <w:pBdr>
          <w:top w:val="single" w:color="auto" w:sz="4" w:space="1"/>
          <w:left w:val="single" w:color="auto" w:sz="4" w:space="4"/>
          <w:bottom w:val="single" w:color="auto" w:sz="4" w:space="1"/>
          <w:right w:val="single" w:color="auto" w:sz="4" w:space="4"/>
        </w:pBdr>
        <w:rPr>
          <w:b/>
          <w:bCs/>
          <w:lang w:val="en-US"/>
        </w:rPr>
      </w:pPr>
      <w:r>
        <w:rPr>
          <w:b/>
          <w:bCs/>
          <w:lang w:val="en-US"/>
        </w:rPr>
        <w:t>Agreements on DRX</w:t>
      </w:r>
    </w:p>
    <w:p>
      <w:pPr>
        <w:pStyle w:val="83"/>
        <w:numPr>
          <w:ilvl w:val="0"/>
          <w:numId w:val="3"/>
        </w:numPr>
        <w:pBdr>
          <w:top w:val="single" w:color="auto" w:sz="4" w:space="1"/>
          <w:left w:val="single" w:color="auto" w:sz="4" w:space="4"/>
          <w:bottom w:val="single" w:color="auto" w:sz="4" w:space="1"/>
          <w:right w:val="single" w:color="auto" w:sz="4" w:space="4"/>
        </w:pBdr>
        <w:rPr>
          <w:lang w:val="en-US"/>
        </w:rPr>
      </w:pPr>
      <w:r>
        <w:rPr>
          <w:lang w:val="en-US"/>
        </w:rPr>
        <w:t xml:space="preserve">New DRX cycles in rational numbers are supported for both short and long DRX cycles. </w:t>
      </w:r>
    </w:p>
    <w:p>
      <w:pPr>
        <w:pStyle w:val="83"/>
        <w:numPr>
          <w:ilvl w:val="0"/>
          <w:numId w:val="3"/>
        </w:numPr>
        <w:pBdr>
          <w:top w:val="single" w:color="auto" w:sz="4" w:space="1"/>
          <w:left w:val="single" w:color="auto" w:sz="4" w:space="4"/>
          <w:bottom w:val="single" w:color="auto" w:sz="4" w:space="1"/>
          <w:right w:val="single" w:color="auto" w:sz="4" w:space="4"/>
        </w:pBdr>
      </w:pPr>
      <w:r>
        <w:rPr>
          <w:lang w:val="en-US"/>
        </w:rPr>
        <w:t>If short DRX cycle in rational number is configured, the length of the long DRX cycle shall be an integer multiple of the short DRX cycle, as in legacy.</w:t>
      </w:r>
      <w:r>
        <w:rPr>
          <w:lang w:val="en-US"/>
        </w:rPr>
        <w:tab/>
      </w:r>
    </w:p>
    <w:p>
      <w:pPr>
        <w:pStyle w:val="83"/>
        <w:numPr>
          <w:ilvl w:val="0"/>
          <w:numId w:val="3"/>
        </w:numPr>
        <w:pBdr>
          <w:top w:val="single" w:color="auto" w:sz="4" w:space="1"/>
          <w:left w:val="single" w:color="auto" w:sz="4" w:space="4"/>
          <w:bottom w:val="single" w:color="auto" w:sz="4" w:space="1"/>
          <w:right w:val="single" w:color="auto" w:sz="4" w:space="4"/>
        </w:pBdr>
      </w:pPr>
      <w:r>
        <w:t>The new DRX parameter(s) for non-integer DRX cycles are common to both DRX groups</w:t>
      </w:r>
    </w:p>
    <w:p>
      <w:pPr>
        <w:pStyle w:val="83"/>
        <w:numPr>
          <w:ilvl w:val="0"/>
          <w:numId w:val="3"/>
        </w:numPr>
        <w:pBdr>
          <w:top w:val="single" w:color="auto" w:sz="4" w:space="1"/>
          <w:left w:val="single" w:color="auto" w:sz="4" w:space="4"/>
          <w:bottom w:val="single" w:color="auto" w:sz="4" w:space="1"/>
          <w:right w:val="single" w:color="auto" w:sz="4" w:space="4"/>
        </w:pBdr>
      </w:pPr>
      <w:r>
        <w:t xml:space="preserve">At least use legacy formula and add floor () operation.  </w:t>
      </w:r>
    </w:p>
    <w:p>
      <w:pPr>
        <w:pStyle w:val="83"/>
        <w:numPr>
          <w:ilvl w:val="0"/>
          <w:numId w:val="3"/>
        </w:numPr>
        <w:pBdr>
          <w:top w:val="single" w:color="auto" w:sz="4" w:space="1"/>
          <w:left w:val="single" w:color="auto" w:sz="4" w:space="4"/>
          <w:bottom w:val="single" w:color="auto" w:sz="4" w:space="1"/>
          <w:right w:val="single" w:color="auto" w:sz="4" w:space="4"/>
        </w:pBdr>
      </w:pPr>
      <w:r>
        <w:t>We will have normative text to avoid rounding errors.</w:t>
      </w:r>
    </w:p>
    <w:p>
      <w:pPr>
        <w:pStyle w:val="83"/>
        <w:numPr>
          <w:ilvl w:val="0"/>
          <w:numId w:val="3"/>
        </w:numPr>
        <w:pBdr>
          <w:top w:val="single" w:color="auto" w:sz="4" w:space="1"/>
          <w:left w:val="single" w:color="auto" w:sz="4" w:space="4"/>
          <w:bottom w:val="single" w:color="auto" w:sz="4" w:space="1"/>
          <w:right w:val="single" w:color="auto" w:sz="4" w:space="4"/>
        </w:pBdr>
      </w:pPr>
      <w:r>
        <w:t>specify the DRX cycle by different fields under a CHOICE structure and specify in the field description the correspondence between different fields and DRX cycles</w:t>
      </w:r>
    </w:p>
    <w:p>
      <w:pPr>
        <w:rPr>
          <w:rFonts w:hint="eastAsia" w:ascii="Times New Roman" w:hAnsi="Times New Roman" w:eastAsia="宋体"/>
          <w:lang w:eastAsia="zh-CN"/>
        </w:rPr>
      </w:pPr>
    </w:p>
    <w:p>
      <w:pPr>
        <w:overflowPunct w:val="0"/>
        <w:autoSpaceDE w:val="0"/>
        <w:autoSpaceDN w:val="0"/>
        <w:adjustRightInd w:val="0"/>
        <w:jc w:val="left"/>
        <w:textAlignment w:val="baseline"/>
        <w:rPr>
          <w:rFonts w:ascii="Times New Roman" w:hAnsi="Times New Roman" w:eastAsia="宋体"/>
          <w:lang w:eastAsia="zh-CN"/>
        </w:rPr>
      </w:pPr>
      <w:r>
        <w:rPr>
          <w:rFonts w:hint="eastAsia" w:ascii="Times New Roman" w:hAnsi="Times New Roman" w:eastAsia="宋体"/>
          <w:lang w:eastAsia="zh-CN"/>
        </w:rPr>
        <w:t>Therefore, we provide our views on the DRX</w:t>
      </w:r>
      <w:r>
        <w:rPr>
          <w:rFonts w:ascii="Times New Roman" w:hAnsi="Times New Roman" w:eastAsia="宋体"/>
          <w:lang w:eastAsia="zh-CN"/>
        </w:rPr>
        <w:t xml:space="preserve"> </w:t>
      </w:r>
      <w:r>
        <w:rPr>
          <w:rFonts w:hint="eastAsia" w:ascii="Times New Roman" w:hAnsi="Times New Roman" w:eastAsia="宋体"/>
          <w:lang w:eastAsia="zh-CN"/>
        </w:rPr>
        <w:t>enhancements for XR in this document.</w:t>
      </w:r>
    </w:p>
    <w:p>
      <w:pPr>
        <w:pStyle w:val="2"/>
        <w:rPr>
          <w:lang w:eastAsia="zh-CN"/>
        </w:rPr>
      </w:pPr>
      <w:r>
        <w:rPr>
          <w:lang w:eastAsia="zh-CN"/>
        </w:rPr>
        <w:t>Discussion</w:t>
      </w:r>
    </w:p>
    <w:p>
      <w:pPr>
        <w:pStyle w:val="3"/>
        <w:keepNext/>
        <w:keepLines/>
        <w:widowControl/>
        <w:numPr>
          <w:ilvl w:val="1"/>
          <w:numId w:val="4"/>
        </w:numPr>
        <w:ind w:right="200" w:rightChars="100"/>
        <w:rPr>
          <w:rFonts w:hint="default" w:cs="Times New Roman"/>
          <w:sz w:val="28"/>
          <w:lang w:val="en-US" w:eastAsia="zh-CN"/>
        </w:rPr>
      </w:pPr>
      <w:bookmarkStart w:id="2" w:name="_Hlk110416859"/>
      <w:r>
        <w:rPr>
          <w:rFonts w:hint="eastAsia" w:cs="Times New Roman"/>
          <w:sz w:val="28"/>
          <w:lang w:val="en-US" w:eastAsia="zh-CN"/>
        </w:rPr>
        <w:t xml:space="preserve">Definition of DRX formula </w:t>
      </w:r>
    </w:p>
    <w:p>
      <w:pPr>
        <w:spacing w:before="120"/>
        <w:rPr>
          <w:rFonts w:hint="default" w:ascii="Times New Roman" w:hAnsi="Times New Roman" w:eastAsia="宋体"/>
          <w:lang w:val="en-US" w:eastAsia="zh-CN"/>
        </w:rPr>
      </w:pPr>
      <w:r>
        <w:rPr>
          <w:rFonts w:hint="eastAsia" w:ascii="Times New Roman" w:hAnsi="Times New Roman" w:eastAsia="宋体"/>
          <w:lang w:val="en-US" w:eastAsia="zh-CN"/>
        </w:rPr>
        <w:t>In the RAN2 meeting #123bis, the following agreements have been achieved for the definition of DRX formula:</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5"/>
              </w:numPr>
              <w:rPr>
                <w:rFonts w:hint="default"/>
                <w:vertAlign w:val="baseline"/>
                <w:lang w:val="en-US" w:eastAsia="zh-CN"/>
              </w:rPr>
            </w:pPr>
            <w:r>
              <w:rPr>
                <w:rFonts w:hint="default"/>
                <w:vertAlign w:val="baseline"/>
                <w:lang w:val="en-US" w:eastAsia="zh-CN"/>
              </w:rPr>
              <w:t xml:space="preserve">At least use legacy formula and add floor () operation.  </w:t>
            </w:r>
          </w:p>
          <w:p>
            <w:pPr>
              <w:numPr>
                <w:ilvl w:val="0"/>
                <w:numId w:val="5"/>
              </w:numPr>
              <w:rPr>
                <w:rFonts w:hint="default"/>
                <w:vertAlign w:val="baseline"/>
                <w:lang w:val="en-US" w:eastAsia="zh-CN"/>
              </w:rPr>
            </w:pPr>
            <w:r>
              <w:rPr>
                <w:rFonts w:hint="default"/>
                <w:vertAlign w:val="baseline"/>
                <w:lang w:val="en-US" w:eastAsia="zh-CN"/>
              </w:rPr>
              <w:t>We will have normative text to avoid rounding errors.</w:t>
            </w:r>
          </w:p>
        </w:tc>
      </w:tr>
    </w:tbl>
    <w:p>
      <w:pPr>
        <w:rPr>
          <w:rFonts w:hint="default"/>
          <w:lang w:val="en-US" w:eastAsia="zh-CN"/>
        </w:rPr>
      </w:pPr>
    </w:p>
    <w:p>
      <w:pPr>
        <w:numPr>
          <w:ilvl w:val="0"/>
          <w:numId w:val="0"/>
        </w:numPr>
        <w:spacing w:before="120"/>
        <w:ind w:leftChars="0"/>
        <w:rPr>
          <w:rFonts w:hint="eastAsia" w:ascii="Times New Roman" w:hAnsi="Times New Roman" w:eastAsia="宋体"/>
          <w:lang w:val="en-US" w:eastAsia="zh-CN"/>
        </w:rPr>
      </w:pPr>
      <w:r>
        <w:rPr>
          <w:rFonts w:hint="eastAsia" w:ascii="Times New Roman" w:hAnsi="Times New Roman" w:eastAsia="宋体"/>
          <w:lang w:val="en-US" w:eastAsia="zh-CN"/>
        </w:rPr>
        <w:t>In the last RAN2 meeting #123bis, the legacy DRX formula modified with floor operation was agreed to be used for the case of rational number of DRX cycle. Since the divisor of MOD operation is a rational number, the floor operation in the modified DRX formula is used to round down the result of MOD operation, which could bring additional rounding errors. The contribution of some company indicated that implementation of the floor and mod should be explicitly captured in the spec as the instruction for the rounding method.  However, implementation of the floor and mod could be implemented by various formula or methods. Therefore the floor and MOD operation in the modified DRX formula is left to the UE implementation and rounding error caused by the MOD and floor operation should be controlled by the UE.</w:t>
      </w:r>
    </w:p>
    <w:p>
      <w:pPr>
        <w:numPr>
          <w:ilvl w:val="0"/>
          <w:numId w:val="0"/>
        </w:numPr>
        <w:spacing w:before="120"/>
        <w:ind w:left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1: The floor and MOD operation in the DRX formula for DRX cycle with the rational number is left to the UE implementation and rounding error caused by the MOD and floor operation should be controlled by the UE.</w:t>
      </w:r>
    </w:p>
    <w:p>
      <w:pPr>
        <w:spacing w:before="120"/>
        <w:rPr>
          <w:rFonts w:hint="eastAsia" w:ascii="Times New Roman" w:hAnsi="Times New Roman" w:eastAsia="宋体" w:cs="Times New Roman"/>
          <w:b/>
          <w:bCs/>
          <w:lang w:val="en-US" w:eastAsia="zh-CN"/>
        </w:rPr>
      </w:pPr>
    </w:p>
    <w:p>
      <w:pPr>
        <w:pStyle w:val="3"/>
        <w:keepNext/>
        <w:keepLines/>
        <w:widowControl/>
        <w:numPr>
          <w:ilvl w:val="1"/>
          <w:numId w:val="4"/>
        </w:numPr>
        <w:ind w:right="200" w:rightChars="100"/>
        <w:rPr>
          <w:rFonts w:hint="default" w:cs="Times New Roman"/>
          <w:sz w:val="28"/>
          <w:lang w:val="en-US" w:eastAsia="zh-CN"/>
        </w:rPr>
      </w:pPr>
      <w:r>
        <w:rPr>
          <w:rFonts w:hint="eastAsia" w:cs="Times New Roman"/>
          <w:sz w:val="28"/>
          <w:lang w:val="en-US" w:eastAsia="zh-CN"/>
        </w:rPr>
        <w:t>The definition of DRX cycle</w:t>
      </w:r>
    </w:p>
    <w:p>
      <w:pPr>
        <w:spacing w:before="120"/>
        <w:rPr>
          <w:rFonts w:hint="default" w:ascii="Times New Roman" w:hAnsi="Times New Roman" w:eastAsia="宋体"/>
          <w:lang w:val="en-US" w:eastAsia="zh-CN"/>
        </w:rPr>
      </w:pPr>
      <w:r>
        <w:rPr>
          <w:rFonts w:hint="eastAsia" w:ascii="Times New Roman" w:hAnsi="Times New Roman" w:eastAsia="宋体"/>
          <w:lang w:val="en-US" w:eastAsia="zh-CN"/>
        </w:rPr>
        <w:t>In the RAN2 meeting #123bis, the DRX cycle with rational number is agreed to use the CHOICE structure as legacy:</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0"/>
              </w:numPr>
              <w:spacing w:before="120"/>
              <w:ind w:leftChars="0"/>
              <w:rPr>
                <w:rFonts w:hint="eastAsia" w:ascii="Times New Roman" w:hAnsi="Times New Roman" w:eastAsia="宋体"/>
                <w:vertAlign w:val="baseline"/>
                <w:lang w:val="en-US" w:eastAsia="zh-CN"/>
              </w:rPr>
            </w:pPr>
            <w:r>
              <w:rPr>
                <w:rFonts w:hint="eastAsia" w:ascii="Times New Roman" w:hAnsi="Times New Roman" w:eastAsia="宋体"/>
                <w:vertAlign w:val="baseline"/>
                <w:lang w:val="en-US" w:eastAsia="zh-CN"/>
              </w:rPr>
              <w:t>2.If short DRX cycle in rational number is configured, the length of the long DRX cycle shall be an integer multiple of the short DRX cycle, as in legacy.</w:t>
            </w:r>
          </w:p>
          <w:p>
            <w:pPr>
              <w:numPr>
                <w:ilvl w:val="0"/>
                <w:numId w:val="5"/>
              </w:numPr>
              <w:spacing w:before="120"/>
              <w:ind w:left="0" w:leftChars="0" w:firstLine="0" w:firstLineChars="0"/>
              <w:rPr>
                <w:rFonts w:hint="eastAsia" w:ascii="Times New Roman" w:hAnsi="Times New Roman" w:eastAsia="宋体"/>
                <w:vertAlign w:val="baseline"/>
                <w:lang w:val="en-US" w:eastAsia="zh-CN"/>
              </w:rPr>
            </w:pPr>
            <w:r>
              <w:rPr>
                <w:rFonts w:hint="eastAsia" w:ascii="Times New Roman" w:hAnsi="Times New Roman" w:eastAsia="宋体"/>
                <w:vertAlign w:val="baseline"/>
                <w:lang w:val="en-US" w:eastAsia="zh-CN"/>
              </w:rPr>
              <w:t>specify the DRX cycle by different fields under a CHOICE structure and specify in the field description the correspondence between different fields and DRX cycles</w:t>
            </w:r>
          </w:p>
        </w:tc>
      </w:tr>
    </w:tbl>
    <w:p>
      <w:pPr>
        <w:spacing w:before="120"/>
        <w:rPr>
          <w:rFonts w:hint="eastAsia" w:ascii="Times New Roman" w:hAnsi="Times New Roman" w:eastAsia="宋体"/>
          <w:lang w:val="en-US" w:eastAsia="zh-CN"/>
        </w:rPr>
      </w:pPr>
    </w:p>
    <w:p>
      <w:pPr>
        <w:spacing w:before="120"/>
        <w:rPr>
          <w:rFonts w:hint="default" w:ascii="Times New Roman" w:hAnsi="Times New Roman" w:eastAsia="宋体"/>
          <w:lang w:val="en-US" w:eastAsia="zh-CN"/>
        </w:rPr>
      </w:pPr>
      <w:r>
        <w:rPr>
          <w:rFonts w:hint="eastAsia" w:ascii="Times New Roman" w:hAnsi="Times New Roman" w:eastAsia="宋体"/>
          <w:lang w:val="en-US" w:eastAsia="zh-CN"/>
        </w:rPr>
        <w:t>Since the typical frame rates consist of [15,30,60,90,120] frames per second in</w:t>
      </w:r>
      <w:r>
        <w:rPr>
          <w:rFonts w:hint="eastAsia" w:ascii="Times New Roman" w:hAnsi="Times New Roman" w:eastAsia="宋体"/>
          <w:lang w:eastAsia="zh-CN"/>
        </w:rPr>
        <w:t xml:space="preserve"> [</w:t>
      </w:r>
      <w:r>
        <w:rPr>
          <w:rFonts w:hint="eastAsia" w:ascii="Times New Roman" w:hAnsi="Times New Roman" w:eastAsia="宋体"/>
          <w:lang w:val="en-US" w:eastAsia="zh-CN"/>
        </w:rPr>
        <w:t>1</w:t>
      </w:r>
      <w:r>
        <w:rPr>
          <w:rFonts w:hint="eastAsia" w:ascii="Times New Roman" w:hAnsi="Times New Roman" w:eastAsia="宋体"/>
          <w:lang w:eastAsia="zh-CN"/>
        </w:rPr>
        <w:t>]</w:t>
      </w:r>
      <w:r>
        <w:rPr>
          <w:rFonts w:hint="eastAsia" w:ascii="Times New Roman" w:hAnsi="Times New Roman" w:eastAsia="宋体"/>
          <w:lang w:val="en-US" w:eastAsia="zh-CN"/>
        </w:rPr>
        <w:t xml:space="preserve"> and [2] , the rational numbers for DRX cycle could be introduced for the supported periodicity of XR, including [200/3, 100/3, 50/3,100/9,25/3] in </w:t>
      </w:r>
      <w:r>
        <w:rPr>
          <w:rFonts w:ascii="Times New Roman" w:hAnsi="Times New Roman" w:eastAsia="宋体"/>
          <w:lang w:eastAsia="zh-CN"/>
        </w:rPr>
        <w:t>milliseconds</w:t>
      </w:r>
      <w:r>
        <w:rPr>
          <w:rFonts w:hint="eastAsia" w:ascii="Times New Roman" w:hAnsi="Times New Roman" w:eastAsia="宋体"/>
          <w:lang w:eastAsia="zh-CN"/>
        </w:rPr>
        <w:t xml:space="preserve"> value</w:t>
      </w:r>
      <w:r>
        <w:rPr>
          <w:rFonts w:hint="eastAsia" w:ascii="Times New Roman" w:hAnsi="Times New Roman" w:eastAsia="宋体"/>
          <w:lang w:val="en-US" w:eastAsia="zh-CN"/>
        </w:rPr>
        <w:t xml:space="preserve">. </w:t>
      </w:r>
    </w:p>
    <w:p>
      <w:p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2: The rational numbers could be introduced for the supported periodicity of XR, at least including [200/3, 100/3, 50/3,100/9,25/3] in milliseconds value.</w:t>
      </w:r>
    </w:p>
    <w:p>
      <w:pPr>
        <w:spacing w:before="120"/>
        <w:rPr>
          <w:rFonts w:hint="eastAsia" w:ascii="Times New Roman" w:hAnsi="Times New Roman" w:eastAsia="宋体"/>
          <w:vertAlign w:val="baseline"/>
          <w:lang w:val="en-US" w:eastAsia="zh-CN"/>
        </w:rPr>
      </w:pPr>
      <w:r>
        <w:rPr>
          <w:rFonts w:hint="eastAsia" w:ascii="Times New Roman" w:hAnsi="Times New Roman" w:eastAsia="宋体"/>
          <w:vertAlign w:val="baseline"/>
          <w:lang w:val="en-US" w:eastAsia="zh-CN"/>
        </w:rPr>
        <w:t>It is agreed in the RAN2 meeting, the length of the long DRX cycle shall be an integer multiple of the short DRX cycle, as in legacy. The an integer multiple of the short DRX cycle, e.g. for the 2 times and 3 times of the short DRX cycle could be supported for the long DRX cycle. The additional numbers could be introduced for the supported periodicity of XR, including [400/3, 200/9, 200,100,50,25] in milliseconds value. The maximum value of the start offset of drx-onDurationTimer for each non-integer DRX long cycle is result of the floor operation for the non-integer DRX long cycle.</w:t>
      </w:r>
    </w:p>
    <w:p>
      <w:pPr>
        <w:spacing w:before="12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3: The an integer multiple of the short DRX cycle, e.g. for the 2 times and 3 times of the short DRX cycle could be supported for the long DRX cycle. The additional  numbers could be introduced for the supported periodicity of XR, including [400/3, 200/9, 200,100,50,25]in milliseconds value.</w:t>
      </w:r>
    </w:p>
    <w:p>
      <w:p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4: The maximum value of the start offset of drx-onDurationTimer for each non-integer DRX long cycle is result of the floor operation for the non-integer DRX long cycle.</w:t>
      </w:r>
    </w:p>
    <w:p>
      <w:pPr>
        <w:spacing w:before="120"/>
        <w:rPr>
          <w:rFonts w:hint="eastAsia" w:ascii="Times New Roman" w:hAnsi="Times New Roman" w:eastAsia="宋体" w:cs="Times New Roman"/>
          <w:b/>
          <w:bCs/>
          <w:lang w:val="en-US" w:eastAsia="zh-CN"/>
        </w:rPr>
      </w:pPr>
    </w:p>
    <w:bookmarkEnd w:id="2"/>
    <w:p>
      <w:pPr>
        <w:pStyle w:val="2"/>
      </w:pPr>
      <w:r>
        <w:rPr>
          <w:lang w:eastAsia="zh-CN"/>
        </w:rPr>
        <w:t>Conclusions</w:t>
      </w:r>
    </w:p>
    <w:p>
      <w:pPr>
        <w:numPr>
          <w:ilvl w:val="0"/>
          <w:numId w:val="0"/>
        </w:numPr>
        <w:spacing w:before="120"/>
        <w:ind w:leftChars="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In this contribution, we analyse the open issues of XR DRX enhancements Following is our observations and proposals.</w:t>
      </w:r>
    </w:p>
    <w:p>
      <w:pPr>
        <w:spacing w:before="120"/>
        <w:rPr>
          <w:rFonts w:hint="eastAsia" w:ascii="Times New Roman" w:hAnsi="Times New Roman" w:eastAsia="宋体" w:cs="Times New Roman"/>
          <w:b/>
          <w:bCs/>
          <w:lang w:val="en-US" w:eastAsia="zh-CN"/>
        </w:rPr>
      </w:pPr>
    </w:p>
    <w:p>
      <w:pPr>
        <w:numPr>
          <w:ilvl w:val="0"/>
          <w:numId w:val="0"/>
        </w:numPr>
        <w:spacing w:before="120"/>
        <w:ind w:left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1: The floor and MOD operation in the DRX formula for DRX cycle with the rational number is left to the UE implementation and rounding error caused by the MOD and floor operation should be controlled by the UE.</w:t>
      </w:r>
    </w:p>
    <w:p>
      <w:p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2: The rational numbers could be introduced for the supported periodicity of XR, at least including [200/3, 100/3, 50/3,100/9,25/3] in milliseconds value.</w:t>
      </w:r>
    </w:p>
    <w:p>
      <w:pPr>
        <w:spacing w:before="12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3: The an integer multiple of the short DRX cycle, e.g. for the 2 times and 3 times of the short DRX cycle could be supported for the long DRX cycle. The additional  numbers could be introduced for the supported periodicity of XR, including [400/3, 200/9, 200,100,50,25]in milliseconds value.</w:t>
      </w:r>
    </w:p>
    <w:p>
      <w:p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4: The maximum value of the start offset of drx-onDurationTimer for each non-integer DRX long cycle is result of the floor operation for the non-integer DRX long cycle.</w:t>
      </w:r>
    </w:p>
    <w:p>
      <w:pPr>
        <w:numPr>
          <w:ilvl w:val="0"/>
          <w:numId w:val="0"/>
        </w:numPr>
        <w:spacing w:before="120"/>
        <w:ind w:leftChars="0"/>
        <w:rPr>
          <w:rFonts w:hint="default" w:ascii="Times New Roman" w:hAnsi="Times New Roman" w:eastAsia="宋体" w:cs="Times New Roman"/>
          <w:b/>
          <w:bCs/>
          <w:lang w:val="en-US" w:eastAsia="zh-CN"/>
        </w:rPr>
      </w:pPr>
      <w:bookmarkStart w:id="8" w:name="_GoBack"/>
      <w:bookmarkEnd w:id="8"/>
    </w:p>
    <w:p>
      <w:pPr>
        <w:pStyle w:val="2"/>
      </w:pPr>
      <w:r>
        <w:t>References</w:t>
      </w:r>
    </w:p>
    <w:p>
      <w:pPr>
        <w:pStyle w:val="81"/>
        <w:numPr>
          <w:ilvl w:val="0"/>
          <w:numId w:val="6"/>
        </w:numPr>
        <w:rPr>
          <w:rFonts w:hint="default" w:ascii="Times New Roman" w:hAnsi="Times New Roman"/>
          <w:sz w:val="22"/>
          <w:szCs w:val="22"/>
          <w:lang w:val="en-US" w:eastAsia="zh-CN"/>
        </w:rPr>
      </w:pPr>
      <w:r>
        <w:rPr>
          <w:rFonts w:hint="eastAsia" w:ascii="Times New Roman" w:hAnsi="Times New Roman"/>
          <w:sz w:val="22"/>
          <w:szCs w:val="22"/>
          <w:lang w:eastAsia="zh-CN"/>
        </w:rPr>
        <w:t xml:space="preserve">3GPP </w:t>
      </w:r>
      <w:bookmarkStart w:id="3" w:name="specType1"/>
      <w:r>
        <w:rPr>
          <w:rFonts w:hint="eastAsia" w:ascii="Times New Roman" w:hAnsi="Times New Roman"/>
          <w:sz w:val="22"/>
          <w:szCs w:val="22"/>
          <w:lang w:eastAsia="zh-CN"/>
        </w:rPr>
        <w:t>TR</w:t>
      </w:r>
      <w:bookmarkEnd w:id="3"/>
      <w:r>
        <w:rPr>
          <w:rFonts w:hint="eastAsia" w:ascii="Times New Roman" w:hAnsi="Times New Roman"/>
          <w:sz w:val="22"/>
          <w:szCs w:val="22"/>
          <w:lang w:eastAsia="zh-CN"/>
        </w:rPr>
        <w:t xml:space="preserve"> </w:t>
      </w:r>
      <w:bookmarkStart w:id="4" w:name="specNumber"/>
      <w:r>
        <w:rPr>
          <w:rFonts w:hint="eastAsia" w:ascii="Times New Roman" w:hAnsi="Times New Roman"/>
          <w:sz w:val="22"/>
          <w:szCs w:val="22"/>
          <w:lang w:eastAsia="zh-CN"/>
        </w:rPr>
        <w:t>38.</w:t>
      </w:r>
      <w:bookmarkEnd w:id="4"/>
      <w:r>
        <w:rPr>
          <w:rFonts w:hint="eastAsia" w:ascii="Times New Roman" w:hAnsi="Times New Roman"/>
          <w:sz w:val="22"/>
          <w:szCs w:val="22"/>
          <w:lang w:eastAsia="zh-CN"/>
        </w:rPr>
        <w:t>835 V</w:t>
      </w:r>
      <w:bookmarkStart w:id="5" w:name="specVersion"/>
      <w:r>
        <w:rPr>
          <w:rFonts w:hint="eastAsia" w:ascii="Times New Roman" w:hAnsi="Times New Roman"/>
          <w:sz w:val="22"/>
          <w:szCs w:val="22"/>
          <w:lang w:eastAsia="zh-CN"/>
        </w:rPr>
        <w:t>1.0.</w:t>
      </w:r>
      <w:bookmarkEnd w:id="5"/>
      <w:r>
        <w:rPr>
          <w:rFonts w:hint="eastAsia" w:ascii="Times New Roman" w:hAnsi="Times New Roman"/>
          <w:sz w:val="22"/>
          <w:szCs w:val="22"/>
          <w:lang w:eastAsia="zh-CN"/>
        </w:rPr>
        <w:t xml:space="preserve">0, Study on XR enhancements for NR(Release </w:t>
      </w:r>
      <w:bookmarkStart w:id="6" w:name="specRelease"/>
      <w:r>
        <w:rPr>
          <w:rFonts w:hint="eastAsia" w:ascii="Times New Roman" w:hAnsi="Times New Roman"/>
          <w:sz w:val="22"/>
          <w:szCs w:val="22"/>
          <w:lang w:eastAsia="zh-CN"/>
        </w:rPr>
        <w:t>18</w:t>
      </w:r>
      <w:bookmarkEnd w:id="6"/>
      <w:r>
        <w:rPr>
          <w:rFonts w:hint="eastAsia" w:ascii="Times New Roman" w:hAnsi="Times New Roman"/>
          <w:sz w:val="22"/>
          <w:szCs w:val="22"/>
          <w:lang w:eastAsia="zh-CN"/>
        </w:rPr>
        <w:t>),</w:t>
      </w:r>
      <w:bookmarkStart w:id="7" w:name="issueDate"/>
      <w:r>
        <w:rPr>
          <w:rFonts w:hint="eastAsia" w:ascii="Times New Roman" w:hAnsi="Times New Roman"/>
          <w:sz w:val="22"/>
          <w:szCs w:val="22"/>
          <w:lang w:eastAsia="zh-CN"/>
        </w:rPr>
        <w:t xml:space="preserve"> 2022-</w:t>
      </w:r>
      <w:bookmarkEnd w:id="7"/>
      <w:r>
        <w:rPr>
          <w:rFonts w:hint="eastAsia" w:ascii="Times New Roman" w:hAnsi="Times New Roman"/>
          <w:sz w:val="22"/>
          <w:szCs w:val="22"/>
          <w:lang w:eastAsia="zh-CN"/>
        </w:rPr>
        <w:t>12</w:t>
      </w:r>
    </w:p>
    <w:p>
      <w:pPr>
        <w:pStyle w:val="81"/>
        <w:numPr>
          <w:ilvl w:val="0"/>
          <w:numId w:val="6"/>
        </w:numPr>
        <w:rPr>
          <w:rFonts w:hint="default" w:ascii="Times New Roman" w:hAnsi="Times New Roman"/>
          <w:sz w:val="22"/>
          <w:szCs w:val="22"/>
          <w:lang w:val="en-US" w:eastAsia="zh-CN"/>
        </w:rPr>
      </w:pPr>
      <w:r>
        <w:rPr>
          <w:rFonts w:hint="eastAsia" w:ascii="Times New Roman" w:hAnsi="Times New Roman"/>
          <w:sz w:val="22"/>
          <w:szCs w:val="22"/>
          <w:lang w:eastAsia="zh-CN"/>
        </w:rPr>
        <w:t>3GPP TR 26.926 V2.0.0 (2023-09)</w:t>
      </w:r>
      <w:r>
        <w:rPr>
          <w:rFonts w:hint="eastAsia" w:ascii="Times New Roman" w:hAnsi="Times New Roman"/>
          <w:sz w:val="22"/>
          <w:szCs w:val="22"/>
          <w:lang w:val="en-US" w:eastAsia="zh-CN"/>
        </w:rPr>
        <w:t xml:space="preserve">, </w:t>
      </w:r>
      <w:r>
        <w:rPr>
          <w:rFonts w:hint="eastAsia" w:ascii="Times New Roman" w:hAnsi="Times New Roman"/>
          <w:sz w:val="22"/>
          <w:szCs w:val="22"/>
          <w:lang w:eastAsia="zh-CN"/>
        </w:rPr>
        <w:t>Traffic Models and Quality Evaluation Methods for Media and XR Services in 5G Systems;(Release 18)</w:t>
      </w:r>
    </w:p>
    <w:p>
      <w:pPr>
        <w:pStyle w:val="81"/>
        <w:ind w:left="357"/>
        <w:rPr>
          <w:lang w:eastAsia="zh-CN"/>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3954AB"/>
    <w:multiLevelType w:val="multilevel"/>
    <w:tmpl w:val="0E3954A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23EC52FA"/>
    <w:multiLevelType w:val="multilevel"/>
    <w:tmpl w:val="23EC52FA"/>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860"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627E07ED"/>
    <w:multiLevelType w:val="singleLevel"/>
    <w:tmpl w:val="627E07ED"/>
    <w:lvl w:ilvl="0" w:tentative="0">
      <w:start w:val="4"/>
      <w:numFmt w:val="decimal"/>
      <w:lvlText w:val="%1."/>
      <w:lvlJc w:val="left"/>
      <w:pPr>
        <w:tabs>
          <w:tab w:val="left" w:pos="312"/>
        </w:tabs>
      </w:pPr>
    </w:lvl>
  </w:abstractNum>
  <w:abstractNum w:abstractNumId="4">
    <w:nsid w:val="70146DC0"/>
    <w:multiLevelType w:val="multilevel"/>
    <w:tmpl w:val="70146DC0"/>
    <w:lvl w:ilvl="0" w:tentative="0">
      <w:start w:val="1"/>
      <w:numFmt w:val="bullet"/>
      <w:pStyle w:val="8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62249F"/>
    <w:multiLevelType w:val="multilevel"/>
    <w:tmpl w:val="7B62249F"/>
    <w:lvl w:ilvl="0" w:tentative="0">
      <w:start w:val="2"/>
      <w:numFmt w:val="decimal"/>
      <w:lvlText w:val="%1"/>
      <w:lvlJc w:val="left"/>
      <w:pPr>
        <w:ind w:left="405" w:hanging="405"/>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attachedTemplate r:id="rId1"/>
  <w:documentProtection w:enforcement="0"/>
  <w:defaultTabStop w:val="284"/>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0B7BCF"/>
    <w:rsid w:val="00003E6A"/>
    <w:rsid w:val="0000457D"/>
    <w:rsid w:val="0000587A"/>
    <w:rsid w:val="00006C2E"/>
    <w:rsid w:val="00007EC6"/>
    <w:rsid w:val="0001023B"/>
    <w:rsid w:val="0001162C"/>
    <w:rsid w:val="000122AF"/>
    <w:rsid w:val="000125FD"/>
    <w:rsid w:val="00012A72"/>
    <w:rsid w:val="0001334F"/>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0CF5"/>
    <w:rsid w:val="0005254A"/>
    <w:rsid w:val="000531D7"/>
    <w:rsid w:val="0005391F"/>
    <w:rsid w:val="00053C61"/>
    <w:rsid w:val="0005495D"/>
    <w:rsid w:val="00054B27"/>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6AC"/>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1793"/>
    <w:rsid w:val="000D232F"/>
    <w:rsid w:val="000D23A2"/>
    <w:rsid w:val="000D2E5C"/>
    <w:rsid w:val="000D51B4"/>
    <w:rsid w:val="000D5751"/>
    <w:rsid w:val="000D58AB"/>
    <w:rsid w:val="000D7971"/>
    <w:rsid w:val="000D7C6A"/>
    <w:rsid w:val="000E11A6"/>
    <w:rsid w:val="000E2829"/>
    <w:rsid w:val="000E384C"/>
    <w:rsid w:val="000E40B4"/>
    <w:rsid w:val="000E49DA"/>
    <w:rsid w:val="000E4EF8"/>
    <w:rsid w:val="000E5A77"/>
    <w:rsid w:val="000E5E4F"/>
    <w:rsid w:val="000E7224"/>
    <w:rsid w:val="000E7E0B"/>
    <w:rsid w:val="000F003B"/>
    <w:rsid w:val="000F1926"/>
    <w:rsid w:val="000F2595"/>
    <w:rsid w:val="000F3114"/>
    <w:rsid w:val="000F387E"/>
    <w:rsid w:val="000F4E5D"/>
    <w:rsid w:val="000F5052"/>
    <w:rsid w:val="000F7383"/>
    <w:rsid w:val="000F7E1A"/>
    <w:rsid w:val="00100727"/>
    <w:rsid w:val="0010159D"/>
    <w:rsid w:val="00101C13"/>
    <w:rsid w:val="00102B50"/>
    <w:rsid w:val="001035CF"/>
    <w:rsid w:val="00103FD9"/>
    <w:rsid w:val="00104AFC"/>
    <w:rsid w:val="00105382"/>
    <w:rsid w:val="00105EE4"/>
    <w:rsid w:val="0010746E"/>
    <w:rsid w:val="0011158C"/>
    <w:rsid w:val="0011229B"/>
    <w:rsid w:val="00112453"/>
    <w:rsid w:val="00114C47"/>
    <w:rsid w:val="00116505"/>
    <w:rsid w:val="0011672A"/>
    <w:rsid w:val="00116F57"/>
    <w:rsid w:val="00117213"/>
    <w:rsid w:val="00117456"/>
    <w:rsid w:val="001207AA"/>
    <w:rsid w:val="00120849"/>
    <w:rsid w:val="00120DC5"/>
    <w:rsid w:val="0012180D"/>
    <w:rsid w:val="00122D33"/>
    <w:rsid w:val="0012397B"/>
    <w:rsid w:val="00123BA3"/>
    <w:rsid w:val="00123DCF"/>
    <w:rsid w:val="001252CC"/>
    <w:rsid w:val="00127966"/>
    <w:rsid w:val="00130400"/>
    <w:rsid w:val="00131A30"/>
    <w:rsid w:val="00132920"/>
    <w:rsid w:val="00133A74"/>
    <w:rsid w:val="0013410C"/>
    <w:rsid w:val="00134C49"/>
    <w:rsid w:val="0013511F"/>
    <w:rsid w:val="001359EF"/>
    <w:rsid w:val="00136C50"/>
    <w:rsid w:val="00137680"/>
    <w:rsid w:val="00137923"/>
    <w:rsid w:val="00143E05"/>
    <w:rsid w:val="00144014"/>
    <w:rsid w:val="001443A3"/>
    <w:rsid w:val="00145419"/>
    <w:rsid w:val="00145FA9"/>
    <w:rsid w:val="001466B2"/>
    <w:rsid w:val="00147252"/>
    <w:rsid w:val="0014763D"/>
    <w:rsid w:val="00147A32"/>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03DB"/>
    <w:rsid w:val="0017187C"/>
    <w:rsid w:val="00172326"/>
    <w:rsid w:val="00172FD7"/>
    <w:rsid w:val="001735B1"/>
    <w:rsid w:val="00174BF6"/>
    <w:rsid w:val="001750A9"/>
    <w:rsid w:val="00175C44"/>
    <w:rsid w:val="001777C1"/>
    <w:rsid w:val="00177D29"/>
    <w:rsid w:val="001802E7"/>
    <w:rsid w:val="001805A4"/>
    <w:rsid w:val="00180F50"/>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A6421"/>
    <w:rsid w:val="001B03D8"/>
    <w:rsid w:val="001B04A0"/>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03F"/>
    <w:rsid w:val="001E2D16"/>
    <w:rsid w:val="001E323F"/>
    <w:rsid w:val="001E525C"/>
    <w:rsid w:val="001E5272"/>
    <w:rsid w:val="001E6D56"/>
    <w:rsid w:val="001F168B"/>
    <w:rsid w:val="001F3B84"/>
    <w:rsid w:val="001F4257"/>
    <w:rsid w:val="001F42A4"/>
    <w:rsid w:val="001F45B0"/>
    <w:rsid w:val="001F48FC"/>
    <w:rsid w:val="001F51FC"/>
    <w:rsid w:val="001F5D82"/>
    <w:rsid w:val="001F704D"/>
    <w:rsid w:val="0020028B"/>
    <w:rsid w:val="00200B08"/>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3C67"/>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7CD"/>
    <w:rsid w:val="00284BA9"/>
    <w:rsid w:val="00284E8D"/>
    <w:rsid w:val="002855BF"/>
    <w:rsid w:val="0028627F"/>
    <w:rsid w:val="002866EF"/>
    <w:rsid w:val="00291745"/>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0159"/>
    <w:rsid w:val="002B1533"/>
    <w:rsid w:val="002B1F97"/>
    <w:rsid w:val="002B2093"/>
    <w:rsid w:val="002B26B1"/>
    <w:rsid w:val="002B3195"/>
    <w:rsid w:val="002B4B1A"/>
    <w:rsid w:val="002B5D9D"/>
    <w:rsid w:val="002B61AF"/>
    <w:rsid w:val="002B6965"/>
    <w:rsid w:val="002B7AC8"/>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5B0"/>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787"/>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37AA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48A"/>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97F5B"/>
    <w:rsid w:val="003A014E"/>
    <w:rsid w:val="003A0881"/>
    <w:rsid w:val="003A08DF"/>
    <w:rsid w:val="003A417A"/>
    <w:rsid w:val="003A4261"/>
    <w:rsid w:val="003A504C"/>
    <w:rsid w:val="003A523F"/>
    <w:rsid w:val="003A57BB"/>
    <w:rsid w:val="003A6844"/>
    <w:rsid w:val="003B01E4"/>
    <w:rsid w:val="003B102D"/>
    <w:rsid w:val="003B2016"/>
    <w:rsid w:val="003B301F"/>
    <w:rsid w:val="003B3E00"/>
    <w:rsid w:val="003B48BB"/>
    <w:rsid w:val="003B53E7"/>
    <w:rsid w:val="003B58D2"/>
    <w:rsid w:val="003B5946"/>
    <w:rsid w:val="003B6DCA"/>
    <w:rsid w:val="003B77A1"/>
    <w:rsid w:val="003C12C4"/>
    <w:rsid w:val="003C23C2"/>
    <w:rsid w:val="003C2FE2"/>
    <w:rsid w:val="003C5C02"/>
    <w:rsid w:val="003C74C0"/>
    <w:rsid w:val="003C7655"/>
    <w:rsid w:val="003D02C7"/>
    <w:rsid w:val="003D03B6"/>
    <w:rsid w:val="003D05E1"/>
    <w:rsid w:val="003D078E"/>
    <w:rsid w:val="003D09E5"/>
    <w:rsid w:val="003D16F6"/>
    <w:rsid w:val="003D25B3"/>
    <w:rsid w:val="003D267B"/>
    <w:rsid w:val="003D451A"/>
    <w:rsid w:val="003D454B"/>
    <w:rsid w:val="003D47C2"/>
    <w:rsid w:val="003D4EE5"/>
    <w:rsid w:val="003D515D"/>
    <w:rsid w:val="003D727F"/>
    <w:rsid w:val="003D76A1"/>
    <w:rsid w:val="003E0230"/>
    <w:rsid w:val="003E07D6"/>
    <w:rsid w:val="003E07EA"/>
    <w:rsid w:val="003E0C33"/>
    <w:rsid w:val="003E0F74"/>
    <w:rsid w:val="003E0F7B"/>
    <w:rsid w:val="003E160D"/>
    <w:rsid w:val="003E1613"/>
    <w:rsid w:val="003E16BE"/>
    <w:rsid w:val="003E42B5"/>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177E"/>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3EA8"/>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38E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1EC6"/>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6E2"/>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382"/>
    <w:rsid w:val="004A1BBC"/>
    <w:rsid w:val="004A20A5"/>
    <w:rsid w:val="004A3B11"/>
    <w:rsid w:val="004A40BF"/>
    <w:rsid w:val="004A4391"/>
    <w:rsid w:val="004A6548"/>
    <w:rsid w:val="004B0AA7"/>
    <w:rsid w:val="004B1716"/>
    <w:rsid w:val="004B43ED"/>
    <w:rsid w:val="004B49CF"/>
    <w:rsid w:val="004B4E3D"/>
    <w:rsid w:val="004B526E"/>
    <w:rsid w:val="004B54B3"/>
    <w:rsid w:val="004B5B8F"/>
    <w:rsid w:val="004B66C4"/>
    <w:rsid w:val="004B6F48"/>
    <w:rsid w:val="004B7662"/>
    <w:rsid w:val="004B7E6A"/>
    <w:rsid w:val="004C0514"/>
    <w:rsid w:val="004C36C2"/>
    <w:rsid w:val="004C41AE"/>
    <w:rsid w:val="004C57F8"/>
    <w:rsid w:val="004C5916"/>
    <w:rsid w:val="004C724B"/>
    <w:rsid w:val="004D1BA1"/>
    <w:rsid w:val="004D2101"/>
    <w:rsid w:val="004D2CA9"/>
    <w:rsid w:val="004D3578"/>
    <w:rsid w:val="004D380D"/>
    <w:rsid w:val="004D3D95"/>
    <w:rsid w:val="004D481E"/>
    <w:rsid w:val="004D4B2F"/>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444F"/>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0708"/>
    <w:rsid w:val="005520D2"/>
    <w:rsid w:val="00553146"/>
    <w:rsid w:val="00553AAF"/>
    <w:rsid w:val="00553D4E"/>
    <w:rsid w:val="005564B1"/>
    <w:rsid w:val="005570FB"/>
    <w:rsid w:val="005601B2"/>
    <w:rsid w:val="00562384"/>
    <w:rsid w:val="005631BD"/>
    <w:rsid w:val="005644B2"/>
    <w:rsid w:val="00564E49"/>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130D"/>
    <w:rsid w:val="00591DB0"/>
    <w:rsid w:val="0059281F"/>
    <w:rsid w:val="00594A29"/>
    <w:rsid w:val="00595ED3"/>
    <w:rsid w:val="00596408"/>
    <w:rsid w:val="005965C7"/>
    <w:rsid w:val="0059667B"/>
    <w:rsid w:val="005970DC"/>
    <w:rsid w:val="005A1616"/>
    <w:rsid w:val="005A278E"/>
    <w:rsid w:val="005A5028"/>
    <w:rsid w:val="005A549B"/>
    <w:rsid w:val="005A599E"/>
    <w:rsid w:val="005A5C68"/>
    <w:rsid w:val="005A6F6F"/>
    <w:rsid w:val="005B150E"/>
    <w:rsid w:val="005B222E"/>
    <w:rsid w:val="005B289F"/>
    <w:rsid w:val="005B48D0"/>
    <w:rsid w:val="005B5454"/>
    <w:rsid w:val="005B61EE"/>
    <w:rsid w:val="005B6589"/>
    <w:rsid w:val="005B65DB"/>
    <w:rsid w:val="005B6710"/>
    <w:rsid w:val="005B6846"/>
    <w:rsid w:val="005B70A3"/>
    <w:rsid w:val="005B72B0"/>
    <w:rsid w:val="005B7573"/>
    <w:rsid w:val="005B76FB"/>
    <w:rsid w:val="005B78F8"/>
    <w:rsid w:val="005C0564"/>
    <w:rsid w:val="005C058C"/>
    <w:rsid w:val="005C15A6"/>
    <w:rsid w:val="005C1839"/>
    <w:rsid w:val="005C226B"/>
    <w:rsid w:val="005C320E"/>
    <w:rsid w:val="005C33C6"/>
    <w:rsid w:val="005C34CF"/>
    <w:rsid w:val="005C681D"/>
    <w:rsid w:val="005C6875"/>
    <w:rsid w:val="005C6B30"/>
    <w:rsid w:val="005D0F35"/>
    <w:rsid w:val="005D1268"/>
    <w:rsid w:val="005D213F"/>
    <w:rsid w:val="005D3AA4"/>
    <w:rsid w:val="005D3CD7"/>
    <w:rsid w:val="005D3DBE"/>
    <w:rsid w:val="005D578C"/>
    <w:rsid w:val="005D5FBE"/>
    <w:rsid w:val="005D6FC0"/>
    <w:rsid w:val="005D7F40"/>
    <w:rsid w:val="005E0152"/>
    <w:rsid w:val="005E0590"/>
    <w:rsid w:val="005E1555"/>
    <w:rsid w:val="005E175F"/>
    <w:rsid w:val="005E1AC8"/>
    <w:rsid w:val="005E2292"/>
    <w:rsid w:val="005E2E5D"/>
    <w:rsid w:val="005E3455"/>
    <w:rsid w:val="005E621B"/>
    <w:rsid w:val="005E64E1"/>
    <w:rsid w:val="005F0CA7"/>
    <w:rsid w:val="005F2FD5"/>
    <w:rsid w:val="005F591E"/>
    <w:rsid w:val="005F5C42"/>
    <w:rsid w:val="005F5E29"/>
    <w:rsid w:val="005F5E36"/>
    <w:rsid w:val="005F5EB6"/>
    <w:rsid w:val="005F64FA"/>
    <w:rsid w:val="005F651E"/>
    <w:rsid w:val="005F6D32"/>
    <w:rsid w:val="005F6F3B"/>
    <w:rsid w:val="005F7721"/>
    <w:rsid w:val="0060071A"/>
    <w:rsid w:val="00601DD9"/>
    <w:rsid w:val="00603791"/>
    <w:rsid w:val="006037CB"/>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27E"/>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696"/>
    <w:rsid w:val="0067071D"/>
    <w:rsid w:val="00670D17"/>
    <w:rsid w:val="00671593"/>
    <w:rsid w:val="00671C05"/>
    <w:rsid w:val="006724FA"/>
    <w:rsid w:val="00672DD3"/>
    <w:rsid w:val="00673DA5"/>
    <w:rsid w:val="00674A37"/>
    <w:rsid w:val="006778D1"/>
    <w:rsid w:val="006778DA"/>
    <w:rsid w:val="006803A9"/>
    <w:rsid w:val="006808D9"/>
    <w:rsid w:val="00680F27"/>
    <w:rsid w:val="00680F84"/>
    <w:rsid w:val="006821D6"/>
    <w:rsid w:val="00682DB1"/>
    <w:rsid w:val="0068514A"/>
    <w:rsid w:val="00686A67"/>
    <w:rsid w:val="00687F04"/>
    <w:rsid w:val="0069306C"/>
    <w:rsid w:val="00693169"/>
    <w:rsid w:val="0069369E"/>
    <w:rsid w:val="006937BA"/>
    <w:rsid w:val="00695FE2"/>
    <w:rsid w:val="00696305"/>
    <w:rsid w:val="00697F47"/>
    <w:rsid w:val="006A03BD"/>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1450"/>
    <w:rsid w:val="006C20F8"/>
    <w:rsid w:val="006C304D"/>
    <w:rsid w:val="006C32B8"/>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343E"/>
    <w:rsid w:val="006E42B5"/>
    <w:rsid w:val="006E44E6"/>
    <w:rsid w:val="006E4690"/>
    <w:rsid w:val="006E5508"/>
    <w:rsid w:val="006E59AC"/>
    <w:rsid w:val="006E77BE"/>
    <w:rsid w:val="006F0A23"/>
    <w:rsid w:val="006F2575"/>
    <w:rsid w:val="006F274D"/>
    <w:rsid w:val="006F3C7B"/>
    <w:rsid w:val="006F3F50"/>
    <w:rsid w:val="006F5815"/>
    <w:rsid w:val="006F5D5B"/>
    <w:rsid w:val="006F604E"/>
    <w:rsid w:val="006F6972"/>
    <w:rsid w:val="006F6F27"/>
    <w:rsid w:val="006F755D"/>
    <w:rsid w:val="006F7845"/>
    <w:rsid w:val="007016A1"/>
    <w:rsid w:val="00701B65"/>
    <w:rsid w:val="00702631"/>
    <w:rsid w:val="00702694"/>
    <w:rsid w:val="007040E9"/>
    <w:rsid w:val="0070736D"/>
    <w:rsid w:val="00710207"/>
    <w:rsid w:val="007111F2"/>
    <w:rsid w:val="007119E4"/>
    <w:rsid w:val="007145EA"/>
    <w:rsid w:val="00716765"/>
    <w:rsid w:val="007173B2"/>
    <w:rsid w:val="00721B21"/>
    <w:rsid w:val="00721C1E"/>
    <w:rsid w:val="00722777"/>
    <w:rsid w:val="00722CC7"/>
    <w:rsid w:val="00726628"/>
    <w:rsid w:val="007272B8"/>
    <w:rsid w:val="00727713"/>
    <w:rsid w:val="00727957"/>
    <w:rsid w:val="00727D3A"/>
    <w:rsid w:val="00727FC2"/>
    <w:rsid w:val="00733697"/>
    <w:rsid w:val="00734738"/>
    <w:rsid w:val="00734A5B"/>
    <w:rsid w:val="00734C59"/>
    <w:rsid w:val="00735860"/>
    <w:rsid w:val="007366E0"/>
    <w:rsid w:val="00737549"/>
    <w:rsid w:val="00737B4E"/>
    <w:rsid w:val="00740A39"/>
    <w:rsid w:val="007413A2"/>
    <w:rsid w:val="007418E3"/>
    <w:rsid w:val="00742C08"/>
    <w:rsid w:val="00743227"/>
    <w:rsid w:val="007445B2"/>
    <w:rsid w:val="00744689"/>
    <w:rsid w:val="00744E76"/>
    <w:rsid w:val="00745016"/>
    <w:rsid w:val="00747004"/>
    <w:rsid w:val="007506BD"/>
    <w:rsid w:val="00751B62"/>
    <w:rsid w:val="0075366B"/>
    <w:rsid w:val="00753BB0"/>
    <w:rsid w:val="00754ADD"/>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1BB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3455"/>
    <w:rsid w:val="007853B3"/>
    <w:rsid w:val="007860A5"/>
    <w:rsid w:val="007864B8"/>
    <w:rsid w:val="007869F3"/>
    <w:rsid w:val="0078727C"/>
    <w:rsid w:val="00787585"/>
    <w:rsid w:val="00787E99"/>
    <w:rsid w:val="00790092"/>
    <w:rsid w:val="00790AC5"/>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0147"/>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0C2F"/>
    <w:rsid w:val="007D18C0"/>
    <w:rsid w:val="007D1D68"/>
    <w:rsid w:val="007D2510"/>
    <w:rsid w:val="007D2D71"/>
    <w:rsid w:val="007D3726"/>
    <w:rsid w:val="007D43DC"/>
    <w:rsid w:val="007D57F4"/>
    <w:rsid w:val="007D5C90"/>
    <w:rsid w:val="007D7AE7"/>
    <w:rsid w:val="007D7B7E"/>
    <w:rsid w:val="007E0BAF"/>
    <w:rsid w:val="007E0BE6"/>
    <w:rsid w:val="007E0F66"/>
    <w:rsid w:val="007E153F"/>
    <w:rsid w:val="007E1DF8"/>
    <w:rsid w:val="007E1F2A"/>
    <w:rsid w:val="007E2C01"/>
    <w:rsid w:val="007E2E21"/>
    <w:rsid w:val="007E56CB"/>
    <w:rsid w:val="007E574B"/>
    <w:rsid w:val="007E77B1"/>
    <w:rsid w:val="007F0139"/>
    <w:rsid w:val="007F060D"/>
    <w:rsid w:val="007F0DDD"/>
    <w:rsid w:val="007F3FCE"/>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55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1D4"/>
    <w:rsid w:val="0083635E"/>
    <w:rsid w:val="00836E63"/>
    <w:rsid w:val="008377D0"/>
    <w:rsid w:val="008378E0"/>
    <w:rsid w:val="008403B3"/>
    <w:rsid w:val="008407A9"/>
    <w:rsid w:val="008420B9"/>
    <w:rsid w:val="008437D1"/>
    <w:rsid w:val="008447AF"/>
    <w:rsid w:val="00845B18"/>
    <w:rsid w:val="00846147"/>
    <w:rsid w:val="008504AF"/>
    <w:rsid w:val="00850EFB"/>
    <w:rsid w:val="00851A34"/>
    <w:rsid w:val="0085366C"/>
    <w:rsid w:val="00853EF1"/>
    <w:rsid w:val="00854D2C"/>
    <w:rsid w:val="00854E8D"/>
    <w:rsid w:val="00855715"/>
    <w:rsid w:val="00855E15"/>
    <w:rsid w:val="00856CA7"/>
    <w:rsid w:val="00856EF3"/>
    <w:rsid w:val="008602D3"/>
    <w:rsid w:val="0086236F"/>
    <w:rsid w:val="008635E4"/>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1609"/>
    <w:rsid w:val="0088394E"/>
    <w:rsid w:val="00883AB2"/>
    <w:rsid w:val="0088587C"/>
    <w:rsid w:val="0088630D"/>
    <w:rsid w:val="0088638F"/>
    <w:rsid w:val="00886455"/>
    <w:rsid w:val="0088734E"/>
    <w:rsid w:val="00890EBD"/>
    <w:rsid w:val="008916C6"/>
    <w:rsid w:val="0089247B"/>
    <w:rsid w:val="00893C5C"/>
    <w:rsid w:val="008940B7"/>
    <w:rsid w:val="008948D9"/>
    <w:rsid w:val="0089567F"/>
    <w:rsid w:val="0089755E"/>
    <w:rsid w:val="008A08E5"/>
    <w:rsid w:val="008A0D2B"/>
    <w:rsid w:val="008A0F29"/>
    <w:rsid w:val="008A15F7"/>
    <w:rsid w:val="008A3C38"/>
    <w:rsid w:val="008B05C4"/>
    <w:rsid w:val="008B0A62"/>
    <w:rsid w:val="008B0F46"/>
    <w:rsid w:val="008B15E4"/>
    <w:rsid w:val="008B3387"/>
    <w:rsid w:val="008B4F8A"/>
    <w:rsid w:val="008B52AD"/>
    <w:rsid w:val="008B5394"/>
    <w:rsid w:val="008B6720"/>
    <w:rsid w:val="008B7049"/>
    <w:rsid w:val="008B7D86"/>
    <w:rsid w:val="008B7F68"/>
    <w:rsid w:val="008C1717"/>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AD4"/>
    <w:rsid w:val="008D5D2C"/>
    <w:rsid w:val="008D77DC"/>
    <w:rsid w:val="008E0015"/>
    <w:rsid w:val="008E00BB"/>
    <w:rsid w:val="008E229B"/>
    <w:rsid w:val="008E2C04"/>
    <w:rsid w:val="008E399C"/>
    <w:rsid w:val="008E5066"/>
    <w:rsid w:val="008E5D85"/>
    <w:rsid w:val="008E5EBD"/>
    <w:rsid w:val="008E606A"/>
    <w:rsid w:val="008E73E6"/>
    <w:rsid w:val="008E7667"/>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3F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0B0D"/>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335E"/>
    <w:rsid w:val="00963987"/>
    <w:rsid w:val="00963E78"/>
    <w:rsid w:val="00964204"/>
    <w:rsid w:val="00965F51"/>
    <w:rsid w:val="00966409"/>
    <w:rsid w:val="00966A8B"/>
    <w:rsid w:val="00967495"/>
    <w:rsid w:val="009675EE"/>
    <w:rsid w:val="009704E0"/>
    <w:rsid w:val="00971F09"/>
    <w:rsid w:val="009720FA"/>
    <w:rsid w:val="009728A6"/>
    <w:rsid w:val="0097477A"/>
    <w:rsid w:val="009759CF"/>
    <w:rsid w:val="00975B9B"/>
    <w:rsid w:val="00977568"/>
    <w:rsid w:val="009778FE"/>
    <w:rsid w:val="00977B9A"/>
    <w:rsid w:val="00980682"/>
    <w:rsid w:val="00980B36"/>
    <w:rsid w:val="00981800"/>
    <w:rsid w:val="00982033"/>
    <w:rsid w:val="00982B95"/>
    <w:rsid w:val="009836B8"/>
    <w:rsid w:val="00986759"/>
    <w:rsid w:val="00990946"/>
    <w:rsid w:val="00991F97"/>
    <w:rsid w:val="00992CD7"/>
    <w:rsid w:val="00992DA1"/>
    <w:rsid w:val="00993129"/>
    <w:rsid w:val="009947F3"/>
    <w:rsid w:val="00994BF0"/>
    <w:rsid w:val="0099571B"/>
    <w:rsid w:val="00995B70"/>
    <w:rsid w:val="00995CEC"/>
    <w:rsid w:val="00996B82"/>
    <w:rsid w:val="00997D91"/>
    <w:rsid w:val="009A080E"/>
    <w:rsid w:val="009A0B12"/>
    <w:rsid w:val="009A101F"/>
    <w:rsid w:val="009A2784"/>
    <w:rsid w:val="009A29B1"/>
    <w:rsid w:val="009A3254"/>
    <w:rsid w:val="009A60AD"/>
    <w:rsid w:val="009A6944"/>
    <w:rsid w:val="009B0ADC"/>
    <w:rsid w:val="009B0C84"/>
    <w:rsid w:val="009B1EF1"/>
    <w:rsid w:val="009B27F4"/>
    <w:rsid w:val="009B33C7"/>
    <w:rsid w:val="009B3F03"/>
    <w:rsid w:val="009B4792"/>
    <w:rsid w:val="009B54CB"/>
    <w:rsid w:val="009B57EA"/>
    <w:rsid w:val="009B6408"/>
    <w:rsid w:val="009B676E"/>
    <w:rsid w:val="009B78D4"/>
    <w:rsid w:val="009C0CE3"/>
    <w:rsid w:val="009C30D7"/>
    <w:rsid w:val="009C395D"/>
    <w:rsid w:val="009C567E"/>
    <w:rsid w:val="009C6592"/>
    <w:rsid w:val="009C677E"/>
    <w:rsid w:val="009D1423"/>
    <w:rsid w:val="009D256D"/>
    <w:rsid w:val="009D25D9"/>
    <w:rsid w:val="009D3B54"/>
    <w:rsid w:val="009D54FD"/>
    <w:rsid w:val="009D62C3"/>
    <w:rsid w:val="009D6549"/>
    <w:rsid w:val="009D676A"/>
    <w:rsid w:val="009D7916"/>
    <w:rsid w:val="009E282D"/>
    <w:rsid w:val="009E2C90"/>
    <w:rsid w:val="009E4AD9"/>
    <w:rsid w:val="009E51F4"/>
    <w:rsid w:val="009E6ADF"/>
    <w:rsid w:val="009E7D58"/>
    <w:rsid w:val="009F14D5"/>
    <w:rsid w:val="009F18B0"/>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C97"/>
    <w:rsid w:val="00A02ECE"/>
    <w:rsid w:val="00A0300B"/>
    <w:rsid w:val="00A059F2"/>
    <w:rsid w:val="00A05FF9"/>
    <w:rsid w:val="00A06B61"/>
    <w:rsid w:val="00A10F02"/>
    <w:rsid w:val="00A10F0A"/>
    <w:rsid w:val="00A11623"/>
    <w:rsid w:val="00A119B7"/>
    <w:rsid w:val="00A12DF2"/>
    <w:rsid w:val="00A15377"/>
    <w:rsid w:val="00A15901"/>
    <w:rsid w:val="00A162C3"/>
    <w:rsid w:val="00A16B92"/>
    <w:rsid w:val="00A1796E"/>
    <w:rsid w:val="00A17A00"/>
    <w:rsid w:val="00A17BE1"/>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1D7A"/>
    <w:rsid w:val="00A534FE"/>
    <w:rsid w:val="00A53724"/>
    <w:rsid w:val="00A5418C"/>
    <w:rsid w:val="00A54F14"/>
    <w:rsid w:val="00A556C2"/>
    <w:rsid w:val="00A559AA"/>
    <w:rsid w:val="00A567D5"/>
    <w:rsid w:val="00A57C56"/>
    <w:rsid w:val="00A61035"/>
    <w:rsid w:val="00A62ABC"/>
    <w:rsid w:val="00A63A83"/>
    <w:rsid w:val="00A63C65"/>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5FCC"/>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B7C29"/>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D3C"/>
    <w:rsid w:val="00AE7FA7"/>
    <w:rsid w:val="00AF00A7"/>
    <w:rsid w:val="00AF1369"/>
    <w:rsid w:val="00AF39D7"/>
    <w:rsid w:val="00AF632F"/>
    <w:rsid w:val="00AF7A4E"/>
    <w:rsid w:val="00B00E44"/>
    <w:rsid w:val="00B014E7"/>
    <w:rsid w:val="00B01511"/>
    <w:rsid w:val="00B032D3"/>
    <w:rsid w:val="00B04067"/>
    <w:rsid w:val="00B04178"/>
    <w:rsid w:val="00B0476F"/>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9A1"/>
    <w:rsid w:val="00B21B86"/>
    <w:rsid w:val="00B2302E"/>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3F79"/>
    <w:rsid w:val="00B4450A"/>
    <w:rsid w:val="00B45677"/>
    <w:rsid w:val="00B45B9F"/>
    <w:rsid w:val="00B45CE9"/>
    <w:rsid w:val="00B46FB6"/>
    <w:rsid w:val="00B47C2C"/>
    <w:rsid w:val="00B50CED"/>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3FF4"/>
    <w:rsid w:val="00B64962"/>
    <w:rsid w:val="00B700DB"/>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6A89"/>
    <w:rsid w:val="00BD78DE"/>
    <w:rsid w:val="00BE0A49"/>
    <w:rsid w:val="00BE1E53"/>
    <w:rsid w:val="00BE1E5D"/>
    <w:rsid w:val="00BE2C47"/>
    <w:rsid w:val="00BE360E"/>
    <w:rsid w:val="00BE52E9"/>
    <w:rsid w:val="00BE58A0"/>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41C"/>
    <w:rsid w:val="00C04BB0"/>
    <w:rsid w:val="00C04C15"/>
    <w:rsid w:val="00C05F33"/>
    <w:rsid w:val="00C0746B"/>
    <w:rsid w:val="00C074AF"/>
    <w:rsid w:val="00C10FC8"/>
    <w:rsid w:val="00C113F1"/>
    <w:rsid w:val="00C12393"/>
    <w:rsid w:val="00C126C2"/>
    <w:rsid w:val="00C129EA"/>
    <w:rsid w:val="00C12DFA"/>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5E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368"/>
    <w:rsid w:val="00C5652F"/>
    <w:rsid w:val="00C57F90"/>
    <w:rsid w:val="00C60F32"/>
    <w:rsid w:val="00C61DC9"/>
    <w:rsid w:val="00C63DFE"/>
    <w:rsid w:val="00C6426E"/>
    <w:rsid w:val="00C6458C"/>
    <w:rsid w:val="00C659C6"/>
    <w:rsid w:val="00C70322"/>
    <w:rsid w:val="00C7060D"/>
    <w:rsid w:val="00C706A4"/>
    <w:rsid w:val="00C71C22"/>
    <w:rsid w:val="00C72514"/>
    <w:rsid w:val="00C75038"/>
    <w:rsid w:val="00C779B4"/>
    <w:rsid w:val="00C77A67"/>
    <w:rsid w:val="00C8052C"/>
    <w:rsid w:val="00C81843"/>
    <w:rsid w:val="00C8185D"/>
    <w:rsid w:val="00C820BD"/>
    <w:rsid w:val="00C82EE8"/>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2B5"/>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0D2D"/>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4BB8"/>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1D1"/>
    <w:rsid w:val="00D41E58"/>
    <w:rsid w:val="00D42254"/>
    <w:rsid w:val="00D42E0A"/>
    <w:rsid w:val="00D430F5"/>
    <w:rsid w:val="00D43866"/>
    <w:rsid w:val="00D43E63"/>
    <w:rsid w:val="00D442A1"/>
    <w:rsid w:val="00D44601"/>
    <w:rsid w:val="00D45E4B"/>
    <w:rsid w:val="00D45E5F"/>
    <w:rsid w:val="00D47133"/>
    <w:rsid w:val="00D474C5"/>
    <w:rsid w:val="00D47558"/>
    <w:rsid w:val="00D52163"/>
    <w:rsid w:val="00D52B48"/>
    <w:rsid w:val="00D53EDF"/>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3BA"/>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4FB"/>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945"/>
    <w:rsid w:val="00DB2042"/>
    <w:rsid w:val="00DB28ED"/>
    <w:rsid w:val="00DB2904"/>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674"/>
    <w:rsid w:val="00DD4B22"/>
    <w:rsid w:val="00DD591B"/>
    <w:rsid w:val="00DD6A01"/>
    <w:rsid w:val="00DE09ED"/>
    <w:rsid w:val="00DE0A6A"/>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51A2"/>
    <w:rsid w:val="00E2572E"/>
    <w:rsid w:val="00E26110"/>
    <w:rsid w:val="00E3007F"/>
    <w:rsid w:val="00E31BED"/>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1F9"/>
    <w:rsid w:val="00E72477"/>
    <w:rsid w:val="00E7296E"/>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C09"/>
    <w:rsid w:val="00EB2D99"/>
    <w:rsid w:val="00EB3DBE"/>
    <w:rsid w:val="00EB4378"/>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0E7A"/>
    <w:rsid w:val="00EE134F"/>
    <w:rsid w:val="00EE2163"/>
    <w:rsid w:val="00EE2FDF"/>
    <w:rsid w:val="00EE3405"/>
    <w:rsid w:val="00EE3A30"/>
    <w:rsid w:val="00EE3EAE"/>
    <w:rsid w:val="00EE42BE"/>
    <w:rsid w:val="00EE4335"/>
    <w:rsid w:val="00EE498C"/>
    <w:rsid w:val="00EE5BB5"/>
    <w:rsid w:val="00EF0528"/>
    <w:rsid w:val="00EF18AF"/>
    <w:rsid w:val="00EF1C76"/>
    <w:rsid w:val="00EF28BE"/>
    <w:rsid w:val="00EF46DA"/>
    <w:rsid w:val="00EF546E"/>
    <w:rsid w:val="00EF5DEB"/>
    <w:rsid w:val="00EF68E6"/>
    <w:rsid w:val="00EF7149"/>
    <w:rsid w:val="00EF7157"/>
    <w:rsid w:val="00EF7572"/>
    <w:rsid w:val="00EF7597"/>
    <w:rsid w:val="00EF78A5"/>
    <w:rsid w:val="00EF7CC1"/>
    <w:rsid w:val="00F01594"/>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2EBA"/>
    <w:rsid w:val="00F339A6"/>
    <w:rsid w:val="00F3430F"/>
    <w:rsid w:val="00F35927"/>
    <w:rsid w:val="00F37743"/>
    <w:rsid w:val="00F40E29"/>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1F93"/>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2D6F"/>
    <w:rsid w:val="00FF4399"/>
    <w:rsid w:val="00FF48B9"/>
    <w:rsid w:val="00FF4EC3"/>
    <w:rsid w:val="00FF6766"/>
    <w:rsid w:val="00FF6AB8"/>
    <w:rsid w:val="00FF6D35"/>
    <w:rsid w:val="00FF6DD6"/>
    <w:rsid w:val="00FF76E7"/>
    <w:rsid w:val="02257ED0"/>
    <w:rsid w:val="02784097"/>
    <w:rsid w:val="03AE1251"/>
    <w:rsid w:val="03F70F0C"/>
    <w:rsid w:val="041F7ED2"/>
    <w:rsid w:val="04FE73E6"/>
    <w:rsid w:val="0621048A"/>
    <w:rsid w:val="06CB7731"/>
    <w:rsid w:val="073161DB"/>
    <w:rsid w:val="073C64C9"/>
    <w:rsid w:val="07911F98"/>
    <w:rsid w:val="07A03105"/>
    <w:rsid w:val="07AE2415"/>
    <w:rsid w:val="07BD6A2C"/>
    <w:rsid w:val="08C747EE"/>
    <w:rsid w:val="092E6F1B"/>
    <w:rsid w:val="09775E38"/>
    <w:rsid w:val="09C0652C"/>
    <w:rsid w:val="09DB32C1"/>
    <w:rsid w:val="0A5A722F"/>
    <w:rsid w:val="0B5D0834"/>
    <w:rsid w:val="0BC361E0"/>
    <w:rsid w:val="0CC41B3F"/>
    <w:rsid w:val="0CFE6F00"/>
    <w:rsid w:val="0D196A85"/>
    <w:rsid w:val="0DA46170"/>
    <w:rsid w:val="0DC0547B"/>
    <w:rsid w:val="0EB51830"/>
    <w:rsid w:val="0EFC33DE"/>
    <w:rsid w:val="0F684693"/>
    <w:rsid w:val="0FC84B70"/>
    <w:rsid w:val="110113F5"/>
    <w:rsid w:val="11A64A35"/>
    <w:rsid w:val="11B2676C"/>
    <w:rsid w:val="11E35E9B"/>
    <w:rsid w:val="125A1873"/>
    <w:rsid w:val="12995C93"/>
    <w:rsid w:val="12F25CEC"/>
    <w:rsid w:val="13676A08"/>
    <w:rsid w:val="1368486C"/>
    <w:rsid w:val="14002BC0"/>
    <w:rsid w:val="140E661D"/>
    <w:rsid w:val="14314B49"/>
    <w:rsid w:val="14AB7223"/>
    <w:rsid w:val="15EF151B"/>
    <w:rsid w:val="172C34F6"/>
    <w:rsid w:val="17366BC2"/>
    <w:rsid w:val="1763586C"/>
    <w:rsid w:val="17A07B4A"/>
    <w:rsid w:val="17BF2702"/>
    <w:rsid w:val="185C168F"/>
    <w:rsid w:val="18794111"/>
    <w:rsid w:val="18B30C10"/>
    <w:rsid w:val="18E4264B"/>
    <w:rsid w:val="18F87516"/>
    <w:rsid w:val="18F94399"/>
    <w:rsid w:val="19CD0042"/>
    <w:rsid w:val="1A2868F5"/>
    <w:rsid w:val="1B2B4766"/>
    <w:rsid w:val="1B7D3BC2"/>
    <w:rsid w:val="1D6073A9"/>
    <w:rsid w:val="1D7555AF"/>
    <w:rsid w:val="1DD9707A"/>
    <w:rsid w:val="1DDB17FB"/>
    <w:rsid w:val="1E9511BD"/>
    <w:rsid w:val="1FE864E5"/>
    <w:rsid w:val="20332511"/>
    <w:rsid w:val="208A5076"/>
    <w:rsid w:val="21BC4401"/>
    <w:rsid w:val="220556BB"/>
    <w:rsid w:val="22884A05"/>
    <w:rsid w:val="236C7C03"/>
    <w:rsid w:val="246A6FF7"/>
    <w:rsid w:val="248B3114"/>
    <w:rsid w:val="24D32AB9"/>
    <w:rsid w:val="24D43B95"/>
    <w:rsid w:val="25113BF1"/>
    <w:rsid w:val="2536579D"/>
    <w:rsid w:val="253A246C"/>
    <w:rsid w:val="25BD0469"/>
    <w:rsid w:val="25C048C7"/>
    <w:rsid w:val="25D655D1"/>
    <w:rsid w:val="25FC6684"/>
    <w:rsid w:val="26430DED"/>
    <w:rsid w:val="267C30D5"/>
    <w:rsid w:val="268B7ACC"/>
    <w:rsid w:val="275F178E"/>
    <w:rsid w:val="2A4547E5"/>
    <w:rsid w:val="2D8F545C"/>
    <w:rsid w:val="2DAC7018"/>
    <w:rsid w:val="2F507D2C"/>
    <w:rsid w:val="30696F79"/>
    <w:rsid w:val="32425D76"/>
    <w:rsid w:val="32911E02"/>
    <w:rsid w:val="33242675"/>
    <w:rsid w:val="338F2383"/>
    <w:rsid w:val="347F4E66"/>
    <w:rsid w:val="35DF1FAE"/>
    <w:rsid w:val="35F461C0"/>
    <w:rsid w:val="36763A93"/>
    <w:rsid w:val="36C83AF0"/>
    <w:rsid w:val="36CE6D51"/>
    <w:rsid w:val="374C62C8"/>
    <w:rsid w:val="37E30F78"/>
    <w:rsid w:val="391D0C50"/>
    <w:rsid w:val="398556DC"/>
    <w:rsid w:val="3AEE2F30"/>
    <w:rsid w:val="3BC20A51"/>
    <w:rsid w:val="3C365EE9"/>
    <w:rsid w:val="3D6078DB"/>
    <w:rsid w:val="3DE83766"/>
    <w:rsid w:val="3E357839"/>
    <w:rsid w:val="3F561687"/>
    <w:rsid w:val="3FDB7A19"/>
    <w:rsid w:val="3FF77441"/>
    <w:rsid w:val="40707320"/>
    <w:rsid w:val="4163361D"/>
    <w:rsid w:val="42780119"/>
    <w:rsid w:val="427F0E5D"/>
    <w:rsid w:val="42CC5625"/>
    <w:rsid w:val="42ED415A"/>
    <w:rsid w:val="45864797"/>
    <w:rsid w:val="45FA7A24"/>
    <w:rsid w:val="47987880"/>
    <w:rsid w:val="48224DAB"/>
    <w:rsid w:val="49AA085A"/>
    <w:rsid w:val="49E27684"/>
    <w:rsid w:val="4A1F2366"/>
    <w:rsid w:val="4A686320"/>
    <w:rsid w:val="4ABD16FD"/>
    <w:rsid w:val="4ADC08C7"/>
    <w:rsid w:val="4C3E7B26"/>
    <w:rsid w:val="4D0F0ADB"/>
    <w:rsid w:val="4D8F3917"/>
    <w:rsid w:val="4D9F3C41"/>
    <w:rsid w:val="4DDC7179"/>
    <w:rsid w:val="4E6178D7"/>
    <w:rsid w:val="4ECD292C"/>
    <w:rsid w:val="516E1AB0"/>
    <w:rsid w:val="53036147"/>
    <w:rsid w:val="5475359D"/>
    <w:rsid w:val="55A96EB6"/>
    <w:rsid w:val="576639AF"/>
    <w:rsid w:val="57D8599B"/>
    <w:rsid w:val="57F11C90"/>
    <w:rsid w:val="58C709C7"/>
    <w:rsid w:val="59516AE4"/>
    <w:rsid w:val="59E53934"/>
    <w:rsid w:val="5AC855D1"/>
    <w:rsid w:val="5B715A14"/>
    <w:rsid w:val="5BC72632"/>
    <w:rsid w:val="5CD530DD"/>
    <w:rsid w:val="5DAC78BD"/>
    <w:rsid w:val="5E011291"/>
    <w:rsid w:val="5E176D11"/>
    <w:rsid w:val="5F3C5A50"/>
    <w:rsid w:val="5FAA3AFF"/>
    <w:rsid w:val="608C3047"/>
    <w:rsid w:val="60BC64BA"/>
    <w:rsid w:val="621208C4"/>
    <w:rsid w:val="64B63930"/>
    <w:rsid w:val="65035E58"/>
    <w:rsid w:val="66A1736D"/>
    <w:rsid w:val="66FA76B7"/>
    <w:rsid w:val="67D469E8"/>
    <w:rsid w:val="693904AE"/>
    <w:rsid w:val="69FC553A"/>
    <w:rsid w:val="6C953C26"/>
    <w:rsid w:val="6CB30F73"/>
    <w:rsid w:val="6CE56D35"/>
    <w:rsid w:val="6D0C14E7"/>
    <w:rsid w:val="6D0D2E79"/>
    <w:rsid w:val="6F4E07BB"/>
    <w:rsid w:val="6F6E6976"/>
    <w:rsid w:val="6F927898"/>
    <w:rsid w:val="6FBA4418"/>
    <w:rsid w:val="717B4B42"/>
    <w:rsid w:val="73130FCF"/>
    <w:rsid w:val="734E1468"/>
    <w:rsid w:val="73A2151E"/>
    <w:rsid w:val="74F035CC"/>
    <w:rsid w:val="75685890"/>
    <w:rsid w:val="757D61B4"/>
    <w:rsid w:val="7620778A"/>
    <w:rsid w:val="76FD4773"/>
    <w:rsid w:val="77766494"/>
    <w:rsid w:val="78224DFE"/>
    <w:rsid w:val="78822DFA"/>
    <w:rsid w:val="79045A52"/>
    <w:rsid w:val="7A475FE2"/>
    <w:rsid w:val="7A5C56EE"/>
    <w:rsid w:val="7A764D71"/>
    <w:rsid w:val="7BBA1C34"/>
    <w:rsid w:val="7C8B67E2"/>
    <w:rsid w:val="7CA10985"/>
    <w:rsid w:val="7CBA1A82"/>
    <w:rsid w:val="7D281AA9"/>
    <w:rsid w:val="7D450CEE"/>
    <w:rsid w:val="7E2474A5"/>
    <w:rsid w:val="7E8024AF"/>
    <w:rsid w:val="7EDB4E83"/>
    <w:rsid w:val="7F375D38"/>
    <w:rsid w:val="7FB817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0" w:name="page number"/>
    <w:lsdException w:uiPriority="99" w:name="endnote reference"/>
    <w:lsdException w:uiPriority="99" w:name="endnote text"/>
    <w:lsdException w:uiPriority="0" w:name="table of authorities"/>
    <w:lsdException w:uiPriority="99" w:name="macro"/>
    <w:lsdException w:uiPriority="0" w:name="toa heading"/>
    <w:lsdException w:qFormat="1" w:unhideWhenUsed="0" w:uiPriority="0" w:semiHidden="0" w:name="List"/>
    <w:lsdException w:uiPriority="99" w:name="List Bullet"/>
    <w:lsdException w:unhideWhenUsed="0" w:uiPriority="99" w:semiHidden="0" w:name="List Number"/>
    <w:lsdException w:qFormat="1" w:unhideWhenUsed="0" w:uiPriority="0" w:semiHidden="0" w:name="List 2"/>
    <w:lsdException w:uiPriority="99" w:name="List 3"/>
    <w:lsdException w:unhideWhenUsed="0" w:uiPriority="99" w:semiHidden="0" w:name="List 4"/>
    <w:lsdException w:unhideWhenUsed="0"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1"/>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76"/>
    <w:qFormat/>
    <w:uiPriority w:val="1"/>
    <w:pPr>
      <w:numPr>
        <w:ilvl w:val="1"/>
      </w:numPr>
      <w:pBdr>
        <w:top w:val="none" w:color="auto" w:sz="0" w:space="0"/>
      </w:pBdr>
      <w:spacing w:before="180"/>
      <w:outlineLvl w:val="1"/>
    </w:pPr>
    <w:rPr>
      <w:sz w:val="32"/>
    </w:rPr>
  </w:style>
  <w:style w:type="paragraph" w:styleId="4">
    <w:name w:val="heading 3"/>
    <w:basedOn w:val="3"/>
    <w:next w:val="1"/>
    <w:qFormat/>
    <w:uiPriority w:val="1"/>
    <w:pPr>
      <w:numPr>
        <w:ilvl w:val="2"/>
      </w:numPr>
      <w:spacing w:before="120"/>
      <w:outlineLvl w:val="2"/>
    </w:pPr>
    <w:rPr>
      <w:sz w:val="28"/>
    </w:rPr>
  </w:style>
  <w:style w:type="paragraph" w:styleId="5">
    <w:name w:val="heading 4"/>
    <w:basedOn w:val="4"/>
    <w:next w:val="1"/>
    <w:qFormat/>
    <w:uiPriority w:val="1"/>
    <w:pPr>
      <w:numPr>
        <w:ilvl w:val="3"/>
      </w:numPr>
      <w:outlineLvl w:val="3"/>
    </w:pPr>
    <w:rPr>
      <w:sz w:val="24"/>
    </w:rPr>
  </w:style>
  <w:style w:type="paragraph" w:styleId="6">
    <w:name w:val="heading 5"/>
    <w:basedOn w:val="5"/>
    <w:next w:val="1"/>
    <w:qFormat/>
    <w:uiPriority w:val="1"/>
    <w:pPr>
      <w:numPr>
        <w:ilvl w:val="4"/>
      </w:numPr>
      <w:outlineLvl w:val="4"/>
    </w:pPr>
    <w:rPr>
      <w:sz w:val="22"/>
    </w:rPr>
  </w:style>
  <w:style w:type="paragraph" w:styleId="7">
    <w:name w:val="heading 6"/>
    <w:basedOn w:val="8"/>
    <w:next w:val="1"/>
    <w:qFormat/>
    <w:uiPriority w:val="1"/>
    <w:pPr>
      <w:numPr>
        <w:ilvl w:val="5"/>
      </w:numPr>
      <w:outlineLvl w:val="5"/>
    </w:pPr>
  </w:style>
  <w:style w:type="paragraph" w:styleId="9">
    <w:name w:val="heading 7"/>
    <w:basedOn w:val="8"/>
    <w:next w:val="1"/>
    <w:qFormat/>
    <w:uiPriority w:val="1"/>
    <w:pPr>
      <w:numPr>
        <w:ilvl w:val="6"/>
      </w:numPr>
      <w:outlineLvl w:val="6"/>
    </w:pPr>
  </w:style>
  <w:style w:type="paragraph" w:styleId="10">
    <w:name w:val="heading 8"/>
    <w:basedOn w:val="2"/>
    <w:next w:val="1"/>
    <w:qFormat/>
    <w:uiPriority w:val="1"/>
    <w:pPr>
      <w:numPr>
        <w:ilvl w:val="7"/>
      </w:numPr>
      <w:outlineLvl w:val="7"/>
    </w:pPr>
  </w:style>
  <w:style w:type="paragraph" w:styleId="11">
    <w:name w:val="heading 9"/>
    <w:basedOn w:val="10"/>
    <w:next w:val="1"/>
    <w:qFormat/>
    <w:uiPriority w:val="1"/>
    <w:pPr>
      <w:numPr>
        <w:ilvl w:val="8"/>
      </w:num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semiHidden/>
    <w:qFormat/>
    <w:uiPriority w:val="99"/>
    <w:pPr>
      <w:tabs>
        <w:tab w:val="right" w:leader="dot" w:pos="9639"/>
      </w:tabs>
      <w:ind w:left="2268" w:hanging="2268"/>
    </w:pPr>
  </w:style>
  <w:style w:type="paragraph" w:styleId="13">
    <w:name w:val="toc 6"/>
    <w:basedOn w:val="14"/>
    <w:next w:val="1"/>
    <w:semiHidden/>
    <w:qFormat/>
    <w:uiPriority w:val="99"/>
    <w:pPr>
      <w:tabs>
        <w:tab w:val="right" w:leader="dot" w:pos="9639"/>
      </w:tabs>
      <w:ind w:left="1985" w:hanging="1985"/>
    </w:pPr>
  </w:style>
  <w:style w:type="paragraph" w:styleId="14">
    <w:name w:val="toc 5"/>
    <w:basedOn w:val="15"/>
    <w:next w:val="1"/>
    <w:semiHidden/>
    <w:qFormat/>
    <w:uiPriority w:val="99"/>
    <w:pPr>
      <w:tabs>
        <w:tab w:val="right" w:leader="dot" w:pos="9639"/>
      </w:tabs>
      <w:ind w:left="1701" w:hanging="1701"/>
    </w:pPr>
  </w:style>
  <w:style w:type="paragraph" w:styleId="15">
    <w:name w:val="toc 4"/>
    <w:basedOn w:val="16"/>
    <w:next w:val="1"/>
    <w:semiHidden/>
    <w:qFormat/>
    <w:uiPriority w:val="99"/>
    <w:pPr>
      <w:tabs>
        <w:tab w:val="right" w:leader="dot" w:pos="9639"/>
      </w:tabs>
      <w:ind w:left="1418" w:hanging="1418"/>
    </w:pPr>
  </w:style>
  <w:style w:type="paragraph" w:styleId="16">
    <w:name w:val="toc 3"/>
    <w:basedOn w:val="17"/>
    <w:next w:val="1"/>
    <w:semiHidden/>
    <w:qFormat/>
    <w:uiPriority w:val="99"/>
    <w:pPr>
      <w:tabs>
        <w:tab w:val="right" w:leader="dot" w:pos="9639"/>
      </w:tabs>
      <w:ind w:left="1134" w:hanging="1134"/>
    </w:pPr>
  </w:style>
  <w:style w:type="paragraph" w:styleId="17">
    <w:name w:val="toc 2"/>
    <w:basedOn w:val="18"/>
    <w:next w:val="1"/>
    <w:semiHidden/>
    <w:qFormat/>
    <w:uiPriority w:val="99"/>
    <w:pPr>
      <w:keepNext w:val="0"/>
      <w:tabs>
        <w:tab w:val="right" w:leader="dot" w:pos="9639"/>
      </w:tabs>
      <w:spacing w:before="0"/>
      <w:ind w:left="851" w:hanging="851"/>
    </w:pPr>
    <w:rPr>
      <w:sz w:val="20"/>
    </w:rPr>
  </w:style>
  <w:style w:type="paragraph" w:styleId="18">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qFormat/>
    <w:uiPriority w:val="99"/>
    <w:rPr>
      <w:b/>
      <w:bCs/>
    </w:rPr>
  </w:style>
  <w:style w:type="paragraph" w:styleId="20">
    <w:name w:val="Document Map"/>
    <w:basedOn w:val="1"/>
    <w:link w:val="75"/>
    <w:qFormat/>
    <w:uiPriority w:val="99"/>
    <w:rPr>
      <w:rFonts w:ascii="Tahoma" w:hAnsi="Tahoma"/>
      <w:sz w:val="16"/>
      <w:szCs w:val="16"/>
    </w:rPr>
  </w:style>
  <w:style w:type="paragraph" w:styleId="21">
    <w:name w:val="annotation text"/>
    <w:basedOn w:val="1"/>
    <w:link w:val="77"/>
    <w:qFormat/>
    <w:uiPriority w:val="99"/>
  </w:style>
  <w:style w:type="paragraph" w:styleId="22">
    <w:name w:val="Body Text"/>
    <w:basedOn w:val="1"/>
    <w:link w:val="87"/>
    <w:qFormat/>
    <w:uiPriority w:val="0"/>
    <w:pPr>
      <w:spacing w:after="120"/>
    </w:pPr>
    <w:rPr>
      <w:rFonts w:ascii="Times New Roman" w:hAnsi="Times New Roman" w:eastAsia="MS Mincho"/>
      <w:szCs w:val="24"/>
      <w:lang w:val="en-US"/>
    </w:rPr>
  </w:style>
  <w:style w:type="paragraph" w:styleId="23">
    <w:name w:val="List 2"/>
    <w:basedOn w:val="24"/>
    <w:qFormat/>
    <w:uiPriority w:val="0"/>
    <w:pPr>
      <w:ind w:left="851"/>
    </w:pPr>
  </w:style>
  <w:style w:type="paragraph" w:styleId="24">
    <w:name w:val="List"/>
    <w:basedOn w:val="1"/>
    <w:qFormat/>
    <w:uiPriority w:val="0"/>
    <w:pPr>
      <w:ind w:left="568" w:hanging="284"/>
    </w:pPr>
  </w:style>
  <w:style w:type="paragraph" w:styleId="25">
    <w:name w:val="toc 8"/>
    <w:basedOn w:val="18"/>
    <w:next w:val="1"/>
    <w:semiHidden/>
    <w:qFormat/>
    <w:uiPriority w:val="99"/>
    <w:pPr>
      <w:spacing w:before="180"/>
      <w:ind w:left="2693" w:hanging="2693"/>
    </w:pPr>
    <w:rPr>
      <w:b/>
    </w:rPr>
  </w:style>
  <w:style w:type="paragraph" w:styleId="26">
    <w:name w:val="Balloon Text"/>
    <w:basedOn w:val="1"/>
    <w:link w:val="74"/>
    <w:qFormat/>
    <w:uiPriority w:val="99"/>
    <w:pPr>
      <w:spacing w:after="0"/>
    </w:pPr>
    <w:rPr>
      <w:rFonts w:ascii="Segoe UI" w:hAnsi="Segoe UI"/>
      <w:sz w:val="18"/>
      <w:szCs w:val="18"/>
    </w:rPr>
  </w:style>
  <w:style w:type="paragraph" w:styleId="27">
    <w:name w:val="footer"/>
    <w:basedOn w:val="28"/>
    <w:qFormat/>
    <w:uiPriority w:val="99"/>
    <w:pPr>
      <w:jc w:val="center"/>
    </w:pPr>
    <w:rPr>
      <w:i/>
    </w:rPr>
  </w:style>
  <w:style w:type="paragraph" w:styleId="28">
    <w:name w:val="header"/>
    <w:basedOn w:val="1"/>
    <w:link w:val="71"/>
    <w:qFormat/>
    <w:uiPriority w:val="99"/>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9">
    <w:name w:val="toc 9"/>
    <w:basedOn w:val="25"/>
    <w:next w:val="1"/>
    <w:semiHidden/>
    <w:qFormat/>
    <w:uiPriority w:val="99"/>
    <w:pPr>
      <w:ind w:left="1418" w:hanging="1418"/>
    </w:pPr>
  </w:style>
  <w:style w:type="paragraph" w:styleId="30">
    <w:name w:val="annotation subject"/>
    <w:basedOn w:val="21"/>
    <w:next w:val="21"/>
    <w:link w:val="78"/>
    <w:qFormat/>
    <w:uiPriority w:val="99"/>
    <w:rPr>
      <w:b/>
      <w:bCs/>
    </w:rPr>
  </w:style>
  <w:style w:type="table" w:styleId="32">
    <w:name w:val="Table Grid"/>
    <w:basedOn w:val="31"/>
    <w:qFormat/>
    <w:uiPriority w:val="39"/>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Hyperlink"/>
    <w:qFormat/>
    <w:uiPriority w:val="99"/>
    <w:rPr>
      <w:color w:val="0000FF"/>
      <w:u w:val="single"/>
    </w:rPr>
  </w:style>
  <w:style w:type="character" w:styleId="35">
    <w:name w:val="annotation reference"/>
    <w:qFormat/>
    <w:uiPriority w:val="99"/>
    <w:rPr>
      <w:sz w:val="21"/>
      <w:szCs w:val="21"/>
    </w:rPr>
  </w:style>
  <w:style w:type="paragraph" w:customStyle="1" w:styleId="36">
    <w:name w:val="EQ"/>
    <w:basedOn w:val="1"/>
    <w:next w:val="1"/>
    <w:qFormat/>
    <w:uiPriority w:val="99"/>
    <w:pPr>
      <w:keepLines/>
      <w:tabs>
        <w:tab w:val="center" w:pos="4536"/>
        <w:tab w:val="right" w:pos="9072"/>
      </w:tabs>
    </w:pPr>
  </w:style>
  <w:style w:type="character" w:customStyle="1" w:styleId="37">
    <w:name w:val="ZGSM"/>
    <w:qFormat/>
    <w:uiPriority w:val="0"/>
  </w:style>
  <w:style w:type="paragraph" w:customStyle="1" w:styleId="38">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39">
    <w:name w:val="TT"/>
    <w:basedOn w:val="2"/>
    <w:next w:val="1"/>
    <w:qFormat/>
    <w:uiPriority w:val="99"/>
    <w:pPr>
      <w:outlineLvl w:val="9"/>
    </w:pPr>
  </w:style>
  <w:style w:type="paragraph" w:customStyle="1" w:styleId="40">
    <w:name w:val="NF"/>
    <w:basedOn w:val="41"/>
    <w:qFormat/>
    <w:uiPriority w:val="99"/>
    <w:pPr>
      <w:keepNext/>
      <w:spacing w:after="0"/>
    </w:pPr>
    <w:rPr>
      <w:sz w:val="18"/>
    </w:rPr>
  </w:style>
  <w:style w:type="paragraph" w:customStyle="1" w:styleId="41">
    <w:name w:val="NO"/>
    <w:basedOn w:val="1"/>
    <w:link w:val="94"/>
    <w:qFormat/>
    <w:uiPriority w:val="0"/>
    <w:pPr>
      <w:keepLines/>
      <w:ind w:left="1135" w:hanging="851"/>
    </w:pPr>
  </w:style>
  <w:style w:type="paragraph" w:customStyle="1" w:styleId="42">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3">
    <w:name w:val="TAR"/>
    <w:basedOn w:val="44"/>
    <w:qFormat/>
    <w:uiPriority w:val="99"/>
    <w:pPr>
      <w:jc w:val="right"/>
    </w:pPr>
  </w:style>
  <w:style w:type="paragraph" w:customStyle="1" w:styleId="44">
    <w:name w:val="TAL"/>
    <w:basedOn w:val="1"/>
    <w:link w:val="98"/>
    <w:qFormat/>
    <w:uiPriority w:val="0"/>
    <w:pPr>
      <w:keepNext/>
      <w:keepLines/>
      <w:spacing w:after="0"/>
    </w:pPr>
    <w:rPr>
      <w:sz w:val="18"/>
    </w:rPr>
  </w:style>
  <w:style w:type="paragraph" w:customStyle="1" w:styleId="45">
    <w:name w:val="TAH"/>
    <w:basedOn w:val="46"/>
    <w:qFormat/>
    <w:uiPriority w:val="99"/>
    <w:rPr>
      <w:b/>
    </w:rPr>
  </w:style>
  <w:style w:type="paragraph" w:customStyle="1" w:styleId="46">
    <w:name w:val="TAC"/>
    <w:basedOn w:val="44"/>
    <w:qFormat/>
    <w:uiPriority w:val="99"/>
    <w:pPr>
      <w:jc w:val="center"/>
    </w:pPr>
  </w:style>
  <w:style w:type="paragraph" w:customStyle="1" w:styleId="47">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48">
    <w:name w:val="EX"/>
    <w:basedOn w:val="1"/>
    <w:qFormat/>
    <w:uiPriority w:val="99"/>
    <w:pPr>
      <w:keepLines/>
      <w:ind w:left="1702" w:hanging="1418"/>
    </w:pPr>
  </w:style>
  <w:style w:type="paragraph" w:customStyle="1" w:styleId="49">
    <w:name w:val="FP"/>
    <w:basedOn w:val="1"/>
    <w:qFormat/>
    <w:uiPriority w:val="99"/>
    <w:pPr>
      <w:spacing w:after="0"/>
    </w:pPr>
  </w:style>
  <w:style w:type="paragraph" w:customStyle="1" w:styleId="50">
    <w:name w:val="NW"/>
    <w:basedOn w:val="41"/>
    <w:qFormat/>
    <w:uiPriority w:val="99"/>
    <w:pPr>
      <w:spacing w:after="0"/>
    </w:pPr>
  </w:style>
  <w:style w:type="paragraph" w:customStyle="1" w:styleId="51">
    <w:name w:val="EW"/>
    <w:basedOn w:val="48"/>
    <w:qFormat/>
    <w:uiPriority w:val="99"/>
    <w:pPr>
      <w:spacing w:after="0"/>
    </w:pPr>
  </w:style>
  <w:style w:type="paragraph" w:customStyle="1" w:styleId="52">
    <w:name w:val="B1"/>
    <w:basedOn w:val="24"/>
    <w:link w:val="85"/>
    <w:qFormat/>
    <w:uiPriority w:val="0"/>
    <w:pPr>
      <w:ind w:left="568" w:hanging="284"/>
    </w:pPr>
  </w:style>
  <w:style w:type="paragraph" w:customStyle="1" w:styleId="53">
    <w:name w:val="Editor's Note"/>
    <w:basedOn w:val="41"/>
    <w:link w:val="90"/>
    <w:qFormat/>
    <w:uiPriority w:val="0"/>
    <w:rPr>
      <w:color w:val="FF0000"/>
    </w:rPr>
  </w:style>
  <w:style w:type="paragraph" w:customStyle="1" w:styleId="54">
    <w:name w:val="TH"/>
    <w:basedOn w:val="1"/>
    <w:qFormat/>
    <w:uiPriority w:val="99"/>
    <w:pPr>
      <w:keepNext/>
      <w:keepLines/>
      <w:spacing w:before="60"/>
      <w:jc w:val="center"/>
    </w:pPr>
    <w:rPr>
      <w:b/>
    </w:rPr>
  </w:style>
  <w:style w:type="paragraph" w:customStyle="1" w:styleId="55">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6">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7">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9">
    <w:name w:val="TAN"/>
    <w:basedOn w:val="44"/>
    <w:qFormat/>
    <w:uiPriority w:val="99"/>
    <w:pPr>
      <w:ind w:left="851" w:hanging="851"/>
    </w:pPr>
  </w:style>
  <w:style w:type="paragraph" w:customStyle="1" w:styleId="60">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F"/>
    <w:basedOn w:val="54"/>
    <w:qFormat/>
    <w:uiPriority w:val="99"/>
    <w:pPr>
      <w:keepNext w:val="0"/>
      <w:spacing w:before="0" w:after="240"/>
    </w:pPr>
  </w:style>
  <w:style w:type="paragraph" w:customStyle="1" w:styleId="62">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3">
    <w:name w:val="B2"/>
    <w:basedOn w:val="23"/>
    <w:link w:val="92"/>
    <w:qFormat/>
    <w:uiPriority w:val="0"/>
    <w:pPr>
      <w:ind w:left="851" w:hanging="284"/>
    </w:pPr>
  </w:style>
  <w:style w:type="paragraph" w:customStyle="1" w:styleId="64">
    <w:name w:val="B3"/>
    <w:basedOn w:val="1"/>
    <w:link w:val="96"/>
    <w:qFormat/>
    <w:uiPriority w:val="0"/>
    <w:pPr>
      <w:ind w:left="1135" w:hanging="284"/>
    </w:pPr>
  </w:style>
  <w:style w:type="paragraph" w:customStyle="1" w:styleId="65">
    <w:name w:val="B4"/>
    <w:basedOn w:val="1"/>
    <w:link w:val="97"/>
    <w:qFormat/>
    <w:uiPriority w:val="0"/>
    <w:pPr>
      <w:ind w:left="1418" w:hanging="284"/>
    </w:pPr>
  </w:style>
  <w:style w:type="paragraph" w:customStyle="1" w:styleId="66">
    <w:name w:val="B5"/>
    <w:basedOn w:val="1"/>
    <w:qFormat/>
    <w:uiPriority w:val="99"/>
    <w:pPr>
      <w:ind w:left="1702" w:hanging="284"/>
    </w:pPr>
  </w:style>
  <w:style w:type="paragraph" w:customStyle="1" w:styleId="67">
    <w:name w:val="ZTD"/>
    <w:basedOn w:val="56"/>
    <w:qFormat/>
    <w:uiPriority w:val="99"/>
    <w:pPr>
      <w:framePr w:hRule="auto" w:y="852"/>
    </w:pPr>
    <w:rPr>
      <w:i w:val="0"/>
      <w:sz w:val="40"/>
    </w:rPr>
  </w:style>
  <w:style w:type="paragraph" w:customStyle="1" w:styleId="68">
    <w:name w:val="ZV"/>
    <w:basedOn w:val="58"/>
    <w:qFormat/>
    <w:uiPriority w:val="99"/>
    <w:pPr>
      <w:framePr w:y="16161"/>
    </w:pPr>
  </w:style>
  <w:style w:type="paragraph" w:customStyle="1" w:styleId="69">
    <w:name w:val="TAJ"/>
    <w:basedOn w:val="54"/>
    <w:qFormat/>
    <w:uiPriority w:val="99"/>
  </w:style>
  <w:style w:type="paragraph" w:customStyle="1" w:styleId="70">
    <w:name w:val="Guidance"/>
    <w:basedOn w:val="1"/>
    <w:qFormat/>
    <w:uiPriority w:val="99"/>
    <w:rPr>
      <w:i/>
      <w:color w:val="0000FF"/>
    </w:rPr>
  </w:style>
  <w:style w:type="character" w:customStyle="1" w:styleId="71">
    <w:name w:val="页眉 Char"/>
    <w:link w:val="28"/>
    <w:qFormat/>
    <w:uiPriority w:val="99"/>
    <w:rPr>
      <w:rFonts w:ascii="Arial" w:hAnsi="Arial"/>
      <w:b/>
      <w:sz w:val="18"/>
      <w:lang w:val="en-GB" w:eastAsia="ja-JP" w:bidi="ar-SA"/>
    </w:rPr>
  </w:style>
  <w:style w:type="paragraph" w:customStyle="1" w:styleId="72">
    <w:name w:val="CR Cover Page"/>
    <w:qFormat/>
    <w:uiPriority w:val="99"/>
    <w:pPr>
      <w:spacing w:after="120"/>
    </w:pPr>
    <w:rPr>
      <w:rFonts w:ascii="Arial" w:hAnsi="Arial" w:eastAsia="MS Mincho" w:cs="Times New Roman"/>
      <w:lang w:val="en-GB" w:eastAsia="en-US" w:bidi="ar-SA"/>
    </w:rPr>
  </w:style>
  <w:style w:type="paragraph" w:customStyle="1" w:styleId="73">
    <w:name w:val="00 BodyText"/>
    <w:basedOn w:val="1"/>
    <w:qFormat/>
    <w:uiPriority w:val="99"/>
    <w:pPr>
      <w:spacing w:after="220"/>
    </w:pPr>
    <w:rPr>
      <w:sz w:val="22"/>
      <w:lang w:val="en-US"/>
    </w:rPr>
  </w:style>
  <w:style w:type="character" w:customStyle="1" w:styleId="74">
    <w:name w:val="批注框文本 Char"/>
    <w:link w:val="26"/>
    <w:qFormat/>
    <w:uiPriority w:val="99"/>
    <w:rPr>
      <w:rFonts w:ascii="Segoe UI" w:hAnsi="Segoe UI" w:eastAsia="Arial Unicode MS"/>
      <w:sz w:val="18"/>
      <w:szCs w:val="18"/>
      <w:lang w:val="en-GB"/>
    </w:rPr>
  </w:style>
  <w:style w:type="character" w:customStyle="1" w:styleId="75">
    <w:name w:val="文档结构图 Char"/>
    <w:link w:val="20"/>
    <w:qFormat/>
    <w:uiPriority w:val="99"/>
    <w:rPr>
      <w:rFonts w:ascii="Tahoma" w:hAnsi="Tahoma" w:eastAsia="Arial Unicode MS"/>
      <w:sz w:val="16"/>
      <w:szCs w:val="16"/>
      <w:lang w:val="en-GB"/>
    </w:rPr>
  </w:style>
  <w:style w:type="character" w:customStyle="1" w:styleId="76">
    <w:name w:val="标题 2 Char"/>
    <w:link w:val="3"/>
    <w:qFormat/>
    <w:uiPriority w:val="1"/>
    <w:rPr>
      <w:rFonts w:ascii="Arial" w:hAnsi="Arial"/>
      <w:sz w:val="32"/>
      <w:lang w:val="en-GB" w:eastAsia="en-US"/>
    </w:rPr>
  </w:style>
  <w:style w:type="character" w:customStyle="1" w:styleId="77">
    <w:name w:val="批注文字 Char"/>
    <w:link w:val="21"/>
    <w:qFormat/>
    <w:uiPriority w:val="99"/>
    <w:rPr>
      <w:rFonts w:ascii="Arial" w:hAnsi="Arial" w:eastAsia="Arial Unicode MS"/>
      <w:lang w:val="en-GB" w:eastAsia="en-US"/>
    </w:rPr>
  </w:style>
  <w:style w:type="character" w:customStyle="1" w:styleId="78">
    <w:name w:val="批注主题 Char"/>
    <w:link w:val="30"/>
    <w:qFormat/>
    <w:uiPriority w:val="99"/>
    <w:rPr>
      <w:rFonts w:ascii="Arial" w:hAnsi="Arial" w:eastAsia="Arial Unicode MS"/>
      <w:b/>
      <w:bCs/>
      <w:lang w:val="en-GB" w:eastAsia="en-US"/>
    </w:rPr>
  </w:style>
  <w:style w:type="paragraph" w:customStyle="1" w:styleId="79">
    <w:name w:val="彩色底纹 - 强调文字颜色 11"/>
    <w:hidden/>
    <w:qFormat/>
    <w:uiPriority w:val="71"/>
    <w:rPr>
      <w:rFonts w:ascii="Times New Roman" w:hAnsi="Times New Roman" w:eastAsia="宋体" w:cs="Times New Roman"/>
      <w:lang w:val="en-GB" w:eastAsia="en-US" w:bidi="ar-SA"/>
    </w:rPr>
  </w:style>
  <w:style w:type="character" w:styleId="80">
    <w:name w:val="Placeholder Text"/>
    <w:semiHidden/>
    <w:qFormat/>
    <w:uiPriority w:val="99"/>
    <w:rPr>
      <w:color w:val="808080"/>
    </w:rPr>
  </w:style>
  <w:style w:type="paragraph" w:styleId="81">
    <w:name w:val="List Paragraph"/>
    <w:basedOn w:val="1"/>
    <w:link w:val="88"/>
    <w:qFormat/>
    <w:uiPriority w:val="34"/>
    <w:pPr>
      <w:ind w:left="720"/>
      <w:contextualSpacing/>
    </w:pPr>
  </w:style>
  <w:style w:type="character" w:customStyle="1" w:styleId="82">
    <w:name w:val="Doc-text2 Char"/>
    <w:link w:val="83"/>
    <w:qFormat/>
    <w:locked/>
    <w:uiPriority w:val="0"/>
    <w:rPr>
      <w:rFonts w:ascii="Arial" w:hAnsi="Arial" w:eastAsia="MS Mincho" w:cs="Arial"/>
      <w:szCs w:val="24"/>
      <w:lang w:val="en-GB" w:eastAsia="en-GB"/>
    </w:rPr>
  </w:style>
  <w:style w:type="paragraph" w:customStyle="1" w:styleId="83">
    <w:name w:val="Doc-text2"/>
    <w:basedOn w:val="1"/>
    <w:link w:val="82"/>
    <w:qFormat/>
    <w:uiPriority w:val="0"/>
    <w:pPr>
      <w:tabs>
        <w:tab w:val="left" w:pos="1622"/>
      </w:tabs>
      <w:spacing w:after="0"/>
      <w:ind w:left="1622" w:hanging="363"/>
      <w:jc w:val="left"/>
    </w:pPr>
    <w:rPr>
      <w:rFonts w:eastAsia="MS Mincho"/>
      <w:szCs w:val="24"/>
      <w:lang w:eastAsia="en-GB"/>
    </w:rPr>
  </w:style>
  <w:style w:type="paragraph" w:customStyle="1" w:styleId="84">
    <w:name w:val="Revision"/>
    <w:hidden/>
    <w:semiHidden/>
    <w:qFormat/>
    <w:uiPriority w:val="99"/>
    <w:rPr>
      <w:rFonts w:ascii="Arial" w:hAnsi="Arial" w:eastAsia="Arial Unicode MS" w:cs="Times New Roman"/>
      <w:lang w:val="en-GB" w:eastAsia="en-US" w:bidi="ar-SA"/>
    </w:rPr>
  </w:style>
  <w:style w:type="character" w:customStyle="1" w:styleId="85">
    <w:name w:val="B1 Char"/>
    <w:link w:val="52"/>
    <w:qFormat/>
    <w:uiPriority w:val="0"/>
    <w:rPr>
      <w:rFonts w:ascii="Arial" w:hAnsi="Arial" w:eastAsia="Arial Unicode MS"/>
      <w:lang w:val="en-GB" w:eastAsia="en-US"/>
    </w:rPr>
  </w:style>
  <w:style w:type="paragraph" w:customStyle="1" w:styleId="86">
    <w:name w:val="Agreement"/>
    <w:basedOn w:val="1"/>
    <w:next w:val="83"/>
    <w:qFormat/>
    <w:uiPriority w:val="99"/>
    <w:pPr>
      <w:numPr>
        <w:ilvl w:val="0"/>
        <w:numId w:val="2"/>
      </w:numPr>
      <w:spacing w:before="60" w:after="0"/>
      <w:jc w:val="left"/>
    </w:pPr>
    <w:rPr>
      <w:rFonts w:eastAsia="MS Mincho"/>
      <w:b/>
      <w:szCs w:val="24"/>
      <w:lang w:eastAsia="en-GB"/>
    </w:rPr>
  </w:style>
  <w:style w:type="character" w:customStyle="1" w:styleId="87">
    <w:name w:val="正文文本 Char"/>
    <w:basedOn w:val="33"/>
    <w:link w:val="22"/>
    <w:qFormat/>
    <w:uiPriority w:val="0"/>
    <w:rPr>
      <w:rFonts w:eastAsia="MS Mincho"/>
      <w:szCs w:val="24"/>
      <w:lang w:eastAsia="en-US"/>
    </w:rPr>
  </w:style>
  <w:style w:type="character" w:customStyle="1" w:styleId="88">
    <w:name w:val="列出段落 Char"/>
    <w:link w:val="81"/>
    <w:qFormat/>
    <w:locked/>
    <w:uiPriority w:val="34"/>
    <w:rPr>
      <w:rFonts w:ascii="Arial" w:hAnsi="Arial" w:eastAsia="Arial Unicode MS"/>
      <w:lang w:val="en-GB" w:eastAsia="en-US"/>
    </w:rPr>
  </w:style>
  <w:style w:type="character" w:customStyle="1" w:styleId="89">
    <w:name w:val="apple-converted-space"/>
    <w:basedOn w:val="33"/>
    <w:qFormat/>
    <w:uiPriority w:val="0"/>
  </w:style>
  <w:style w:type="character" w:customStyle="1" w:styleId="90">
    <w:name w:val="Editor's Note Char"/>
    <w:link w:val="53"/>
    <w:qFormat/>
    <w:uiPriority w:val="0"/>
    <w:rPr>
      <w:rFonts w:ascii="Arial" w:hAnsi="Arial" w:eastAsia="Arial Unicode MS"/>
      <w:color w:val="FF0000"/>
      <w:lang w:val="en-GB" w:eastAsia="en-US"/>
    </w:rPr>
  </w:style>
  <w:style w:type="character" w:customStyle="1" w:styleId="91">
    <w:name w:val="B1 Char1"/>
    <w:qFormat/>
    <w:uiPriority w:val="0"/>
    <w:rPr>
      <w:rFonts w:eastAsia="MS LineDraw"/>
      <w:lang w:val="en-GB" w:eastAsia="ja-JP" w:bidi="ar-SA"/>
    </w:rPr>
  </w:style>
  <w:style w:type="character" w:customStyle="1" w:styleId="92">
    <w:name w:val="B2 Car"/>
    <w:link w:val="63"/>
    <w:qFormat/>
    <w:uiPriority w:val="0"/>
    <w:rPr>
      <w:rFonts w:ascii="Arial" w:hAnsi="Arial" w:eastAsia="Arial Unicode MS"/>
      <w:lang w:val="en-GB" w:eastAsia="en-US"/>
    </w:rPr>
  </w:style>
  <w:style w:type="character" w:customStyle="1" w:styleId="93">
    <w:name w:val="B1 Zchn"/>
    <w:qFormat/>
    <w:locked/>
    <w:uiPriority w:val="0"/>
    <w:rPr>
      <w:rFonts w:ascii="Times New Roman" w:hAnsi="Times New Roman" w:eastAsia="Times New Roman"/>
      <w:lang w:val="zh-CN" w:eastAsia="zh-CN"/>
    </w:rPr>
  </w:style>
  <w:style w:type="character" w:customStyle="1" w:styleId="94">
    <w:name w:val="NO Zchn"/>
    <w:link w:val="41"/>
    <w:qFormat/>
    <w:uiPriority w:val="0"/>
    <w:rPr>
      <w:rFonts w:ascii="Arial" w:hAnsi="Arial" w:eastAsia="Arial Unicode MS"/>
      <w:lang w:val="en-GB" w:eastAsia="en-US"/>
    </w:rPr>
  </w:style>
  <w:style w:type="character" w:customStyle="1" w:styleId="95">
    <w:name w:val="B2 Char"/>
    <w:qFormat/>
    <w:uiPriority w:val="0"/>
    <w:rPr>
      <w:rFonts w:ascii="Times New Roman" w:hAnsi="Times New Roman" w:eastAsia="MS Mincho"/>
      <w:lang w:val="en-GB" w:eastAsia="en-US"/>
    </w:rPr>
  </w:style>
  <w:style w:type="character" w:customStyle="1" w:styleId="96">
    <w:name w:val="B3 Char"/>
    <w:link w:val="64"/>
    <w:qFormat/>
    <w:locked/>
    <w:uiPriority w:val="0"/>
    <w:rPr>
      <w:rFonts w:ascii="Arial" w:hAnsi="Arial" w:eastAsia="Arial Unicode MS"/>
      <w:lang w:val="en-GB" w:eastAsia="en-US"/>
    </w:rPr>
  </w:style>
  <w:style w:type="character" w:customStyle="1" w:styleId="97">
    <w:name w:val="B4 Char"/>
    <w:link w:val="65"/>
    <w:qFormat/>
    <w:locked/>
    <w:uiPriority w:val="0"/>
    <w:rPr>
      <w:rFonts w:ascii="Arial" w:hAnsi="Arial" w:eastAsia="Arial Unicode MS"/>
      <w:lang w:val="en-GB" w:eastAsia="en-US"/>
    </w:rPr>
  </w:style>
  <w:style w:type="character" w:customStyle="1" w:styleId="98">
    <w:name w:val="TAL Car"/>
    <w:link w:val="44"/>
    <w:qFormat/>
    <w:uiPriority w:val="0"/>
    <w:rPr>
      <w:rFonts w:ascii="Arial" w:hAnsi="Arial" w:eastAsia="Arial Unicode MS"/>
      <w:sz w:val="18"/>
      <w:lang w:val="en-GB" w:eastAsia="en-US"/>
    </w:rPr>
  </w:style>
  <w:style w:type="table" w:customStyle="1" w:styleId="99">
    <w:name w:val="TableGrid1"/>
    <w:basedOn w:val="31"/>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CD420-4EE3-4904-82D1-56EB15ADE41B}">
  <ds:schemaRefs/>
</ds:datastoreItem>
</file>

<file path=docProps/app.xml><?xml version="1.0" encoding="utf-8"?>
<Properties xmlns="http://schemas.openxmlformats.org/officeDocument/2006/extended-properties" xmlns:vt="http://schemas.openxmlformats.org/officeDocument/2006/docPropsVTypes">
  <Template>3GPP TDoc</Template>
  <Company>CMCC</Company>
  <Pages>3</Pages>
  <Words>737</Words>
  <Characters>3759</Characters>
  <Lines>38</Lines>
  <Paragraphs>10</Paragraphs>
  <TotalTime>0</TotalTime>
  <ScaleCrop>false</ScaleCrop>
  <LinksUpToDate>false</LinksUpToDate>
  <CharactersWithSpaces>4535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2022-11-04T08:34:00Z</dcterms:created>
  <dc:creator>CMCC</dc:creator>
  <cp:lastModifiedBy>cmcc</cp:lastModifiedBy>
  <cp:lastPrinted>2016-01-11T02:35:00Z</cp:lastPrinted>
  <dcterms:modified xsi:type="dcterms:W3CDTF">2023-11-03T06:25:21Z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09809AFD5C814214AD9B27874402CBCC_13</vt:lpwstr>
  </property>
</Properties>
</file>