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9266E" w14:textId="76AFB2F3" w:rsidR="008F2770" w:rsidRPr="007B519D" w:rsidRDefault="005D2686" w:rsidP="008F2770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Meeting #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121-bis-e</w:t>
      </w:r>
      <w:r w:rsidR="00804C24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 w:rsid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  </w:t>
      </w:r>
      <w:r w:rsidR="008F4C9C" w:rsidRPr="008F4C9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R2-2303482</w:t>
      </w:r>
    </w:p>
    <w:p w14:paraId="1A46D608" w14:textId="78C3138D" w:rsidR="00E627D2" w:rsidRDefault="005D2686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Online</w:t>
      </w:r>
      <w:r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April 17</w:t>
      </w:r>
      <w:r w:rsidRPr="0050353E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April 26</w:t>
      </w:r>
      <w:r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</w:p>
    <w:p w14:paraId="6ED1F40B" w14:textId="77777777" w:rsidR="005D2686" w:rsidRPr="009D7AA5" w:rsidRDefault="005D2686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301559E3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D268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7.15.6</w:t>
      </w:r>
    </w:p>
    <w:p w14:paraId="091A1AD7" w14:textId="3894C1F6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B7016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RAN2 Aspects of NR Sidelink Carrier Aggregation</w:t>
      </w:r>
    </w:p>
    <w:p w14:paraId="49846B98" w14:textId="58279219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3DE1DC13" w:rsidR="00C05AC4" w:rsidRDefault="00C05AC4" w:rsidP="00510A4D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3D3BBA02" w:rsidR="00E136D8" w:rsidRDefault="00B82810" w:rsidP="00A147EE">
      <w:pPr>
        <w:pStyle w:val="3GPPNormalText"/>
      </w:pPr>
      <w:r w:rsidRPr="00A147EE">
        <w:t xml:space="preserve">The </w:t>
      </w:r>
      <w:r w:rsidR="0091553A" w:rsidRPr="00A147EE">
        <w:t xml:space="preserve">WI </w:t>
      </w:r>
      <w:r w:rsidRPr="00A147EE">
        <w:t xml:space="preserve">for </w:t>
      </w:r>
      <w:r w:rsidR="004C12ED" w:rsidRPr="00A147EE">
        <w:t xml:space="preserve">NR </w:t>
      </w:r>
      <w:r w:rsidR="00D314CD" w:rsidRPr="00A147EE">
        <w:t>Sidelink Evolution</w:t>
      </w:r>
      <w:r w:rsidR="00310848" w:rsidRPr="00A147EE">
        <w:t xml:space="preserve"> </w:t>
      </w:r>
      <w:r w:rsidR="00B6066F" w:rsidRPr="00A147EE">
        <w:t xml:space="preserve">was approved </w:t>
      </w:r>
      <w:r w:rsidRPr="00A147EE">
        <w:t xml:space="preserve">in </w:t>
      </w:r>
      <w:r w:rsidR="004C12ED" w:rsidRPr="00A147EE">
        <w:t xml:space="preserve">RAN#94e and revised in </w:t>
      </w:r>
      <w:r w:rsidRPr="00A147EE">
        <w:t>RAN#</w:t>
      </w:r>
      <w:r w:rsidR="00327900" w:rsidRPr="00A147EE">
        <w:t>9</w:t>
      </w:r>
      <w:r w:rsidR="00310848" w:rsidRPr="00A147EE">
        <w:t>9</w:t>
      </w:r>
      <w:r w:rsidR="00327900" w:rsidRPr="00A147EE">
        <w:t xml:space="preserve"> </w:t>
      </w:r>
      <w:r w:rsidRPr="00A147EE">
        <w:t>[1]</w:t>
      </w:r>
      <w:r w:rsidR="00327900" w:rsidRPr="00A147EE">
        <w:t xml:space="preserve">. </w:t>
      </w:r>
      <w:r w:rsidR="002D58AE" w:rsidRPr="00A147EE">
        <w:t xml:space="preserve">One of </w:t>
      </w:r>
      <w:r w:rsidR="00A32904" w:rsidRPr="00A147EE">
        <w:t>its</w:t>
      </w:r>
      <w:r w:rsidR="002D58AE" w:rsidRPr="00A147EE">
        <w:t xml:space="preserve"> objectives is to study and specify </w:t>
      </w:r>
      <w:r w:rsidR="00310848" w:rsidRPr="00A147EE">
        <w:t>mechanism to support NR sidelink CA operation based on LTE sidelink CA operation</w:t>
      </w:r>
      <w:r w:rsidR="00327900" w:rsidRPr="00A147EE">
        <w:t>:</w:t>
      </w:r>
    </w:p>
    <w:p w14:paraId="02FE3C68" w14:textId="77777777" w:rsidR="009069F2" w:rsidRPr="00A147EE" w:rsidRDefault="009069F2" w:rsidP="00A147EE">
      <w:pPr>
        <w:pStyle w:val="3GPPNormalText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DA1B33" w14:paraId="507F5383" w14:textId="77777777" w:rsidTr="007061BC">
        <w:tc>
          <w:tcPr>
            <w:tcW w:w="9962" w:type="dxa"/>
          </w:tcPr>
          <w:p w14:paraId="66D50AC1" w14:textId="49BE2F61" w:rsidR="00310848" w:rsidRPr="00E54642" w:rsidRDefault="00310848" w:rsidP="00310848">
            <w:pPr>
              <w:numPr>
                <w:ilvl w:val="0"/>
                <w:numId w:val="53"/>
              </w:numPr>
              <w:spacing w:after="0"/>
              <w:ind w:left="426" w:hanging="284"/>
              <w:rPr>
                <w:rFonts w:ascii="Times" w:hAnsi="Times" w:cs="Times"/>
              </w:rPr>
            </w:pPr>
            <w:r w:rsidRPr="00136DCA">
              <w:rPr>
                <w:rFonts w:ascii="Times" w:hAnsi="Times" w:cs="Times"/>
              </w:rPr>
              <w:t xml:space="preserve">Specify mechanism to support NR sidelink CA operation based on LTE sidelink CA operation [RAN2, RAN1, </w:t>
            </w:r>
            <w:r w:rsidRPr="00E54642">
              <w:rPr>
                <w:rFonts w:ascii="Times" w:hAnsi="Times" w:cs="Times"/>
              </w:rPr>
              <w:t>RAN4]</w:t>
            </w:r>
          </w:p>
          <w:p w14:paraId="160A78F7" w14:textId="77777777" w:rsidR="00310848" w:rsidRPr="00136DCA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Support only LTE sidelink CA features for NR (i.e., SL carrier (re-)selection, synchronization of aggregated carriers, power control for simultaneous sidelink TX, packet duplication)</w:t>
            </w:r>
          </w:p>
          <w:p w14:paraId="2ACF4FF5" w14:textId="77777777" w:rsidR="00310848" w:rsidRPr="00136DCA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 xml:space="preserve">The work is limited to </w:t>
            </w:r>
            <w:r>
              <w:rPr>
                <w:rFonts w:ascii="Times" w:hAnsi="Times" w:cs="Times"/>
                <w:lang w:eastAsia="ko-KR"/>
              </w:rPr>
              <w:t xml:space="preserve">intra-band CA for the </w:t>
            </w:r>
            <w:r w:rsidRPr="00136DCA">
              <w:rPr>
                <w:rFonts w:ascii="Times" w:hAnsi="Times" w:cs="Times"/>
                <w:lang w:eastAsia="ko-KR"/>
              </w:rPr>
              <w:t>ITS band</w:t>
            </w:r>
            <w:r>
              <w:rPr>
                <w:rFonts w:ascii="Times" w:hAnsi="Times" w:cs="Times"/>
                <w:lang w:eastAsia="ko-KR"/>
              </w:rPr>
              <w:t xml:space="preserve"> in FR1 (Band n47).</w:t>
            </w:r>
          </w:p>
          <w:p w14:paraId="6E3B34A1" w14:textId="77777777" w:rsidR="00310848" w:rsidRPr="00136DCA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No specific enhancements of Rel-17 sidelink features with sidelink CA support.</w:t>
            </w:r>
          </w:p>
          <w:p w14:paraId="705F0164" w14:textId="77777777" w:rsidR="00310848" w:rsidRPr="00136DCA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14:paraId="07C551BE" w14:textId="77777777" w:rsidR="00310848" w:rsidRDefault="00310848" w:rsidP="00310848">
            <w:pPr>
              <w:numPr>
                <w:ilvl w:val="1"/>
                <w:numId w:val="52"/>
              </w:numPr>
              <w:spacing w:before="60" w:after="60"/>
              <w:ind w:left="1418" w:hanging="284"/>
              <w:rPr>
                <w:rFonts w:ascii="Times" w:hAnsi="Times" w:cs="Times"/>
                <w:lang w:eastAsia="ko-KR"/>
              </w:rPr>
            </w:pPr>
            <w:bookmarkStart w:id="0" w:name="_Hlk89619097"/>
            <w:r w:rsidRPr="00136DCA">
              <w:rPr>
                <w:rFonts w:ascii="Times" w:hAnsi="Times" w:cs="Times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0"/>
            <w:r w:rsidRPr="00136DCA">
              <w:rPr>
                <w:rFonts w:ascii="Times" w:hAnsi="Times" w:cs="Times"/>
                <w:lang w:eastAsia="ko-KR"/>
              </w:rPr>
              <w:t xml:space="preserve"> (when SL-HARQ is enabled in SCI)</w:t>
            </w:r>
          </w:p>
          <w:p w14:paraId="37DD959B" w14:textId="77777777" w:rsid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Only Mode 2 operation</w:t>
            </w:r>
          </w:p>
          <w:p w14:paraId="4AC11BE5" w14:textId="77777777" w:rsid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Same subcarrier spacing (SCS) among CA carriers to avoid resource selection enhancements and AGC issues</w:t>
            </w:r>
          </w:p>
          <w:p w14:paraId="6D58100F" w14:textId="77777777" w:rsidR="00310848" w:rsidRDefault="00310848" w:rsidP="00310848">
            <w:pPr>
              <w:numPr>
                <w:ilvl w:val="1"/>
                <w:numId w:val="52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Time resources for PSFCH are aligned among the carriers for CA</w:t>
            </w:r>
          </w:p>
          <w:p w14:paraId="666CF08E" w14:textId="77777777" w:rsid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14:paraId="7C556102" w14:textId="77777777" w:rsidR="00310848" w:rsidRDefault="00310848" w:rsidP="00310848">
            <w:pPr>
              <w:numPr>
                <w:ilvl w:val="1"/>
                <w:numId w:val="52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SL resource indication remains to be per-resource pool and per-carrier basis (no cross-carrier scheduling in SCI)</w:t>
            </w:r>
          </w:p>
          <w:p w14:paraId="7277795E" w14:textId="77777777" w:rsidR="00310848" w:rsidRPr="003628CD" w:rsidRDefault="00310848" w:rsidP="00310848">
            <w:pPr>
              <w:numPr>
                <w:ilvl w:val="1"/>
                <w:numId w:val="52"/>
              </w:numPr>
              <w:spacing w:before="60" w:after="60"/>
              <w:rPr>
                <w:rFonts w:ascii="Times" w:hAnsi="Times" w:cs="Times"/>
                <w:highlight w:val="yellow"/>
                <w:lang w:eastAsia="ko-KR"/>
              </w:rPr>
            </w:pPr>
            <w:r w:rsidRPr="003628CD">
              <w:rPr>
                <w:rFonts w:ascii="Times" w:hAnsi="Times" w:cs="Times"/>
                <w:highlight w:val="yellow"/>
                <w:lang w:eastAsia="ko-KR"/>
              </w:rPr>
              <w:t>UE transmits SL HARQ feedback on the same carrier on which it receives the associated PSSCH</w:t>
            </w:r>
          </w:p>
          <w:p w14:paraId="6C77FDDC" w14:textId="77777777" w:rsid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consideration for limited transmission and reception capability</w:t>
            </w:r>
          </w:p>
          <w:p w14:paraId="5252E4B8" w14:textId="77777777" w:rsid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primary/secondary carrier differentiation</w:t>
            </w:r>
          </w:p>
          <w:p w14:paraId="511D542A" w14:textId="77777777" w:rsidR="00310848" w:rsidRPr="003628CD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highlight w:val="yellow"/>
                <w:lang w:eastAsia="ko-KR"/>
              </w:rPr>
            </w:pPr>
            <w:r w:rsidRPr="003628CD">
              <w:rPr>
                <w:rFonts w:ascii="Times" w:hAnsi="Times" w:cs="Times"/>
                <w:highlight w:val="yellow"/>
                <w:lang w:eastAsia="ko-KR"/>
              </w:rPr>
              <w:t>Reuse the LTE sidelink CA design for the following aspects:</w:t>
            </w:r>
          </w:p>
          <w:p w14:paraId="6D32A99E" w14:textId="77777777" w:rsidR="00310848" w:rsidRPr="003628CD" w:rsidRDefault="00310848" w:rsidP="00310848">
            <w:pPr>
              <w:numPr>
                <w:ilvl w:val="1"/>
                <w:numId w:val="52"/>
              </w:numPr>
              <w:spacing w:before="60" w:after="60"/>
              <w:rPr>
                <w:rFonts w:ascii="Times" w:hAnsi="Times" w:cs="Times"/>
                <w:highlight w:val="yellow"/>
                <w:lang w:eastAsia="ko-KR"/>
              </w:rPr>
            </w:pPr>
            <w:r w:rsidRPr="003628CD">
              <w:rPr>
                <w:rFonts w:ascii="Times" w:hAnsi="Times" w:cs="Times"/>
                <w:highlight w:val="yellow"/>
                <w:lang w:eastAsia="ko-KR"/>
              </w:rPr>
              <w:t>Sidelink carrier (re-)selection, synchronization of aggregated carriers, Tx power split for simultaneous sidelink transmissions, packet duplication</w:t>
            </w:r>
          </w:p>
          <w:p w14:paraId="4BA214D9" w14:textId="77777777" w:rsid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The CA band combination work in RAN4 is limited to intra-band contiguous CA in Rel-18.</w:t>
            </w:r>
          </w:p>
          <w:p w14:paraId="7C51282D" w14:textId="7B2A089F" w:rsidR="007061BC" w:rsidRP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Note: The SL CA work in Rel-18 mainly targets some V2X use cases</w:t>
            </w:r>
          </w:p>
        </w:tc>
      </w:tr>
    </w:tbl>
    <w:p w14:paraId="77E86D77" w14:textId="77777777" w:rsidR="009069F2" w:rsidRDefault="009069F2" w:rsidP="00A147EE">
      <w:pPr>
        <w:pStyle w:val="3GPPNormalText"/>
      </w:pPr>
    </w:p>
    <w:p w14:paraId="7C1B529A" w14:textId="7AB3CE8F" w:rsidR="00D314CD" w:rsidRPr="00D314CD" w:rsidRDefault="004C12ED" w:rsidP="00A147EE">
      <w:pPr>
        <w:pStyle w:val="3GPPNormalText"/>
      </w:pPr>
      <w:r>
        <w:t>In RAN</w:t>
      </w:r>
      <w:r w:rsidR="00D314CD" w:rsidRPr="00D314CD">
        <w:t>#99</w:t>
      </w:r>
      <w:r w:rsidR="005F0973">
        <w:t xml:space="preserve"> it was decided to start the discussion and specification of Carrier Aggregation in RAN2#121-bis-e.</w:t>
      </w:r>
      <w:r w:rsidR="002F4D9C">
        <w:t xml:space="preserve"> </w:t>
      </w:r>
    </w:p>
    <w:p w14:paraId="78E19DC4" w14:textId="2A57A1A4" w:rsidR="00DA0797" w:rsidRDefault="00CA38FD" w:rsidP="00DA0797">
      <w:pPr>
        <w:pStyle w:val="berschrift1"/>
        <w:spacing w:before="480"/>
        <w:ind w:left="431" w:hanging="431"/>
      </w:pPr>
      <w:r>
        <w:lastRenderedPageBreak/>
        <w:t xml:space="preserve">Aspects of </w:t>
      </w:r>
      <w:r w:rsidR="00BA4C4E">
        <w:t>NR Sidelink Carrier Aggregation</w:t>
      </w:r>
    </w:p>
    <w:p w14:paraId="2152CFB8" w14:textId="3F15E8FF" w:rsidR="004C12ED" w:rsidRDefault="004C12ED" w:rsidP="00A147EE">
      <w:pPr>
        <w:pStyle w:val="3GPPNormalText"/>
      </w:pPr>
      <w:r>
        <w:t>Support for Carrier Aggregation has been introduced for LTE Sidelink Mode 4 in Rel-15</w:t>
      </w:r>
      <w:r w:rsidR="00F8002C">
        <w:t>. Furthermore, sidelink packet duplication was introduced in the case of CA to improve transmission reliability.</w:t>
      </w:r>
    </w:p>
    <w:p w14:paraId="59F9925A" w14:textId="5F48D403" w:rsidR="00CA38FD" w:rsidRDefault="00B70166" w:rsidP="00A147EE">
      <w:pPr>
        <w:pStyle w:val="3GPPNormalText"/>
        <w:rPr>
          <w:rFonts w:ascii="Times" w:hAnsi="Times" w:cs="Times"/>
          <w:lang w:eastAsia="ko-KR"/>
        </w:rPr>
      </w:pPr>
      <w:r>
        <w:t xml:space="preserve">Due to the deferred start </w:t>
      </w:r>
      <w:r w:rsidR="00F8002C">
        <w:t>of the NR SL CA and the limited remaining time</w:t>
      </w:r>
      <w:r>
        <w:t xml:space="preserve"> </w:t>
      </w:r>
      <w:r w:rsidR="00F8002C">
        <w:t>for Rel-18</w:t>
      </w:r>
      <w:r>
        <w:t xml:space="preserve">, </w:t>
      </w:r>
      <w:r w:rsidR="00F8002C">
        <w:t xml:space="preserve">it has been decided in RAN#99 that CA for NR Sidelink should be </w:t>
      </w:r>
      <w:r w:rsidR="00CA38FD">
        <w:t>limited to</w:t>
      </w:r>
      <w:r w:rsidR="00F8002C">
        <w:t xml:space="preserve"> supporting </w:t>
      </w:r>
      <w:r>
        <w:t xml:space="preserve">only LTE </w:t>
      </w:r>
      <w:r w:rsidR="00CD2170">
        <w:t>S</w:t>
      </w:r>
      <w:r>
        <w:t xml:space="preserve">idelink CA features for NR </w:t>
      </w:r>
      <w:r w:rsidR="00F8002C">
        <w:t xml:space="preserve">and NR SL </w:t>
      </w:r>
      <w:r w:rsidR="00CD2170">
        <w:t>M</w:t>
      </w:r>
      <w:r w:rsidR="00F8002C">
        <w:t>ode 2</w:t>
      </w:r>
      <w:r w:rsidR="00A0301C">
        <w:t xml:space="preserve"> with </w:t>
      </w:r>
      <w:r w:rsidR="00A0301C">
        <w:rPr>
          <w:rFonts w:ascii="Times" w:hAnsi="Times" w:cs="Times"/>
          <w:lang w:eastAsia="ko-KR"/>
        </w:rPr>
        <w:t xml:space="preserve">intra-band CA for the </w:t>
      </w:r>
      <w:r w:rsidR="00A0301C" w:rsidRPr="00136DCA">
        <w:rPr>
          <w:rFonts w:ascii="Times" w:hAnsi="Times" w:cs="Times"/>
          <w:lang w:eastAsia="ko-KR"/>
        </w:rPr>
        <w:t>ITS band</w:t>
      </w:r>
      <w:r w:rsidR="00A0301C">
        <w:rPr>
          <w:rFonts w:ascii="Times" w:hAnsi="Times" w:cs="Times"/>
          <w:lang w:eastAsia="ko-KR"/>
        </w:rPr>
        <w:t xml:space="preserve"> in FR1. </w:t>
      </w:r>
    </w:p>
    <w:p w14:paraId="7C1B6AA7" w14:textId="0D2236E3" w:rsidR="003D68C7" w:rsidRDefault="003D68C7" w:rsidP="00A147EE">
      <w:pPr>
        <w:pStyle w:val="3GPPNormalText"/>
      </w:pPr>
    </w:p>
    <w:p w14:paraId="54ADE73E" w14:textId="2B1AC901" w:rsidR="00561CCC" w:rsidRDefault="003D68C7" w:rsidP="00A147EE">
      <w:pPr>
        <w:pStyle w:val="3GPPNormalText"/>
      </w:pPr>
      <w:r>
        <w:t xml:space="preserve">In </w:t>
      </w:r>
      <w:r w:rsidR="001D5555">
        <w:t xml:space="preserve">NR Sidelink </w:t>
      </w:r>
      <w:r>
        <w:t xml:space="preserve">from Rel-16 onwards </w:t>
      </w:r>
      <w:r w:rsidR="001D5555">
        <w:t xml:space="preserve">new features </w:t>
      </w:r>
      <w:r>
        <w:t xml:space="preserve">were added, </w:t>
      </w:r>
      <w:r w:rsidR="007D3E4E">
        <w:t>that</w:t>
      </w:r>
      <w:r w:rsidR="001D5555">
        <w:t xml:space="preserve"> </w:t>
      </w:r>
      <w:r>
        <w:t>were</w:t>
      </w:r>
      <w:r w:rsidR="001D5555">
        <w:t xml:space="preserve"> not supported by LTE </w:t>
      </w:r>
      <w:r w:rsidR="00CD2170">
        <w:t>S</w:t>
      </w:r>
      <w:r w:rsidR="001D5555">
        <w:t>idelink. For example, NR Sidelink has added support for unicast and groupcast</w:t>
      </w:r>
      <w:r>
        <w:t xml:space="preserve"> including </w:t>
      </w:r>
      <w:r w:rsidR="001B6563">
        <w:t>the introduction of sidelink HARQ feedback</w:t>
      </w:r>
      <w:r w:rsidR="001D5555">
        <w:t xml:space="preserve">, in addition to broadcast. When reusing the design </w:t>
      </w:r>
      <w:r w:rsidR="00561CCC">
        <w:t>of</w:t>
      </w:r>
      <w:r w:rsidR="001D5555">
        <w:t xml:space="preserve"> </w:t>
      </w:r>
      <w:r w:rsidR="001D5555" w:rsidRPr="001D5555">
        <w:t xml:space="preserve">LTE </w:t>
      </w:r>
      <w:r w:rsidR="00CD2170">
        <w:t>S</w:t>
      </w:r>
      <w:r w:rsidR="001D5555" w:rsidRPr="001D5555">
        <w:t>idelink</w:t>
      </w:r>
      <w:r w:rsidR="00561CCC">
        <w:t xml:space="preserve"> CA, these NR-specific aspects need to be integrated in</w:t>
      </w:r>
      <w:r w:rsidR="001B6563">
        <w:t>to</w:t>
      </w:r>
      <w:r w:rsidR="00561CCC">
        <w:t xml:space="preserve"> the </w:t>
      </w:r>
      <w:r w:rsidR="001B6563">
        <w:t xml:space="preserve">NR </w:t>
      </w:r>
      <w:r w:rsidR="00CD2170">
        <w:t>S</w:t>
      </w:r>
      <w:r w:rsidR="001B6563">
        <w:t xml:space="preserve">idelink </w:t>
      </w:r>
      <w:r w:rsidR="00561CCC">
        <w:t>CA framework.</w:t>
      </w:r>
    </w:p>
    <w:p w14:paraId="64C98BBB" w14:textId="353BEC34" w:rsidR="000069A5" w:rsidRPr="00A147EE" w:rsidRDefault="000069A5" w:rsidP="002A3B7D">
      <w:pPr>
        <w:rPr>
          <w:sz w:val="22"/>
          <w:szCs w:val="22"/>
        </w:rPr>
      </w:pPr>
    </w:p>
    <w:p w14:paraId="1BFE7D80" w14:textId="53641E33" w:rsidR="00F127C8" w:rsidRPr="00A147EE" w:rsidRDefault="00561CCC" w:rsidP="00F127C8">
      <w:pPr>
        <w:pStyle w:val="TDocObservation"/>
        <w:jc w:val="both"/>
        <w:rPr>
          <w:bCs/>
          <w:szCs w:val="22"/>
          <w:lang w:val="en-US"/>
        </w:rPr>
      </w:pPr>
      <w:bookmarkStart w:id="1" w:name="_Toc131593543"/>
      <w:bookmarkStart w:id="2" w:name="_GoBack"/>
      <w:bookmarkEnd w:id="2"/>
      <w:r w:rsidRPr="00A147EE">
        <w:rPr>
          <w:bCs/>
          <w:szCs w:val="22"/>
          <w:lang w:val="en-US"/>
        </w:rPr>
        <w:t>NR Sidelink has introduced features (e.g. unicast</w:t>
      </w:r>
      <w:r w:rsidR="001B6563">
        <w:rPr>
          <w:bCs/>
          <w:szCs w:val="22"/>
          <w:lang w:val="en-US"/>
        </w:rPr>
        <w:t xml:space="preserve"> and </w:t>
      </w:r>
      <w:r w:rsidRPr="00A147EE">
        <w:rPr>
          <w:bCs/>
          <w:szCs w:val="22"/>
          <w:lang w:val="en-US"/>
        </w:rPr>
        <w:t>groupcast with sidelink HARQ feedback) not supported by LTE Sidelink.</w:t>
      </w:r>
      <w:bookmarkEnd w:id="1"/>
    </w:p>
    <w:p w14:paraId="0D215CBD" w14:textId="1B0DCFFB" w:rsidR="00F127C8" w:rsidRPr="00A147EE" w:rsidRDefault="00561CCC" w:rsidP="00F127C8">
      <w:pPr>
        <w:pStyle w:val="TDocProposal"/>
        <w:spacing w:after="240"/>
        <w:ind w:left="0" w:firstLine="0"/>
        <w:jc w:val="both"/>
        <w:rPr>
          <w:bCs/>
          <w:sz w:val="22"/>
          <w:szCs w:val="22"/>
          <w:lang w:val="en-US"/>
        </w:rPr>
      </w:pPr>
      <w:bookmarkStart w:id="3" w:name="_Toc131593572"/>
      <w:r w:rsidRPr="00A147EE">
        <w:rPr>
          <w:bCs/>
          <w:sz w:val="22"/>
          <w:szCs w:val="22"/>
          <w:lang w:val="en-US"/>
        </w:rPr>
        <w:t>RAN2 to discuss and specify integration of NR Sidelink specific features</w:t>
      </w:r>
      <w:r w:rsidR="003D68C7">
        <w:rPr>
          <w:bCs/>
          <w:sz w:val="22"/>
          <w:szCs w:val="22"/>
          <w:lang w:val="en-US"/>
        </w:rPr>
        <w:t>, e.g. Sidelink HARQ feedback</w:t>
      </w:r>
      <w:r w:rsidR="001B6563">
        <w:rPr>
          <w:bCs/>
          <w:sz w:val="22"/>
          <w:szCs w:val="22"/>
          <w:lang w:val="en-US"/>
        </w:rPr>
        <w:t>,</w:t>
      </w:r>
      <w:r w:rsidR="003D68C7">
        <w:rPr>
          <w:bCs/>
          <w:sz w:val="22"/>
          <w:szCs w:val="22"/>
          <w:lang w:val="en-US"/>
        </w:rPr>
        <w:t xml:space="preserve"> </w:t>
      </w:r>
      <w:r w:rsidRPr="00A147EE">
        <w:rPr>
          <w:bCs/>
          <w:sz w:val="22"/>
          <w:szCs w:val="22"/>
          <w:lang w:val="en-US"/>
        </w:rPr>
        <w:t xml:space="preserve">into </w:t>
      </w:r>
      <w:r w:rsidR="003D68C7">
        <w:rPr>
          <w:bCs/>
          <w:sz w:val="22"/>
          <w:szCs w:val="22"/>
          <w:lang w:val="en-US"/>
        </w:rPr>
        <w:t xml:space="preserve">the </w:t>
      </w:r>
      <w:r w:rsidRPr="00A147EE">
        <w:rPr>
          <w:bCs/>
          <w:sz w:val="22"/>
          <w:szCs w:val="22"/>
          <w:lang w:val="en-US"/>
        </w:rPr>
        <w:t>Sidelink CA framework.</w:t>
      </w:r>
      <w:bookmarkEnd w:id="3"/>
    </w:p>
    <w:p w14:paraId="56E14AC6" w14:textId="77777777" w:rsidR="00F127C8" w:rsidRPr="00A147EE" w:rsidRDefault="00F127C8" w:rsidP="002A3B7D">
      <w:pPr>
        <w:rPr>
          <w:sz w:val="24"/>
          <w:szCs w:val="24"/>
          <w:lang w:val="en-US"/>
        </w:rPr>
      </w:pPr>
    </w:p>
    <w:p w14:paraId="53A8D977" w14:textId="15506384" w:rsidR="00197E33" w:rsidRDefault="00197E33" w:rsidP="001D5555">
      <w:pPr>
        <w:pStyle w:val="3GPPNormalText"/>
      </w:pPr>
      <w:r>
        <w:t xml:space="preserve">In LTE Sidelink, </w:t>
      </w:r>
      <w:r w:rsidRPr="00503AB8">
        <w:rPr>
          <w:bCs/>
        </w:rPr>
        <w:t xml:space="preserve">sidelink </w:t>
      </w:r>
      <w:r>
        <w:rPr>
          <w:bCs/>
        </w:rPr>
        <w:t xml:space="preserve">packet </w:t>
      </w:r>
      <w:r w:rsidRPr="00503AB8">
        <w:rPr>
          <w:bCs/>
        </w:rPr>
        <w:t>duplication</w:t>
      </w:r>
      <w:r>
        <w:rPr>
          <w:bCs/>
        </w:rPr>
        <w:t xml:space="preserve"> on PDCP level has been introduced to improve transmission reliability in case of CA. </w:t>
      </w:r>
      <w:r>
        <w:t>The packet duplication is performed when a (pre-)configured ProSe Per-Packet Reliability (PPPR) threshold</w:t>
      </w:r>
      <w:r w:rsidR="001B6563">
        <w:t xml:space="preserve"> is exceeded. If the PPPR threshold is exceeded</w:t>
      </w:r>
      <w:r w:rsidR="009069F2">
        <w:t xml:space="preserve">, the packets are duplicated and transmitted on </w:t>
      </w:r>
      <w:r>
        <w:t>different sidelink carriers.</w:t>
      </w:r>
    </w:p>
    <w:p w14:paraId="47997486" w14:textId="721ACEFB" w:rsidR="00BA4C4E" w:rsidRPr="002A3B7D" w:rsidRDefault="00BA4C4E" w:rsidP="001D5555">
      <w:pPr>
        <w:pStyle w:val="3GPPNormalText"/>
      </w:pPr>
      <w:r w:rsidRPr="002A3B7D">
        <w:t>Contrary</w:t>
      </w:r>
      <w:r w:rsidR="00056DF9">
        <w:t xml:space="preserve"> to LTE, PPPR is not defined in</w:t>
      </w:r>
      <w:r w:rsidRPr="002A3B7D">
        <w:t xml:space="preserve"> NR </w:t>
      </w:r>
      <w:r w:rsidR="00F127C8">
        <w:t xml:space="preserve">Sidelink. </w:t>
      </w:r>
      <w:r w:rsidR="003C64E4">
        <w:t xml:space="preserve">Therefore, when </w:t>
      </w:r>
      <w:r w:rsidR="009069F2">
        <w:t>reusing</w:t>
      </w:r>
      <w:r w:rsidR="003C64E4">
        <w:t xml:space="preserve"> </w:t>
      </w:r>
      <w:r w:rsidR="003C64E4" w:rsidRPr="00A147EE">
        <w:rPr>
          <w:rFonts w:ascii="Times" w:hAnsi="Times" w:cs="Times"/>
          <w:lang w:eastAsia="ko-KR"/>
        </w:rPr>
        <w:t xml:space="preserve">the LTE </w:t>
      </w:r>
      <w:r w:rsidR="00CD2170">
        <w:rPr>
          <w:rFonts w:ascii="Times" w:hAnsi="Times" w:cs="Times"/>
          <w:lang w:eastAsia="ko-KR"/>
        </w:rPr>
        <w:t>S</w:t>
      </w:r>
      <w:r w:rsidR="003C64E4" w:rsidRPr="00A147EE">
        <w:rPr>
          <w:rFonts w:ascii="Times" w:hAnsi="Times" w:cs="Times"/>
          <w:lang w:eastAsia="ko-KR"/>
        </w:rPr>
        <w:t xml:space="preserve">idelink CA design for packet duplication </w:t>
      </w:r>
      <w:r w:rsidR="00F127C8" w:rsidRPr="001D5555">
        <w:rPr>
          <w:rFonts w:ascii="Times" w:hAnsi="Times" w:cs="Times"/>
          <w:lang w:eastAsia="ko-KR"/>
        </w:rPr>
        <w:t xml:space="preserve">for NR </w:t>
      </w:r>
      <w:r w:rsidR="00CD2170">
        <w:rPr>
          <w:rFonts w:ascii="Times" w:hAnsi="Times" w:cs="Times"/>
          <w:lang w:eastAsia="ko-KR"/>
        </w:rPr>
        <w:t>S</w:t>
      </w:r>
      <w:r w:rsidR="00561CCC">
        <w:rPr>
          <w:rFonts w:ascii="Times" w:hAnsi="Times" w:cs="Times"/>
          <w:lang w:eastAsia="ko-KR"/>
        </w:rPr>
        <w:t xml:space="preserve">idelink </w:t>
      </w:r>
      <w:r w:rsidR="00F127C8" w:rsidRPr="001D5555">
        <w:rPr>
          <w:rFonts w:ascii="Times" w:hAnsi="Times" w:cs="Times"/>
          <w:lang w:eastAsia="ko-KR"/>
        </w:rPr>
        <w:t xml:space="preserve">a </w:t>
      </w:r>
      <w:r w:rsidR="00561CCC">
        <w:rPr>
          <w:rFonts w:ascii="Times" w:hAnsi="Times" w:cs="Times"/>
          <w:lang w:eastAsia="ko-KR"/>
        </w:rPr>
        <w:t>respective</w:t>
      </w:r>
      <w:r w:rsidR="00561CCC" w:rsidRPr="001D5555">
        <w:rPr>
          <w:rFonts w:ascii="Times" w:hAnsi="Times" w:cs="Times"/>
          <w:lang w:eastAsia="ko-KR"/>
        </w:rPr>
        <w:t xml:space="preserve"> </w:t>
      </w:r>
      <w:r w:rsidR="00F127C8" w:rsidRPr="001D5555">
        <w:rPr>
          <w:rFonts w:ascii="Times" w:hAnsi="Times" w:cs="Times"/>
          <w:lang w:eastAsia="ko-KR"/>
        </w:rPr>
        <w:t>mechanism would be required.</w:t>
      </w:r>
    </w:p>
    <w:p w14:paraId="65181A4F" w14:textId="09B1A7C8" w:rsidR="00BA4C4E" w:rsidRPr="001D5555" w:rsidRDefault="00BA4C4E" w:rsidP="00BA4C4E">
      <w:pPr>
        <w:pStyle w:val="TDocObservation"/>
        <w:jc w:val="both"/>
        <w:rPr>
          <w:bCs/>
          <w:szCs w:val="22"/>
          <w:lang w:val="en-US"/>
        </w:rPr>
      </w:pPr>
      <w:bookmarkStart w:id="4" w:name="_Toc131593544"/>
      <w:r w:rsidRPr="001D5555">
        <w:rPr>
          <w:bCs/>
          <w:szCs w:val="22"/>
          <w:lang w:val="en-US"/>
        </w:rPr>
        <w:t xml:space="preserve">PPPR </w:t>
      </w:r>
      <w:r w:rsidR="00197E33" w:rsidRPr="001D5555">
        <w:rPr>
          <w:bCs/>
          <w:szCs w:val="22"/>
          <w:lang w:val="en-US"/>
        </w:rPr>
        <w:t xml:space="preserve">used for LTE sidelink packet duplication </w:t>
      </w:r>
      <w:r w:rsidRPr="001D5555">
        <w:rPr>
          <w:bCs/>
          <w:szCs w:val="22"/>
          <w:lang w:val="en-US"/>
        </w:rPr>
        <w:t>is not defined in 5G NR</w:t>
      </w:r>
      <w:r w:rsidR="00F127C8" w:rsidRPr="001D5555">
        <w:rPr>
          <w:bCs/>
          <w:szCs w:val="22"/>
          <w:lang w:val="en-US"/>
        </w:rPr>
        <w:t xml:space="preserve"> Sidelink.</w:t>
      </w:r>
      <w:bookmarkEnd w:id="4"/>
    </w:p>
    <w:p w14:paraId="68B63C89" w14:textId="098379E9" w:rsidR="00BA4C4E" w:rsidRPr="00A147EE" w:rsidRDefault="00F127C8" w:rsidP="00BA4C4E">
      <w:pPr>
        <w:pStyle w:val="TDocProposal"/>
        <w:spacing w:after="240"/>
        <w:ind w:left="0" w:firstLine="0"/>
        <w:jc w:val="both"/>
        <w:rPr>
          <w:bCs/>
          <w:sz w:val="22"/>
          <w:szCs w:val="22"/>
          <w:lang w:val="en-US"/>
        </w:rPr>
      </w:pPr>
      <w:bookmarkStart w:id="5" w:name="_Toc131593573"/>
      <w:r w:rsidRPr="001D5555">
        <w:rPr>
          <w:bCs/>
          <w:sz w:val="22"/>
          <w:szCs w:val="22"/>
          <w:lang w:val="en-US"/>
        </w:rPr>
        <w:t xml:space="preserve">RAN2 to discuss how reliability parameters like PPPR in LTE can be supported in NR </w:t>
      </w:r>
      <w:r w:rsidR="00CD2170">
        <w:rPr>
          <w:bCs/>
          <w:sz w:val="22"/>
          <w:szCs w:val="22"/>
          <w:lang w:val="en-US"/>
        </w:rPr>
        <w:t>S</w:t>
      </w:r>
      <w:r w:rsidRPr="001D5555">
        <w:rPr>
          <w:bCs/>
          <w:sz w:val="22"/>
          <w:szCs w:val="22"/>
          <w:lang w:val="en-US"/>
        </w:rPr>
        <w:t>idelink for packet duplication.</w:t>
      </w:r>
      <w:bookmarkEnd w:id="5"/>
    </w:p>
    <w:p w14:paraId="5AAD0055" w14:textId="77777777" w:rsidR="00BA16C3" w:rsidRPr="00D12D16" w:rsidRDefault="00BA16C3" w:rsidP="00DF0E2D">
      <w:pPr>
        <w:rPr>
          <w:lang w:val="en-US"/>
        </w:rPr>
      </w:pPr>
    </w:p>
    <w:p w14:paraId="3CCF633B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990ECA">
        <w:rPr>
          <w:lang w:val="en-US"/>
        </w:rPr>
        <w:t>Conclusions</w:t>
      </w:r>
    </w:p>
    <w:p w14:paraId="7917FE03" w14:textId="31C94F17" w:rsidR="0019134D" w:rsidRDefault="00BE3AFD" w:rsidP="000719AA">
      <w:pPr>
        <w:pStyle w:val="3GPPNormalText"/>
        <w:spacing w:after="0"/>
        <w:rPr>
          <w:sz w:val="24"/>
        </w:rPr>
      </w:pPr>
      <w:r w:rsidRPr="0019134D">
        <w:rPr>
          <w:bCs/>
          <w:sz w:val="24"/>
        </w:rPr>
        <w:t xml:space="preserve">In this contribution, we discussed </w:t>
      </w:r>
      <w:r w:rsidRPr="00BE3AFD">
        <w:rPr>
          <w:bCs/>
          <w:sz w:val="24"/>
        </w:rPr>
        <w:t>some aspects of</w:t>
      </w:r>
      <w:r w:rsidR="00DF0E2D">
        <w:rPr>
          <w:bCs/>
          <w:sz w:val="24"/>
        </w:rPr>
        <w:t xml:space="preserve"> </w:t>
      </w:r>
      <w:r w:rsidR="00D314CD">
        <w:rPr>
          <w:bCs/>
          <w:sz w:val="24"/>
        </w:rPr>
        <w:t>Carrier Aggregation</w:t>
      </w:r>
      <w:r w:rsidR="00DF0E2D">
        <w:rPr>
          <w:bCs/>
          <w:sz w:val="24"/>
        </w:rPr>
        <w:t xml:space="preserve"> for</w:t>
      </w:r>
      <w:r w:rsidRPr="00BE3AFD">
        <w:rPr>
          <w:bCs/>
          <w:sz w:val="24"/>
        </w:rPr>
        <w:t xml:space="preserve"> </w:t>
      </w:r>
      <w:r w:rsidR="00561CCC">
        <w:rPr>
          <w:bCs/>
          <w:sz w:val="24"/>
        </w:rPr>
        <w:t xml:space="preserve">NR </w:t>
      </w:r>
      <w:r w:rsidR="00D314CD">
        <w:rPr>
          <w:bCs/>
          <w:sz w:val="24"/>
        </w:rPr>
        <w:t>Sidelink Evolution</w:t>
      </w:r>
      <w:r w:rsidRPr="00BE3AFD">
        <w:rPr>
          <w:sz w:val="24"/>
        </w:rPr>
        <w:t xml:space="preserve">. </w:t>
      </w:r>
      <w:r w:rsidRPr="0019134D">
        <w:rPr>
          <w:sz w:val="24"/>
        </w:rPr>
        <w:t>The following observations and proposals have been made:</w:t>
      </w:r>
    </w:p>
    <w:p w14:paraId="0DF159C0" w14:textId="1859EC88" w:rsidR="00EC6173" w:rsidRPr="00A147EE" w:rsidRDefault="00EC6173" w:rsidP="000719AA">
      <w:pPr>
        <w:pStyle w:val="3GPPNormalText"/>
        <w:spacing w:after="0"/>
        <w:rPr>
          <w:color w:val="FF0000"/>
          <w:sz w:val="24"/>
        </w:rPr>
      </w:pPr>
    </w:p>
    <w:p w14:paraId="2D4C32CE" w14:textId="7750B8ED" w:rsidR="00561CCC" w:rsidRPr="00A147EE" w:rsidRDefault="00EC6173" w:rsidP="00A147EE">
      <w:pPr>
        <w:pStyle w:val="3GPPNormalText"/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r w:rsidRPr="00A147EE">
        <w:rPr>
          <w:rFonts w:eastAsia="SimSun"/>
          <w:b/>
          <w:noProof/>
          <w:color w:val="FF0000"/>
          <w:szCs w:val="22"/>
          <w:lang w:val="de-DE"/>
        </w:rPr>
        <w:fldChar w:fldCharType="begin"/>
      </w:r>
      <w:r w:rsidRPr="00A147EE">
        <w:rPr>
          <w:rFonts w:eastAsia="SimSun"/>
          <w:b/>
          <w:noProof/>
          <w:color w:val="FF0000"/>
          <w:szCs w:val="22"/>
          <w:lang w:val="de-DE"/>
        </w:rPr>
        <w:instrText xml:space="preserve"> TOC \n \p " " \h \z \t "TDoc Observation;1" </w:instrText>
      </w:r>
      <w:r w:rsidRPr="00A147EE">
        <w:rPr>
          <w:rFonts w:eastAsia="SimSun"/>
          <w:b/>
          <w:noProof/>
          <w:color w:val="FF0000"/>
          <w:szCs w:val="22"/>
          <w:lang w:val="de-DE"/>
        </w:rPr>
        <w:fldChar w:fldCharType="separate"/>
      </w:r>
      <w:hyperlink w:anchor="_Toc131593543" w:history="1">
        <w:r w:rsidR="00561CCC" w:rsidRPr="00A147EE">
          <w:rPr>
            <w:rStyle w:val="Hyperlink"/>
            <w:b/>
            <w:bCs/>
            <w:noProof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1:</w:t>
        </w:r>
        <w:r w:rsidR="00561CCC" w:rsidRPr="00A147EE">
          <w:rPr>
            <w:rFonts w:asciiTheme="minorHAnsi" w:eastAsiaTheme="minorEastAsia" w:hAnsiTheme="minorHAnsi" w:cstheme="minorBidi"/>
            <w:b/>
            <w:noProof/>
            <w:szCs w:val="22"/>
            <w:lang w:val="de-DE" w:eastAsia="de-DE"/>
          </w:rPr>
          <w:tab/>
        </w:r>
        <w:r w:rsidR="009069F2" w:rsidRPr="009069F2">
          <w:rPr>
            <w:rStyle w:val="Hyperlink"/>
            <w:b/>
            <w:bCs/>
            <w:noProof/>
          </w:rPr>
          <w:t>NR Sidelink has introduc</w:t>
        </w:r>
        <w:r w:rsidR="009069F2" w:rsidRPr="009069F2">
          <w:rPr>
            <w:rStyle w:val="Hyperlink"/>
            <w:b/>
            <w:bCs/>
            <w:noProof/>
          </w:rPr>
          <w:t>e</w:t>
        </w:r>
        <w:r w:rsidR="009069F2" w:rsidRPr="009069F2">
          <w:rPr>
            <w:rStyle w:val="Hyperlink"/>
            <w:b/>
            <w:bCs/>
            <w:noProof/>
          </w:rPr>
          <w:t>d features (e.g. unicast and groupcast with sidelink HARQ feedback) not supported by LTE Sidelink.</w:t>
        </w:r>
      </w:hyperlink>
    </w:p>
    <w:p w14:paraId="5F45D569" w14:textId="6ED35C26" w:rsidR="00561CCC" w:rsidRPr="00A147EE" w:rsidRDefault="00056DF9" w:rsidP="00A147EE">
      <w:pPr>
        <w:pStyle w:val="3GPPNormalText"/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hyperlink w:anchor="_Toc131593544" w:history="1">
        <w:r w:rsidR="00561CCC" w:rsidRPr="00A147EE">
          <w:rPr>
            <w:rStyle w:val="Hyperlink"/>
            <w:b/>
            <w:bCs/>
            <w:noProof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2:</w:t>
        </w:r>
        <w:r w:rsidR="00561CCC" w:rsidRPr="00A147EE">
          <w:rPr>
            <w:rFonts w:asciiTheme="minorHAnsi" w:eastAsiaTheme="minorEastAsia" w:hAnsiTheme="minorHAnsi" w:cstheme="minorBidi"/>
            <w:b/>
            <w:noProof/>
            <w:szCs w:val="22"/>
            <w:lang w:val="de-DE" w:eastAsia="de-DE"/>
          </w:rPr>
          <w:tab/>
        </w:r>
        <w:r w:rsidR="009069F2" w:rsidRPr="009069F2">
          <w:rPr>
            <w:rStyle w:val="Hyperlink"/>
            <w:b/>
            <w:bCs/>
            <w:noProof/>
          </w:rPr>
          <w:t>PPPR used for LTE sidelink packet duplication is not defined in 5G NR Sidelink.</w:t>
        </w:r>
      </w:hyperlink>
    </w:p>
    <w:p w14:paraId="4CD3D215" w14:textId="15605FE9" w:rsidR="00EC6173" w:rsidRPr="00056DF9" w:rsidRDefault="00EC6173" w:rsidP="00A147EE">
      <w:pPr>
        <w:pStyle w:val="3GPPNormalText"/>
        <w:rPr>
          <w:b/>
          <w:color w:val="FF0000"/>
          <w:szCs w:val="22"/>
        </w:rPr>
      </w:pPr>
      <w:r w:rsidRPr="00A147EE">
        <w:rPr>
          <w:rFonts w:eastAsia="SimSun"/>
          <w:b/>
          <w:noProof/>
          <w:color w:val="FF0000"/>
          <w:szCs w:val="22"/>
          <w:lang w:val="de-DE"/>
        </w:rPr>
        <w:fldChar w:fldCharType="end"/>
      </w:r>
    </w:p>
    <w:p w14:paraId="066332FB" w14:textId="7147960C" w:rsidR="00561CCC" w:rsidRPr="00561CCC" w:rsidRDefault="00EC6173" w:rsidP="00A147EE">
      <w:pPr>
        <w:pStyle w:val="3GPPNormalText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A147EE">
        <w:rPr>
          <w:color w:val="FF0000"/>
          <w:szCs w:val="22"/>
          <w:lang w:val="de-DE"/>
        </w:rPr>
        <w:lastRenderedPageBreak/>
        <w:fldChar w:fldCharType="begin"/>
      </w:r>
      <w:r w:rsidRPr="00A147EE">
        <w:rPr>
          <w:color w:val="FF0000"/>
          <w:szCs w:val="22"/>
          <w:lang w:val="de-DE"/>
        </w:rPr>
        <w:instrText xml:space="preserve"> TOC \n \h \z \t "TDoc Proposal;1" </w:instrText>
      </w:r>
      <w:r w:rsidRPr="00A147EE">
        <w:rPr>
          <w:color w:val="FF0000"/>
          <w:szCs w:val="22"/>
          <w:lang w:val="de-DE"/>
        </w:rPr>
        <w:fldChar w:fldCharType="separate"/>
      </w:r>
      <w:hyperlink w:anchor="_Toc131593572" w:history="1">
        <w:r w:rsidR="009069F2" w:rsidRPr="009069F2">
          <w:rPr>
            <w:rStyle w:val="Hyperlink"/>
            <w:b/>
            <w:bCs/>
            <w:noProof/>
          </w:rPr>
          <w:t>Proposal 1:</w:t>
        </w:r>
        <w:r w:rsidR="009069F2" w:rsidRPr="009069F2">
          <w:rPr>
            <w:rStyle w:val="Hyperlink"/>
            <w:b/>
            <w:bCs/>
            <w:noProof/>
          </w:rPr>
          <w:tab/>
          <w:t>RAN2 to discuss and specify integration of NR Sidelink specific features, e.g. Sidelink HARQ feedback, into the Sidelink CA framework</w:t>
        </w:r>
        <w:r w:rsidR="009069F2">
          <w:rPr>
            <w:rStyle w:val="Hyperlink"/>
            <w:b/>
            <w:bCs/>
            <w:noProof/>
          </w:rPr>
          <w:t>.</w:t>
        </w:r>
        <w:r w:rsidR="009069F2" w:rsidRPr="00A147EE" w:rsidDel="009069F2">
          <w:rPr>
            <w:rStyle w:val="Hyperlink"/>
            <w:b/>
            <w:bCs/>
            <w:noProof/>
          </w:rPr>
          <w:t xml:space="preserve"> </w:t>
        </w:r>
      </w:hyperlink>
    </w:p>
    <w:p w14:paraId="26A77DCF" w14:textId="625435E1" w:rsidR="00561CCC" w:rsidRPr="00A147EE" w:rsidRDefault="00056DF9" w:rsidP="00A147EE">
      <w:pPr>
        <w:pStyle w:val="3GPPNormalText"/>
        <w:rPr>
          <w:rStyle w:val="Hyperlink"/>
          <w:b/>
          <w:bCs/>
          <w:noProof/>
        </w:rPr>
      </w:pPr>
      <w:hyperlink w:anchor="_Toc131593573" w:history="1">
        <w:r w:rsidR="00561CCC" w:rsidRPr="00A147EE">
          <w:rPr>
            <w:rStyle w:val="Hyperlink"/>
            <w:b/>
            <w:bCs/>
            <w:noProof/>
          </w:rPr>
          <w:t>Proposal 2:</w:t>
        </w:r>
        <w:r w:rsidR="00561CCC" w:rsidRPr="00A147EE">
          <w:rPr>
            <w:rStyle w:val="Hyperlink"/>
            <w:b/>
            <w:bCs/>
          </w:rPr>
          <w:tab/>
        </w:r>
        <w:r w:rsidR="009069F2" w:rsidRPr="00A147EE">
          <w:rPr>
            <w:rStyle w:val="Hyperlink"/>
            <w:b/>
            <w:bCs/>
          </w:rPr>
          <w:t>RAN2 to discuss how reliability parameters like PPPR in LTE can be supported in NR sidelink for packet duplication.</w:t>
        </w:r>
        <w:r w:rsidR="00561CCC" w:rsidRPr="00A147EE">
          <w:rPr>
            <w:rStyle w:val="Hyperlink"/>
            <w:b/>
            <w:bCs/>
            <w:noProof/>
          </w:rPr>
          <w:t>.</w:t>
        </w:r>
      </w:hyperlink>
    </w:p>
    <w:p w14:paraId="0BD6BFFC" w14:textId="3316A275" w:rsidR="00EC6173" w:rsidRPr="00A147EE" w:rsidRDefault="00EC6173" w:rsidP="000719AA">
      <w:pPr>
        <w:pStyle w:val="3GPPNormalText"/>
        <w:spacing w:after="0"/>
        <w:rPr>
          <w:color w:val="FF0000"/>
          <w:sz w:val="24"/>
          <w:lang w:val="de-DE"/>
        </w:rPr>
      </w:pPr>
      <w:r w:rsidRPr="00A147EE">
        <w:rPr>
          <w:b/>
          <w:color w:val="FF0000"/>
          <w:szCs w:val="22"/>
          <w:lang w:val="de-DE"/>
        </w:rPr>
        <w:fldChar w:fldCharType="end"/>
      </w:r>
    </w:p>
    <w:p w14:paraId="68F1FAA0" w14:textId="7FD3DA41" w:rsidR="00C05AC4" w:rsidRPr="00B41BCC" w:rsidRDefault="00C05AC4" w:rsidP="00206D1A">
      <w:pPr>
        <w:pStyle w:val="berschrift1"/>
        <w:tabs>
          <w:tab w:val="clear" w:pos="432"/>
        </w:tabs>
        <w:spacing w:before="480"/>
        <w:ind w:left="431" w:hanging="431"/>
        <w:jc w:val="both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079E431A" w14:textId="25B0FF84" w:rsidR="00DF0E2D" w:rsidRPr="00D314CD" w:rsidRDefault="00765965" w:rsidP="00A147EE">
      <w:pPr>
        <w:widowControl w:val="0"/>
        <w:overflowPunct/>
        <w:autoSpaceDE/>
        <w:adjustRightInd/>
        <w:spacing w:after="60"/>
        <w:textAlignment w:val="auto"/>
        <w:rPr>
          <w:iCs/>
          <w:color w:val="FF0000"/>
          <w:lang w:val="en-US"/>
        </w:rPr>
      </w:pPr>
      <w:bookmarkStart w:id="6" w:name="_Ref118440876"/>
      <w:bookmarkStart w:id="7" w:name="_Ref494465620"/>
      <w:bookmarkStart w:id="8" w:name="_Ref527624780"/>
      <w:r>
        <w:rPr>
          <w:rFonts w:cs="Arial"/>
          <w:sz w:val="22"/>
          <w:szCs w:val="22"/>
        </w:rPr>
        <w:t xml:space="preserve">[1] </w:t>
      </w:r>
      <w:r w:rsidRPr="00B126E6">
        <w:rPr>
          <w:rFonts w:cs="Arial"/>
          <w:sz w:val="22"/>
          <w:szCs w:val="22"/>
        </w:rPr>
        <w:t>RP-230077</w:t>
      </w:r>
      <w:r w:rsidRPr="00332609">
        <w:rPr>
          <w:rFonts w:cs="Arial"/>
          <w:sz w:val="22"/>
          <w:szCs w:val="22"/>
        </w:rPr>
        <w:t>, “WID revision: NR sidelink evolution”, OPPO, 3GPP RAN#9</w:t>
      </w:r>
      <w:r>
        <w:rPr>
          <w:rFonts w:cs="Arial"/>
          <w:sz w:val="22"/>
          <w:szCs w:val="22"/>
        </w:rPr>
        <w:t>9</w:t>
      </w:r>
      <w:r w:rsidRPr="00332609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March</w:t>
      </w:r>
      <w:r w:rsidRPr="00332609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3</w:t>
      </w:r>
      <w:r w:rsidRPr="00332609">
        <w:rPr>
          <w:rFonts w:cs="Arial"/>
          <w:sz w:val="22"/>
          <w:szCs w:val="22"/>
        </w:rPr>
        <w:t>.</w:t>
      </w:r>
      <w:bookmarkEnd w:id="6"/>
      <w:bookmarkEnd w:id="7"/>
      <w:bookmarkEnd w:id="8"/>
    </w:p>
    <w:p w14:paraId="6D16E741" w14:textId="77777777" w:rsidR="00056DF9" w:rsidRPr="00D314CD" w:rsidRDefault="00056DF9">
      <w:pPr>
        <w:widowControl w:val="0"/>
        <w:overflowPunct/>
        <w:autoSpaceDE/>
        <w:adjustRightInd/>
        <w:spacing w:after="60"/>
        <w:textAlignment w:val="auto"/>
        <w:rPr>
          <w:iCs/>
          <w:color w:val="FF0000"/>
          <w:lang w:val="en-US"/>
        </w:rPr>
      </w:pPr>
    </w:p>
    <w:sectPr w:rsidR="00056DF9" w:rsidRPr="00D314CD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9301C" w16cex:dateUtc="2023-04-06T09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D5D338" w16cid:durableId="27D9301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EBDFE" w14:textId="77777777" w:rsidR="004558C7" w:rsidRDefault="004558C7">
      <w:r>
        <w:separator/>
      </w:r>
    </w:p>
  </w:endnote>
  <w:endnote w:type="continuationSeparator" w:id="0">
    <w:p w14:paraId="05395D5E" w14:textId="77777777" w:rsidR="004558C7" w:rsidRDefault="004558C7">
      <w:r>
        <w:continuationSeparator/>
      </w:r>
    </w:p>
  </w:endnote>
  <w:endnote w:type="continuationNotice" w:id="1">
    <w:p w14:paraId="44E7501B" w14:textId="77777777" w:rsidR="004558C7" w:rsidRDefault="00455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3FDD6" w14:textId="77777777" w:rsidR="004558C7" w:rsidRDefault="004558C7">
      <w:r>
        <w:separator/>
      </w:r>
    </w:p>
  </w:footnote>
  <w:footnote w:type="continuationSeparator" w:id="0">
    <w:p w14:paraId="38551F49" w14:textId="77777777" w:rsidR="004558C7" w:rsidRDefault="004558C7">
      <w:r>
        <w:continuationSeparator/>
      </w:r>
    </w:p>
  </w:footnote>
  <w:footnote w:type="continuationNotice" w:id="1">
    <w:p w14:paraId="2E6D945B" w14:textId="77777777" w:rsidR="004558C7" w:rsidRDefault="00455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67DB2"/>
    <w:multiLevelType w:val="hybridMultilevel"/>
    <w:tmpl w:val="FBB01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abstractNum w:abstractNumId="5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1807"/>
    <w:multiLevelType w:val="hybridMultilevel"/>
    <w:tmpl w:val="D5166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96328"/>
    <w:multiLevelType w:val="hybridMultilevel"/>
    <w:tmpl w:val="0CF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B4A74"/>
    <w:multiLevelType w:val="hybridMultilevel"/>
    <w:tmpl w:val="2D580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6249F"/>
    <w:multiLevelType w:val="hybridMultilevel"/>
    <w:tmpl w:val="975C329C"/>
    <w:lvl w:ilvl="0" w:tplc="720236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3F145A"/>
    <w:multiLevelType w:val="hybridMultilevel"/>
    <w:tmpl w:val="DFF69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D86AFB"/>
    <w:multiLevelType w:val="hybridMultilevel"/>
    <w:tmpl w:val="62E67F46"/>
    <w:lvl w:ilvl="0" w:tplc="2D2EC7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93F9B"/>
    <w:multiLevelType w:val="hybridMultilevel"/>
    <w:tmpl w:val="0212B2AE"/>
    <w:lvl w:ilvl="0" w:tplc="C5D0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27278"/>
    <w:multiLevelType w:val="hybridMultilevel"/>
    <w:tmpl w:val="8C7C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1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C14DF4"/>
    <w:multiLevelType w:val="hybridMultilevel"/>
    <w:tmpl w:val="98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6081895"/>
    <w:multiLevelType w:val="hybridMultilevel"/>
    <w:tmpl w:val="6E46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3BF56869"/>
    <w:multiLevelType w:val="hybridMultilevel"/>
    <w:tmpl w:val="8086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3D2B1D"/>
    <w:multiLevelType w:val="hybridMultilevel"/>
    <w:tmpl w:val="46F2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57585E"/>
    <w:multiLevelType w:val="hybridMultilevel"/>
    <w:tmpl w:val="B334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93259EF"/>
    <w:multiLevelType w:val="hybridMultilevel"/>
    <w:tmpl w:val="6DEEA490"/>
    <w:lvl w:ilvl="0" w:tplc="79C63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C72CC0"/>
    <w:multiLevelType w:val="hybridMultilevel"/>
    <w:tmpl w:val="FA74B5C0"/>
    <w:lvl w:ilvl="0" w:tplc="E9724D4E">
      <w:start w:val="2"/>
      <w:numFmt w:val="decimal"/>
      <w:lvlText w:val="%1-"/>
      <w:lvlJc w:val="left"/>
      <w:pPr>
        <w:ind w:left="9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00" w:hanging="360"/>
      </w:pPr>
    </w:lvl>
    <w:lvl w:ilvl="2" w:tplc="0407001B" w:tentative="1">
      <w:start w:val="1"/>
      <w:numFmt w:val="lowerRoman"/>
      <w:lvlText w:val="%3."/>
      <w:lvlJc w:val="right"/>
      <w:pPr>
        <w:ind w:left="2420" w:hanging="180"/>
      </w:pPr>
    </w:lvl>
    <w:lvl w:ilvl="3" w:tplc="0407000F" w:tentative="1">
      <w:start w:val="1"/>
      <w:numFmt w:val="decimal"/>
      <w:lvlText w:val="%4."/>
      <w:lvlJc w:val="left"/>
      <w:pPr>
        <w:ind w:left="3140" w:hanging="360"/>
      </w:pPr>
    </w:lvl>
    <w:lvl w:ilvl="4" w:tplc="04070019" w:tentative="1">
      <w:start w:val="1"/>
      <w:numFmt w:val="lowerLetter"/>
      <w:lvlText w:val="%5."/>
      <w:lvlJc w:val="left"/>
      <w:pPr>
        <w:ind w:left="3860" w:hanging="360"/>
      </w:pPr>
    </w:lvl>
    <w:lvl w:ilvl="5" w:tplc="0407001B" w:tentative="1">
      <w:start w:val="1"/>
      <w:numFmt w:val="lowerRoman"/>
      <w:lvlText w:val="%6."/>
      <w:lvlJc w:val="right"/>
      <w:pPr>
        <w:ind w:left="4580" w:hanging="180"/>
      </w:pPr>
    </w:lvl>
    <w:lvl w:ilvl="6" w:tplc="0407000F" w:tentative="1">
      <w:start w:val="1"/>
      <w:numFmt w:val="decimal"/>
      <w:lvlText w:val="%7."/>
      <w:lvlJc w:val="left"/>
      <w:pPr>
        <w:ind w:left="5300" w:hanging="360"/>
      </w:pPr>
    </w:lvl>
    <w:lvl w:ilvl="7" w:tplc="04070019" w:tentative="1">
      <w:start w:val="1"/>
      <w:numFmt w:val="lowerLetter"/>
      <w:lvlText w:val="%8."/>
      <w:lvlJc w:val="left"/>
      <w:pPr>
        <w:ind w:left="6020" w:hanging="360"/>
      </w:pPr>
    </w:lvl>
    <w:lvl w:ilvl="8" w:tplc="0407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0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72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CB3CA5"/>
    <w:multiLevelType w:val="hybridMultilevel"/>
    <w:tmpl w:val="0A06FCE0"/>
    <w:lvl w:ilvl="0" w:tplc="896A1EE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B7F5DFE"/>
    <w:multiLevelType w:val="hybridMultilevel"/>
    <w:tmpl w:val="FF4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1E4524"/>
    <w:multiLevelType w:val="hybridMultilevel"/>
    <w:tmpl w:val="873C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630A4207"/>
    <w:multiLevelType w:val="hybridMultilevel"/>
    <w:tmpl w:val="AEB2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0" w15:restartNumberingAfterBreak="0">
    <w:nsid w:val="658F6CD1"/>
    <w:multiLevelType w:val="hybridMultilevel"/>
    <w:tmpl w:val="ADF4DEDC"/>
    <w:lvl w:ilvl="0" w:tplc="0C627AD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6A1C03D5"/>
    <w:multiLevelType w:val="hybridMultilevel"/>
    <w:tmpl w:val="C2C48E02"/>
    <w:lvl w:ilvl="0" w:tplc="729AE2B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4" w15:restartNumberingAfterBreak="0">
    <w:nsid w:val="725448C9"/>
    <w:multiLevelType w:val="hybridMultilevel"/>
    <w:tmpl w:val="2DFA3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6" w15:restartNumberingAfterBreak="0">
    <w:nsid w:val="771F22E9"/>
    <w:multiLevelType w:val="multilevel"/>
    <w:tmpl w:val="F27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033EEF"/>
    <w:multiLevelType w:val="hybridMultilevel"/>
    <w:tmpl w:val="186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B669E7"/>
    <w:multiLevelType w:val="hybridMultilevel"/>
    <w:tmpl w:val="6EAEA9F6"/>
    <w:lvl w:ilvl="0" w:tplc="B54461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6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5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1"/>
  </w:num>
  <w:num w:numId="7">
    <w:abstractNumId w:val="34"/>
  </w:num>
  <w:num w:numId="8">
    <w:abstractNumId w:val="26"/>
  </w:num>
  <w:num w:numId="9">
    <w:abstractNumId w:val="17"/>
  </w:num>
  <w:num w:numId="10">
    <w:abstractNumId w:val="13"/>
  </w:num>
  <w:num w:numId="11">
    <w:abstractNumId w:val="45"/>
  </w:num>
  <w:num w:numId="12">
    <w:abstractNumId w:val="49"/>
  </w:num>
  <w:num w:numId="13">
    <w:abstractNumId w:val="4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6"/>
  </w:num>
  <w:num w:numId="15">
    <w:abstractNumId w:val="47"/>
  </w:num>
  <w:num w:numId="16">
    <w:abstractNumId w:val="30"/>
  </w:num>
  <w:num w:numId="17">
    <w:abstractNumId w:val="28"/>
  </w:num>
  <w:num w:numId="18">
    <w:abstractNumId w:val="19"/>
  </w:num>
  <w:num w:numId="19">
    <w:abstractNumId w:val="57"/>
  </w:num>
  <w:num w:numId="20">
    <w:abstractNumId w:val="5"/>
  </w:num>
  <w:num w:numId="21">
    <w:abstractNumId w:val="38"/>
  </w:num>
  <w:num w:numId="22">
    <w:abstractNumId w:val="44"/>
  </w:num>
  <w:num w:numId="23">
    <w:abstractNumId w:val="48"/>
  </w:num>
  <w:num w:numId="24">
    <w:abstractNumId w:val="27"/>
  </w:num>
  <w:num w:numId="25">
    <w:abstractNumId w:val="2"/>
  </w:num>
  <w:num w:numId="26">
    <w:abstractNumId w:val="2"/>
  </w:num>
  <w:num w:numId="27">
    <w:abstractNumId w:val="16"/>
  </w:num>
  <w:num w:numId="28">
    <w:abstractNumId w:val="15"/>
  </w:num>
  <w:num w:numId="29">
    <w:abstractNumId w:val="37"/>
  </w:num>
  <w:num w:numId="30">
    <w:abstractNumId w:val="62"/>
  </w:num>
  <w:num w:numId="31">
    <w:abstractNumId w:val="2"/>
  </w:num>
  <w:num w:numId="32">
    <w:abstractNumId w:val="2"/>
  </w:num>
  <w:num w:numId="33">
    <w:abstractNumId w:val="14"/>
  </w:num>
  <w:num w:numId="34">
    <w:abstractNumId w:val="61"/>
  </w:num>
  <w:num w:numId="35">
    <w:abstractNumId w:val="7"/>
  </w:num>
  <w:num w:numId="36">
    <w:abstractNumId w:val="24"/>
  </w:num>
  <w:num w:numId="37">
    <w:abstractNumId w:val="59"/>
  </w:num>
  <w:num w:numId="38">
    <w:abstractNumId w:val="11"/>
  </w:num>
  <w:num w:numId="39">
    <w:abstractNumId w:val="62"/>
  </w:num>
  <w:num w:numId="40">
    <w:abstractNumId w:val="62"/>
  </w:num>
  <w:num w:numId="41">
    <w:abstractNumId w:val="18"/>
  </w:num>
  <w:num w:numId="42">
    <w:abstractNumId w:val="63"/>
  </w:num>
  <w:num w:numId="43">
    <w:abstractNumId w:val="36"/>
  </w:num>
  <w:num w:numId="44">
    <w:abstractNumId w:val="42"/>
  </w:num>
  <w:num w:numId="45">
    <w:abstractNumId w:val="20"/>
  </w:num>
  <w:num w:numId="46">
    <w:abstractNumId w:val="55"/>
  </w:num>
  <w:num w:numId="47">
    <w:abstractNumId w:val="33"/>
  </w:num>
  <w:num w:numId="48">
    <w:abstractNumId w:val="21"/>
  </w:num>
  <w:num w:numId="49">
    <w:abstractNumId w:val="58"/>
  </w:num>
  <w:num w:numId="50">
    <w:abstractNumId w:val="29"/>
  </w:num>
  <w:num w:numId="51">
    <w:abstractNumId w:val="56"/>
  </w:num>
  <w:num w:numId="52">
    <w:abstractNumId w:val="3"/>
  </w:num>
  <w:num w:numId="53">
    <w:abstractNumId w:val="35"/>
  </w:num>
  <w:num w:numId="54">
    <w:abstractNumId w:val="43"/>
  </w:num>
  <w:num w:numId="55">
    <w:abstractNumId w:val="31"/>
  </w:num>
  <w:num w:numId="56">
    <w:abstractNumId w:val="2"/>
  </w:num>
  <w:num w:numId="57">
    <w:abstractNumId w:val="2"/>
  </w:num>
  <w:num w:numId="58">
    <w:abstractNumId w:val="2"/>
  </w:num>
  <w:num w:numId="59">
    <w:abstractNumId w:val="54"/>
  </w:num>
  <w:num w:numId="60">
    <w:abstractNumId w:val="12"/>
  </w:num>
  <w:num w:numId="61">
    <w:abstractNumId w:val="1"/>
  </w:num>
  <w:num w:numId="62">
    <w:abstractNumId w:val="4"/>
  </w:num>
  <w:num w:numId="63">
    <w:abstractNumId w:val="8"/>
  </w:num>
  <w:num w:numId="64">
    <w:abstractNumId w:val="41"/>
  </w:num>
  <w:num w:numId="65">
    <w:abstractNumId w:val="6"/>
  </w:num>
  <w:num w:numId="66">
    <w:abstractNumId w:val="9"/>
  </w:num>
  <w:num w:numId="67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"/>
  </w:num>
  <w:num w:numId="69">
    <w:abstractNumId w:val="23"/>
  </w:num>
  <w:num w:numId="70">
    <w:abstractNumId w:val="32"/>
  </w:num>
  <w:num w:numId="71">
    <w:abstractNumId w:val="60"/>
  </w:num>
  <w:num w:numId="72">
    <w:abstractNumId w:val="52"/>
  </w:num>
  <w:num w:numId="73">
    <w:abstractNumId w:val="53"/>
  </w:num>
  <w:num w:numId="74">
    <w:abstractNumId w:val="39"/>
  </w:num>
  <w:num w:numId="75">
    <w:abstractNumId w:val="10"/>
  </w:num>
  <w:num w:numId="76">
    <w:abstractNumId w:val="5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9A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2F0E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AE3"/>
    <w:rsid w:val="00035CAB"/>
    <w:rsid w:val="00035F2B"/>
    <w:rsid w:val="00036231"/>
    <w:rsid w:val="00036390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12"/>
    <w:rsid w:val="000562F0"/>
    <w:rsid w:val="000564D9"/>
    <w:rsid w:val="00056DF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394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3BC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2C8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820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33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9DC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563"/>
    <w:rsid w:val="001B6AB9"/>
    <w:rsid w:val="001B6C77"/>
    <w:rsid w:val="001B70CF"/>
    <w:rsid w:val="001B716B"/>
    <w:rsid w:val="001B748B"/>
    <w:rsid w:val="001B7CA6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555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5883"/>
    <w:rsid w:val="00276001"/>
    <w:rsid w:val="0027608E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7D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C6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3FA4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C52"/>
    <w:rsid w:val="002D7C7C"/>
    <w:rsid w:val="002E018E"/>
    <w:rsid w:val="002E04F0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D9C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48"/>
    <w:rsid w:val="0031088D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18A"/>
    <w:rsid w:val="003154E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981"/>
    <w:rsid w:val="00360D1F"/>
    <w:rsid w:val="00361049"/>
    <w:rsid w:val="003617B5"/>
    <w:rsid w:val="003617CA"/>
    <w:rsid w:val="0036185C"/>
    <w:rsid w:val="00361F88"/>
    <w:rsid w:val="0036262C"/>
    <w:rsid w:val="003626C4"/>
    <w:rsid w:val="00362835"/>
    <w:rsid w:val="003628CD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090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4E4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8C7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8C7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143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2ED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B1D"/>
    <w:rsid w:val="004C4BCE"/>
    <w:rsid w:val="004C4BF3"/>
    <w:rsid w:val="004C4CE4"/>
    <w:rsid w:val="004C4DB5"/>
    <w:rsid w:val="004C4F33"/>
    <w:rsid w:val="004C521E"/>
    <w:rsid w:val="004C595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CCC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4AAA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22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86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973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AD1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5FE4"/>
    <w:rsid w:val="00696244"/>
    <w:rsid w:val="0069628E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D0233"/>
    <w:rsid w:val="006D03CD"/>
    <w:rsid w:val="006D0448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65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BFD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5F0F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29E"/>
    <w:rsid w:val="007C4356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3E4E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4C24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74"/>
    <w:rsid w:val="0082449E"/>
    <w:rsid w:val="008249FF"/>
    <w:rsid w:val="00824CF0"/>
    <w:rsid w:val="008251EC"/>
    <w:rsid w:val="008254DD"/>
    <w:rsid w:val="008257F4"/>
    <w:rsid w:val="008258D4"/>
    <w:rsid w:val="00825DD4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40D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5EE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8B3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C9C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9F2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1F8E"/>
    <w:rsid w:val="0095225E"/>
    <w:rsid w:val="00952391"/>
    <w:rsid w:val="00952444"/>
    <w:rsid w:val="00952752"/>
    <w:rsid w:val="009527E4"/>
    <w:rsid w:val="00952ACA"/>
    <w:rsid w:val="00952C1F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5BCE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4F9A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041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4C4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16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01C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7EE"/>
    <w:rsid w:val="00A14B08"/>
    <w:rsid w:val="00A14B5D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44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09EF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445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3BD"/>
    <w:rsid w:val="00A5044D"/>
    <w:rsid w:val="00A50893"/>
    <w:rsid w:val="00A50B00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B04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74E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0A8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99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388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166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56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6C3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4E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DE4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64B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126F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F0E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38FD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CD"/>
    <w:rsid w:val="00CD1AF9"/>
    <w:rsid w:val="00CD1D72"/>
    <w:rsid w:val="00CD1E74"/>
    <w:rsid w:val="00CD2170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36"/>
    <w:rsid w:val="00D02C7A"/>
    <w:rsid w:val="00D02E17"/>
    <w:rsid w:val="00D03519"/>
    <w:rsid w:val="00D0359B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16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4CD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9CE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896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797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1C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4B75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2D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74CC"/>
    <w:rsid w:val="00E377BF"/>
    <w:rsid w:val="00E379D0"/>
    <w:rsid w:val="00E37AF2"/>
    <w:rsid w:val="00E37B61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3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596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173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4AE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579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7C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2C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D53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442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6F39A5EC"/>
  <w15:docId w15:val="{8F455836-11CD-49DA-8699-868C8C219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aliases w:val="TableGrid"/>
    <w:basedOn w:val="NormaleTabelle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uiPriority w:val="99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Standard"/>
    <w:link w:val="ListenabsatzZchn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qFormat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A9266C"/>
    <w:pPr>
      <w:numPr>
        <w:numId w:val="30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eastAsia="ja-JP"/>
    </w:rPr>
  </w:style>
  <w:style w:type="paragraph" w:customStyle="1" w:styleId="Proposal0">
    <w:name w:val="Proposal:"/>
    <w:basedOn w:val="Standard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36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KeinLeerraum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列表段落 Zchn,列出段落 Zchn,¥¡¡¡¡ì¬º¥¹¥È¶ÎÂä Zchn,ÁÐ³ö¶ÎÂä Zchn,列表段落1 Zchn,—ño’i—Ž Zchn,¥ê¥¹¥È¶ÎÂä Zchn,Paragrafo elenco Zchn"/>
    <w:link w:val="Listenabsatz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bsatz-Standardschriftart"/>
    <w:qFormat/>
    <w:rsid w:val="00872128"/>
  </w:style>
  <w:style w:type="character" w:styleId="Fett">
    <w:name w:val="Strong"/>
    <w:basedOn w:val="Absatz-Standardschriftart"/>
    <w:uiPriority w:val="22"/>
    <w:qFormat/>
    <w:rsid w:val="00872128"/>
    <w:rPr>
      <w:b/>
      <w:bCs/>
    </w:rPr>
  </w:style>
  <w:style w:type="character" w:styleId="Hervorhebung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Standard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ntext">
    <w:name w:val="endnote text"/>
    <w:basedOn w:val="Standard"/>
    <w:link w:val="EndnotentextZchn"/>
    <w:semiHidden/>
    <w:unhideWhenUsed/>
    <w:rsid w:val="00782319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782319"/>
    <w:rPr>
      <w:rFonts w:ascii="Times New Roman" w:hAnsi="Times New Roman"/>
      <w:lang w:val="en-GB"/>
    </w:rPr>
  </w:style>
  <w:style w:type="character" w:styleId="Endnotenzeichen">
    <w:name w:val="endnote reference"/>
    <w:basedOn w:val="Absatz-Standardschriftar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Standard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ittlereListe2-Akzent1">
    <w:name w:val="Medium List 2 Accent 1"/>
    <w:basedOn w:val="NormaleTabelle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bbildungsverzeichnis">
    <w:name w:val="table of figures"/>
    <w:basedOn w:val="Standard"/>
    <w:next w:val="Standard"/>
    <w:semiHidden/>
    <w:unhideWhenUsed/>
    <w:rsid w:val="00ED2DD9"/>
    <w:pPr>
      <w:spacing w:after="0"/>
    </w:pPr>
  </w:style>
  <w:style w:type="character" w:customStyle="1" w:styleId="ui-provider">
    <w:name w:val="ui-provider"/>
    <w:basedOn w:val="Absatz-Standardschriftart"/>
    <w:rsid w:val="00DF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81f21dd9-5de3-44a3-9c4e-ab308fbc6c41"/>
    <ds:schemaRef ds:uri="35d934a9-c0cd-4c6a-b8d8-662a115f1c92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7C9E12-2DE1-45D2-801D-0A310CAFD76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40E9CA-DB31-4BC9-A453-590809C1C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791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5250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Oliveira da Costa, Gustavo Wagner</cp:lastModifiedBy>
  <cp:revision>4</cp:revision>
  <cp:lastPrinted>2022-01-05T12:49:00Z</cp:lastPrinted>
  <dcterms:created xsi:type="dcterms:W3CDTF">2023-04-06T09:50:00Z</dcterms:created>
  <dcterms:modified xsi:type="dcterms:W3CDTF">2023-04-06T20:22:00Z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