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pPr>
        <w:pStyle w:val="25"/>
        <w:tabs>
          <w:tab w:val="right" w:pos="9639"/>
        </w:tabs>
        <w:jc w:val="both"/>
        <w:rPr>
          <w:bCs/>
          <w:sz w:val="24"/>
        </w:rPr>
      </w:pPr>
      <w:r>
        <w:rPr>
          <w:bCs/>
          <w:sz w:val="24"/>
          <w:szCs w:val="24"/>
          <w:lang w:eastAsia="zh-CN"/>
        </w:rPr>
        <w:t>Elbonia,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pPr>
        <w:pStyle w:val="25"/>
        <w:jc w:val="both"/>
        <w:rPr>
          <w:bCs/>
          <w:sz w:val="24"/>
        </w:rPr>
      </w:pPr>
    </w:p>
    <w:p>
      <w:pPr>
        <w:pStyle w:val="70"/>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[AT121bis-e][106][NR NTN Enh] Signalling of TN coverage (Nokia)</w:t>
      </w:r>
    </w:p>
    <w:p>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NR_NTN_enh – Rel-18</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pPr>
      <w:r>
        <w:t>1</w:t>
      </w:r>
      <w:r>
        <w:tab/>
      </w:r>
      <w:r>
        <w:t>Introduction</w:t>
      </w:r>
    </w:p>
    <w:p>
      <w:r>
        <w:t xml:space="preserve">This is to discuss the following: </w:t>
      </w:r>
    </w:p>
    <w:p>
      <w:pPr>
        <w:pStyle w:val="79"/>
        <w:rPr>
          <w:lang w:val="en-US" w:eastAsia="en-US"/>
        </w:rPr>
      </w:pPr>
      <w:r>
        <w:rPr>
          <w:lang w:val="en-US" w:eastAsia="en-US"/>
        </w:rPr>
        <w:t>[AT121bis-e][106][NR NTN Enh] Signaling of TN coverage (Nokia)</w:t>
      </w:r>
    </w:p>
    <w:p>
      <w:pPr>
        <w:pStyle w:val="80"/>
        <w:ind w:left="1619" w:firstLine="0"/>
      </w:pPr>
      <w:r>
        <w:rPr>
          <w:rFonts w:eastAsia="Times New Roman" w:cs="Arial"/>
          <w:color w:val="000000"/>
          <w:sz w:val="21"/>
          <w:szCs w:val="21"/>
          <w:lang w:val="en-US" w:eastAsia="en-US"/>
        </w:rPr>
        <w:t xml:space="preserve">Initial scope: Continue the discussion on the signaling of TN coverage: signaling details for area center+radius (e.g. reuse of </w:t>
      </w:r>
      <w:r>
        <w:rPr>
          <w:i/>
          <w:iCs/>
          <w:lang w:eastAsia="ko-KR"/>
        </w:rPr>
        <w:t>Ellipsoid-PointWithUncertaintyCircle</w:t>
      </w:r>
      <w:r>
        <w:rPr>
          <w:iCs/>
          <w:lang w:eastAsia="ko-KR"/>
        </w:rPr>
        <w:t xml:space="preserve">?), which SIB to usse, </w:t>
      </w:r>
      <w:r>
        <w:t>whether additional information in dedicated signalling is needed, validity of the TN coverage area information, how to associate TN coverage info and frequency</w:t>
      </w:r>
    </w:p>
    <w:p>
      <w:pPr>
        <w:pStyle w:val="80"/>
        <w:ind w:left="1619"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ype="textWrapping"/>
      </w:r>
      <w:r>
        <w:rPr>
          <w:rFonts w:eastAsia="Times New Roman" w:cs="Arial"/>
          <w:color w:val="000000"/>
          <w:sz w:val="21"/>
          <w:szCs w:val="21"/>
          <w:lang w:val="en-US"/>
        </w:rPr>
        <w:t>Deadline for rapporteur's summary (in R2-2304246): Monday 2023-04-24 18:00 UTC</w:t>
      </w:r>
    </w:p>
    <w:p>
      <w:pPr>
        <w:pStyle w:val="80"/>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pPr>
        <w:jc w:val="both"/>
      </w:pPr>
      <w:r>
        <w:br w:type="textWrapping"/>
      </w:r>
      <w:r>
        <w:t>In the next section we elaborate on TN coverage signaling and related matters.</w:t>
      </w:r>
    </w:p>
    <w:p>
      <w:pPr>
        <w:pStyle w:val="2"/>
      </w:pPr>
      <w:r>
        <w:t>2</w:t>
      </w:r>
      <w:r>
        <w:tab/>
      </w:r>
      <w:r>
        <w:t>Contact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9"/>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3"/>
              <w:rPr>
                <w:rFonts w:ascii="Times New Roman" w:hAnsi="Times New Roman"/>
                <w:sz w:val="20"/>
                <w:lang w:eastAsia="ko-KR"/>
              </w:rPr>
            </w:pPr>
            <w:r>
              <w:rPr>
                <w:rFonts w:ascii="Times New Roman" w:hAnsi="Times New Roman"/>
                <w:sz w:val="20"/>
                <w:lang w:eastAsia="ko-KR"/>
              </w:rPr>
              <w:t>Company</w:t>
            </w:r>
          </w:p>
        </w:tc>
        <w:tc>
          <w:tcPr>
            <w:tcW w:w="5457" w:type="dxa"/>
            <w:tcBorders>
              <w:top w:val="single" w:color="auto" w:sz="4" w:space="0"/>
              <w:left w:val="single" w:color="auto" w:sz="4" w:space="0"/>
              <w:bottom w:val="single" w:color="auto" w:sz="4" w:space="0"/>
              <w:right w:val="single" w:color="auto" w:sz="4" w:space="0"/>
            </w:tcBorders>
          </w:tcPr>
          <w:p>
            <w:pPr>
              <w:pStyle w:val="43"/>
              <w:rPr>
                <w:rFonts w:ascii="Times New Roman" w:hAnsi="Times New Roman"/>
                <w:sz w:val="20"/>
                <w:lang w:eastAsia="ko-KR"/>
              </w:rPr>
            </w:pPr>
            <w:r>
              <w:rPr>
                <w:rFonts w:ascii="Times New Roman" w:hAnsi="Times New Roman"/>
                <w:sz w:val="20"/>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eastAsia="zh-CN"/>
              </w:rPr>
            </w:pPr>
            <w:r>
              <w:rPr>
                <w:rFonts w:hint="eastAsia"/>
                <w:lang w:val="en-US" w:eastAsia="zh-CN"/>
              </w:rPr>
              <w:t xml:space="preserve"> CATT</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eastAsia="zh-CN"/>
              </w:rPr>
            </w:pPr>
            <w:r>
              <w:rPr>
                <w:rFonts w:hint="eastAsia"/>
                <w:lang w:val="en-US" w:eastAsia="zh-CN"/>
              </w:rPr>
              <w:t>Xiangdong Zhang (zhangxiangdong@catt.cn)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r>
              <w:rPr>
                <w:rFonts w:hint="eastAsia"/>
                <w:lang w:val="en-US" w:eastAsia="zh-CN"/>
              </w:rPr>
              <w:t>Transsion Holdings</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rPr>
            </w:pPr>
            <w:r>
              <w:rPr>
                <w:rFonts w:hint="eastAsia"/>
                <w:lang w:val="en-US" w:eastAsia="zh-CN"/>
              </w:rPr>
              <w:t>Junwei Huang (junwei.huang@transsion.com)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eastAsia="ko-K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eastAsia="ko-K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eastAsia="ko-K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eastAsia="ko-K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eastAsia="ko-KR"/>
              </w:rPr>
            </w:pPr>
          </w:p>
        </w:tc>
      </w:tr>
    </w:tbl>
    <w:p/>
    <w:p>
      <w:pPr>
        <w:pStyle w:val="2"/>
        <w:jc w:val="both"/>
      </w:pPr>
      <w:r>
        <w:t>3</w:t>
      </w:r>
      <w:r>
        <w:tab/>
      </w:r>
      <w:r>
        <w:t>Discussion</w:t>
      </w:r>
    </w:p>
    <w:p>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Agreements:</w:t>
            </w:r>
          </w:p>
          <w:p>
            <w:r>
              <w:t>1.</w:t>
            </w:r>
            <w:r>
              <w:tab/>
            </w:r>
            <w:r>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bl>
    <w:p>
      <w:r>
        <w:br w:type="textWrapping"/>
      </w:r>
      <w:r>
        <w:t xml:space="preserve">In this e-mail discussion we want to collect companies’ views regarding the aforementioned FFS points and other TN coverage related aspects listed in the e-mail discussion scope. </w:t>
      </w:r>
    </w:p>
    <w:p>
      <w:pPr>
        <w:pStyle w:val="3"/>
      </w:pPr>
      <w:r>
        <w:t xml:space="preserve">3.1 </w:t>
      </w:r>
      <w:r>
        <w:tab/>
      </w:r>
      <w:r>
        <w:t>Signalling details – area center and radius</w:t>
      </w:r>
    </w:p>
    <w:p>
      <w:pPr>
        <w:jc w:val="both"/>
        <w:rPr>
          <w:lang w:val="en-US"/>
        </w:rPr>
      </w:pPr>
      <w:r>
        <w:t xml:space="preserve">As stated in the agreement box above, the TN coverage information will be signalled in the form of a list of areas. Each area should be defined using center location and the radius. There were various proposals submitted to this meeting regarding which IE to apply for signaling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 xml:space="preserve">Ellipsoid-PointWithUncertaintyCircle </w:t>
      </w:r>
      <w:r>
        <w:rPr>
          <w:lang w:eastAsia="ko-KR"/>
        </w:rPr>
        <w:t>could be applied alternatively. A related topic is how to signal the radius and how accurate it shall be. Thus, companies are asked to share their view on how to signal area’s center location and its radius.</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zh-CN"/>
              </w:rPr>
            </w:pPr>
            <w:r>
              <w:rPr>
                <w:b/>
              </w:rPr>
              <w:t>Question 1:</w:t>
            </w:r>
            <w:r>
              <w:rPr>
                <w:b/>
                <w:lang w:eastAsia="zh-CN"/>
              </w:rPr>
              <w:t xml:space="preserve"> For TN coverage information, how to signal area center and its radius?</w:t>
            </w:r>
          </w:p>
          <w:p>
            <w:pPr>
              <w:pStyle w:val="74"/>
              <w:numPr>
                <w:ilvl w:val="0"/>
                <w:numId w:val="3"/>
              </w:numPr>
              <w:jc w:val="both"/>
              <w:rPr>
                <w:b/>
                <w:lang w:eastAsia="zh-CN"/>
              </w:rPr>
            </w:pPr>
            <w:r>
              <w:rPr>
                <w:b/>
                <w:lang w:val="en-US"/>
              </w:rPr>
              <w:t>Ellipsoid-Point and radius separately</w:t>
            </w:r>
          </w:p>
          <w:p>
            <w:pPr>
              <w:pStyle w:val="74"/>
              <w:numPr>
                <w:ilvl w:val="0"/>
                <w:numId w:val="3"/>
              </w:numPr>
              <w:jc w:val="both"/>
              <w:rPr>
                <w:b/>
                <w:lang w:eastAsia="zh-CN"/>
              </w:rPr>
            </w:pPr>
            <w:r>
              <w:rPr>
                <w:b/>
                <w:lang w:eastAsia="ko-KR"/>
              </w:rPr>
              <w:t>Ellipsoid-PointWithUncertaintyCircle</w:t>
            </w:r>
          </w:p>
          <w:p>
            <w:pPr>
              <w:pStyle w:val="74"/>
              <w:numPr>
                <w:ilvl w:val="0"/>
                <w:numId w:val="3"/>
              </w:numPr>
              <w:jc w:val="both"/>
              <w:rPr>
                <w:b/>
                <w:bCs/>
                <w:lang w:eastAsia="zh-CN"/>
              </w:rPr>
            </w:pPr>
            <w:r>
              <w:rPr>
                <w:b/>
                <w:lang w:eastAsia="ko-KR"/>
              </w:rPr>
              <w:t>Other</w:t>
            </w:r>
          </w:p>
          <w:p>
            <w:pPr>
              <w:jc w:val="both"/>
              <w:rPr>
                <w:b/>
                <w:bCs/>
                <w:lang w:eastAsia="zh-CN"/>
              </w:rPr>
            </w:pPr>
            <w:r>
              <w:rPr>
                <w:b/>
                <w:bCs/>
                <w:lang w:eastAsia="zh-CN"/>
              </w:rPr>
              <w:t>In your response, please indicate how accurate that shall be and how many bits are jointly needed per single TN coverage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CATT</w:t>
            </w:r>
          </w:p>
        </w:tc>
        <w:tc>
          <w:tcPr>
            <w:tcW w:w="1843" w:type="dxa"/>
          </w:tcPr>
          <w:p>
            <w:pPr>
              <w:jc w:val="both"/>
              <w:rPr>
                <w:lang w:eastAsia="zh-CN"/>
              </w:rPr>
            </w:pPr>
            <w:r>
              <w:rPr>
                <w:lang w:eastAsia="zh-CN"/>
              </w:rPr>
              <w:t>a</w:t>
            </w:r>
            <w:r>
              <w:rPr>
                <w:rFonts w:hint="eastAsia"/>
                <w:lang w:eastAsia="zh-CN"/>
              </w:rPr>
              <w:t>)</w:t>
            </w:r>
          </w:p>
        </w:tc>
        <w:tc>
          <w:tcPr>
            <w:tcW w:w="5808" w:type="dxa"/>
          </w:tcPr>
          <w:p>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pPr>
              <w:autoSpaceDE w:val="0"/>
              <w:autoSpaceDN w:val="0"/>
              <w:spacing w:after="0"/>
              <w:rPr>
                <w:rFonts w:ascii="Calibri" w:hAnsi="Calibri" w:cs="宋体"/>
                <w:sz w:val="21"/>
                <w:szCs w:val="21"/>
                <w:lang w:val="en-US" w:eastAsia="zh-CN"/>
              </w:rPr>
            </w:pPr>
            <w:r>
              <w:rPr>
                <w:rFonts w:ascii="Calibri" w:hAnsi="Calibri" w:cs="宋体"/>
                <w:i/>
                <w:iCs/>
                <w:lang w:eastAsia="zh-CN"/>
              </w:rPr>
              <w:t> </w:t>
            </w:r>
            <w:r>
              <w:rPr>
                <w:i/>
                <w:iCs/>
                <w:lang w:eastAsia="zh-CN"/>
              </w:rPr>
              <w:t>r</w:t>
            </w:r>
            <w:r>
              <w:rPr>
                <w:lang w:eastAsia="zh-CN"/>
              </w:rPr>
              <w:t> </w:t>
            </w:r>
            <w:r>
              <w:rPr>
                <w:rFonts w:hint="eastAsia" w:ascii="Microsoft YaHei UI" w:hAnsi="Microsoft YaHei UI" w:eastAsia="Microsoft YaHei UI" w:cs="宋体"/>
                <w:lang w:eastAsia="zh-CN"/>
              </w:rPr>
              <w:t>= C*(((1+x)</w:t>
            </w:r>
            <w:r>
              <w:rPr>
                <w:vertAlign w:val="superscript"/>
                <w:lang w:eastAsia="zh-CN"/>
              </w:rPr>
              <w:t>K</w:t>
            </w:r>
            <w:r>
              <w:rPr>
                <w:rFonts w:hint="eastAsia" w:ascii="Microsoft YaHei UI" w:hAnsi="Microsoft YaHei UI" w:eastAsia="Microsoft YaHei UI" w:cs="宋体"/>
                <w:lang w:eastAsia="zh-CN"/>
              </w:rPr>
              <w:t>)-1)</w:t>
            </w:r>
          </w:p>
          <w:p>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a)</w:t>
            </w:r>
          </w:p>
        </w:tc>
        <w:tc>
          <w:tcPr>
            <w:tcW w:w="5808" w:type="dxa"/>
          </w:tcPr>
          <w:p>
            <w:pPr>
              <w:jc w:val="both"/>
              <w:rPr>
                <w:lang w:eastAsia="zh-CN"/>
              </w:rPr>
            </w:pPr>
            <w:r>
              <w:rPr>
                <w:lang w:eastAsia="zh-CN"/>
              </w:rPr>
              <w:t>Seems even for b) radius needs to be separately indicated. The uncertainty circle is used to describe the uncertainty of the area center location, which is not needed and the complexity should be avoided.</w:t>
            </w:r>
          </w:p>
          <w:p>
            <w:pPr>
              <w:jc w:val="both"/>
              <w:rPr>
                <w:lang w:eastAsia="zh-CN"/>
              </w:rPr>
            </w:pPr>
            <w:r>
              <w:rPr>
                <w:lang w:eastAsia="zh-CN"/>
              </w:rPr>
              <w:t>a) can be used as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80" w:type="dxa"/>
          </w:tcPr>
          <w:p>
            <w:pPr>
              <w:jc w:val="both"/>
              <w:rPr>
                <w:rFonts w:hint="default"/>
                <w:lang w:val="en-US" w:eastAsia="zh-CN"/>
              </w:rPr>
            </w:pPr>
            <w:r>
              <w:rPr>
                <w:rFonts w:hint="eastAsia"/>
                <w:lang w:val="en-US" w:eastAsia="zh-CN"/>
              </w:rPr>
              <w:t>Transsion</w:t>
            </w:r>
          </w:p>
        </w:tc>
        <w:tc>
          <w:tcPr>
            <w:tcW w:w="1843" w:type="dxa"/>
          </w:tcPr>
          <w:p>
            <w:pPr>
              <w:jc w:val="both"/>
              <w:rPr>
                <w:rFonts w:hint="default"/>
                <w:lang w:val="en-US" w:eastAsia="zh-CN"/>
              </w:rPr>
            </w:pPr>
            <w:r>
              <w:rPr>
                <w:lang w:eastAsia="zh-CN"/>
              </w:rPr>
              <w:t>a)</w:t>
            </w:r>
          </w:p>
        </w:tc>
        <w:tc>
          <w:tcPr>
            <w:tcW w:w="5808" w:type="dxa"/>
          </w:tcPr>
          <w:p>
            <w:pPr>
              <w:jc w:val="both"/>
              <w:rPr>
                <w:rFonts w:hint="default"/>
                <w:lang w:val="en-US" w:eastAsia="zh-CN"/>
              </w:rPr>
            </w:pPr>
            <w:r>
              <w:rPr>
                <w:rFonts w:hint="eastAsia"/>
                <w:lang w:val="en-US" w:eastAsia="zh-CN"/>
              </w:rPr>
              <w:t xml:space="preserve">The legacy Rel-17 means can be reused. Even the </w:t>
            </w:r>
            <w:r>
              <w:rPr>
                <w:rFonts w:hint="eastAsia"/>
                <w:i/>
                <w:iCs/>
                <w:lang w:val="en-US" w:eastAsia="zh-CN"/>
              </w:rPr>
              <w:t>Ellipsoid-PointWithUncertaintyCircl</w:t>
            </w:r>
            <w:r>
              <w:rPr>
                <w:rFonts w:hint="eastAsia"/>
                <w:lang w:val="en-US" w:eastAsia="zh-CN"/>
              </w:rPr>
              <w:t xml:space="preserve">e can provide less signaling overhead comare to </w:t>
            </w:r>
            <w:r>
              <w:rPr>
                <w:rFonts w:hint="eastAsia"/>
                <w:i/>
                <w:iCs/>
                <w:lang w:val="en-US" w:eastAsia="zh-CN"/>
              </w:rPr>
              <w:t xml:space="preserve">Ellipsoid-Point. </w:t>
            </w:r>
            <w:r>
              <w:rPr>
                <w:rFonts w:hint="eastAsia"/>
                <w:i w:val="0"/>
                <w:iCs w:val="0"/>
                <w:lang w:val="en-US" w:eastAsia="zh-CN"/>
              </w:rPr>
              <w:t>The major differnence between these two formats is the range to represent coveraged area, the former one provide shorter than later one, but from imlpelmentation perspective, the later one can provide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rPr>
          <w:u w:val="single"/>
        </w:rPr>
      </w:pPr>
      <w:r>
        <w:br w:type="textWrapping"/>
      </w:r>
      <w:r>
        <w:rPr>
          <w:u w:val="single"/>
        </w:rPr>
        <w:t>Summary for Q1:</w:t>
      </w:r>
    </w:p>
    <w:p>
      <w:pPr>
        <w:pStyle w:val="74"/>
        <w:numPr>
          <w:ilvl w:val="0"/>
          <w:numId w:val="4"/>
        </w:numPr>
        <w:jc w:val="both"/>
      </w:pPr>
      <w:r>
        <w:t>Summary</w:t>
      </w:r>
    </w:p>
    <w:p>
      <w:pPr>
        <w:jc w:val="both"/>
      </w:pPr>
    </w:p>
    <w:p>
      <w:pPr>
        <w:pStyle w:val="3"/>
      </w:pPr>
      <w:r>
        <w:t xml:space="preserve">3.2 </w:t>
      </w:r>
      <w:r>
        <w:tab/>
      </w:r>
      <w:r>
        <w:t>Signaling details – frequency information</w:t>
      </w:r>
    </w:p>
    <w:p>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zh-CN"/>
              </w:rPr>
            </w:pPr>
            <w:r>
              <w:rPr>
                <w:b/>
              </w:rPr>
              <w:t>Question 2:</w:t>
            </w:r>
            <w:r>
              <w:rPr>
                <w:b/>
                <w:lang w:eastAsia="zh-CN"/>
              </w:rPr>
              <w:t xml:space="preserve"> How the frequency information for TN coverage area should be signalled? Please choose from the options below.</w:t>
            </w:r>
          </w:p>
          <w:p>
            <w:pPr>
              <w:pStyle w:val="74"/>
              <w:numPr>
                <w:ilvl w:val="0"/>
                <w:numId w:val="5"/>
              </w:numPr>
              <w:jc w:val="both"/>
              <w:rPr>
                <w:b/>
                <w:lang w:eastAsia="zh-CN"/>
              </w:rPr>
            </w:pPr>
            <w:r>
              <w:rPr>
                <w:b/>
                <w:lang w:val="en-US"/>
              </w:rPr>
              <w:t>Option 1: use a list of frequencies under each TN area information</w:t>
            </w:r>
          </w:p>
          <w:p>
            <w:pPr>
              <w:pStyle w:val="74"/>
              <w:numPr>
                <w:ilvl w:val="0"/>
                <w:numId w:val="5"/>
              </w:numPr>
              <w:jc w:val="both"/>
              <w:rPr>
                <w:b/>
                <w:lang w:eastAsia="zh-CN"/>
              </w:rPr>
            </w:pPr>
            <w:r>
              <w:rPr>
                <w:b/>
                <w:lang w:eastAsia="ko-KR"/>
              </w:rPr>
              <w:t>Option 2: introduce TN coverage area identity and the use this identifier in SIB4 and SIB5 for all TN frequencies listed there</w:t>
            </w:r>
          </w:p>
          <w:p>
            <w:pPr>
              <w:pStyle w:val="74"/>
              <w:numPr>
                <w:ilvl w:val="0"/>
                <w:numId w:val="5"/>
              </w:numPr>
              <w:jc w:val="both"/>
              <w:rPr>
                <w:b/>
                <w:bCs/>
                <w:lang w:eastAsia="zh-CN"/>
              </w:rPr>
            </w:pPr>
            <w:r>
              <w:rPr>
                <w:b/>
                <w:lang w:eastAsia="ko-KR"/>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a)</w:t>
            </w:r>
          </w:p>
        </w:tc>
        <w:tc>
          <w:tcPr>
            <w:tcW w:w="5808" w:type="dxa"/>
          </w:tcPr>
          <w:p>
            <w:pPr>
              <w:jc w:val="both"/>
              <w:rPr>
                <w:lang w:eastAsia="zh-CN"/>
              </w:rPr>
            </w:pPr>
            <w:r>
              <w:rPr>
                <w:lang w:eastAsia="zh-CN"/>
              </w:rPr>
              <w:t>O</w:t>
            </w:r>
            <w:r>
              <w:rPr>
                <w:rFonts w:hint="eastAsia"/>
                <w:lang w:eastAsia="zh-CN"/>
              </w:rPr>
              <w:t>ption 1 is direct and clear.</w:t>
            </w:r>
          </w:p>
          <w:p>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a)</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Transsion</w:t>
            </w:r>
          </w:p>
        </w:tc>
        <w:tc>
          <w:tcPr>
            <w:tcW w:w="1843" w:type="dxa"/>
          </w:tcPr>
          <w:p>
            <w:pPr>
              <w:jc w:val="both"/>
              <w:rPr>
                <w:lang w:eastAsia="zh-CN"/>
              </w:rPr>
            </w:pPr>
            <w:r>
              <w:rPr>
                <w:lang w:eastAsia="zh-CN"/>
              </w:rPr>
              <w:t>a)</w:t>
            </w:r>
          </w:p>
        </w:tc>
        <w:tc>
          <w:tcPr>
            <w:tcW w:w="5808" w:type="dxa"/>
          </w:tcPr>
          <w:p>
            <w:pPr>
              <w:jc w:val="both"/>
              <w:rPr>
                <w:rFonts w:hint="default"/>
                <w:lang w:val="en-US" w:eastAsia="zh-CN"/>
              </w:rPr>
            </w:pPr>
            <w:r>
              <w:rPr>
                <w:rFonts w:hint="eastAsia"/>
                <w:lang w:val="en-US" w:eastAsia="zh-CN"/>
              </w:rPr>
              <w:t>The TN coverage is relative fixed compare to NTN. Option 1 can dirtectly indicate carrier frequency(ies) in a certain area, when UE is closeing to one of area, it can measures for those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Q2:</w:t>
      </w:r>
    </w:p>
    <w:p>
      <w:pPr>
        <w:pStyle w:val="74"/>
        <w:numPr>
          <w:ilvl w:val="0"/>
          <w:numId w:val="4"/>
        </w:numPr>
        <w:jc w:val="both"/>
      </w:pPr>
      <w:r>
        <w:t>Summary</w:t>
      </w:r>
    </w:p>
    <w:p/>
    <w:p>
      <w:pPr>
        <w:pStyle w:val="3"/>
      </w:pPr>
      <w:r>
        <w:t xml:space="preserve">3.3 </w:t>
      </w:r>
      <w:r>
        <w:tab/>
      </w:r>
      <w:r>
        <w:t>Signaling details – the size of TN coverage list</w:t>
      </w:r>
    </w:p>
    <w:p>
      <w:pPr>
        <w:jc w:val="both"/>
      </w:pPr>
      <w:r>
        <w:t>A somewhat related question to the issues discussed already above would be: how many TN coverage areas do we actually need? Please provide the justification on your preferred size of TN coverage list.</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ko-KR"/>
              </w:rPr>
            </w:pPr>
            <w:r>
              <w:rPr>
                <w:b/>
              </w:rPr>
              <w:t>Question 3:</w:t>
            </w:r>
            <w:r>
              <w:rPr>
                <w:b/>
                <w:lang w:eastAsia="zh-CN"/>
              </w:rPr>
              <w:t xml:space="preserve"> What shall be the size of TN coverage list?</w:t>
            </w:r>
            <w:r>
              <w:rPr>
                <w:b/>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See the comment</w:t>
            </w:r>
          </w:p>
        </w:tc>
        <w:tc>
          <w:tcPr>
            <w:tcW w:w="5808" w:type="dxa"/>
          </w:tcPr>
          <w:p>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w:t>
            </w:r>
          </w:p>
        </w:tc>
        <w:tc>
          <w:tcPr>
            <w:tcW w:w="1843" w:type="dxa"/>
          </w:tcPr>
          <w:p>
            <w:pPr>
              <w:jc w:val="both"/>
              <w:rPr>
                <w:rFonts w:hint="default"/>
                <w:lang w:val="en-US" w:eastAsia="zh-CN"/>
              </w:rPr>
            </w:pPr>
          </w:p>
        </w:tc>
        <w:tc>
          <w:tcPr>
            <w:tcW w:w="5808" w:type="dxa"/>
          </w:tcPr>
          <w:p>
            <w:pPr>
              <w:jc w:val="both"/>
              <w:rPr>
                <w:lang w:eastAsia="zh-CN"/>
              </w:rPr>
            </w:pPr>
            <w:r>
              <w:rPr>
                <w:rFonts w:hint="eastAsia"/>
                <w:lang w:val="en-US" w:eastAsia="zh-CN"/>
              </w:rPr>
              <w:t>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pPr>
    </w:p>
    <w:p>
      <w:pPr>
        <w:jc w:val="both"/>
        <w:rPr>
          <w:u w:val="single"/>
        </w:rPr>
      </w:pPr>
      <w:r>
        <w:rPr>
          <w:u w:val="single"/>
        </w:rPr>
        <w:t>Summary for Q3:</w:t>
      </w:r>
    </w:p>
    <w:p>
      <w:pPr>
        <w:pStyle w:val="74"/>
        <w:numPr>
          <w:ilvl w:val="0"/>
          <w:numId w:val="4"/>
        </w:numPr>
        <w:jc w:val="both"/>
      </w:pPr>
      <w:r>
        <w:t>Summary</w:t>
      </w:r>
    </w:p>
    <w:p>
      <w:pPr>
        <w:pStyle w:val="3"/>
      </w:pPr>
      <w:r>
        <w:t xml:space="preserve">3.4 </w:t>
      </w:r>
      <w:r>
        <w:tab/>
      </w:r>
      <w:r>
        <w:t>Signaling details – which SIB to use</w:t>
      </w:r>
    </w:p>
    <w:p>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zh-CN"/>
              </w:rPr>
            </w:pPr>
            <w:r>
              <w:rPr>
                <w:b/>
              </w:rPr>
              <w:t>Question 4:</w:t>
            </w:r>
            <w:r>
              <w:rPr>
                <w:b/>
                <w:lang w:eastAsia="zh-CN"/>
              </w:rPr>
              <w:t xml:space="preserve"> Where TN coverage area list should be broadcast? Please select from the options below:</w:t>
            </w:r>
          </w:p>
          <w:p>
            <w:pPr>
              <w:pStyle w:val="74"/>
              <w:numPr>
                <w:ilvl w:val="0"/>
                <w:numId w:val="6"/>
              </w:numPr>
              <w:jc w:val="both"/>
              <w:rPr>
                <w:b/>
                <w:lang w:eastAsia="ko-KR"/>
              </w:rPr>
            </w:pPr>
            <w:r>
              <w:rPr>
                <w:b/>
                <w:lang w:eastAsia="ko-KR"/>
              </w:rPr>
              <w:t>SIB19</w:t>
            </w:r>
          </w:p>
          <w:p>
            <w:pPr>
              <w:pStyle w:val="74"/>
              <w:numPr>
                <w:ilvl w:val="0"/>
                <w:numId w:val="6"/>
              </w:numPr>
              <w:jc w:val="both"/>
              <w:rPr>
                <w:b/>
                <w:lang w:eastAsia="ko-KR"/>
              </w:rPr>
            </w:pPr>
            <w:r>
              <w:rPr>
                <w:b/>
                <w:lang w:eastAsia="ko-KR"/>
              </w:rPr>
              <w:t xml:space="preserve">Other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b)</w:t>
            </w:r>
          </w:p>
          <w:p>
            <w:pPr>
              <w:jc w:val="both"/>
              <w:rPr>
                <w:lang w:eastAsia="zh-CN"/>
              </w:rPr>
            </w:pPr>
            <w:r>
              <w:rPr>
                <w:lang w:eastAsia="zh-CN"/>
              </w:rPr>
              <w:t>I</w:t>
            </w:r>
            <w:r>
              <w:rPr>
                <w:rFonts w:hint="eastAsia"/>
                <w:lang w:eastAsia="zh-CN"/>
              </w:rPr>
              <w:t>ntroduce a new SIB</w:t>
            </w:r>
          </w:p>
        </w:tc>
        <w:tc>
          <w:tcPr>
            <w:tcW w:w="5808" w:type="dxa"/>
          </w:tcPr>
          <w:p>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b)</w:t>
            </w:r>
          </w:p>
          <w:p>
            <w:pPr>
              <w:jc w:val="both"/>
              <w:rPr>
                <w:lang w:eastAsia="zh-CN"/>
              </w:rPr>
            </w:pPr>
            <w:r>
              <w:rPr>
                <w:lang w:eastAsia="zh-CN"/>
              </w:rPr>
              <w:t>Use SIB4/3</w:t>
            </w:r>
          </w:p>
        </w:tc>
        <w:tc>
          <w:tcPr>
            <w:tcW w:w="5808" w:type="dxa"/>
          </w:tcPr>
          <w:p>
            <w:pPr>
              <w:jc w:val="both"/>
              <w:rPr>
                <w:lang w:eastAsia="zh-CN"/>
              </w:rPr>
            </w:pPr>
            <w:r>
              <w:rPr>
                <w:lang w:eastAsia="zh-CN"/>
              </w:rPr>
              <w:t>SIB4/3 includes inter-frequency and/or intra-frequency information cell reselection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Transsion</w:t>
            </w:r>
          </w:p>
        </w:tc>
        <w:tc>
          <w:tcPr>
            <w:tcW w:w="1843" w:type="dxa"/>
          </w:tcPr>
          <w:p>
            <w:pPr>
              <w:jc w:val="both"/>
              <w:rPr>
                <w:rFonts w:hint="default"/>
                <w:lang w:val="en-US" w:eastAsia="zh-CN"/>
              </w:rPr>
            </w:pPr>
            <w:r>
              <w:rPr>
                <w:rFonts w:hint="eastAsia"/>
                <w:lang w:val="en-US" w:eastAsia="zh-CN"/>
              </w:rPr>
              <w:t>b)</w:t>
            </w:r>
          </w:p>
        </w:tc>
        <w:tc>
          <w:tcPr>
            <w:tcW w:w="5808" w:type="dxa"/>
          </w:tcPr>
          <w:p>
            <w:pPr>
              <w:jc w:val="both"/>
              <w:rPr>
                <w:rFonts w:hint="default"/>
                <w:lang w:val="en-US" w:eastAsia="zh-CN"/>
              </w:rPr>
            </w:pPr>
            <w:r>
              <w:rPr>
                <w:rFonts w:hint="eastAsia"/>
                <w:lang w:val="en-US" w:eastAsia="zh-CN"/>
              </w:rPr>
              <w:t>Introduce new SIB to indicate neighbor TN cells, which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Q4:</w:t>
      </w:r>
    </w:p>
    <w:p>
      <w:pPr>
        <w:pStyle w:val="74"/>
        <w:numPr>
          <w:ilvl w:val="0"/>
          <w:numId w:val="4"/>
        </w:numPr>
        <w:jc w:val="both"/>
      </w:pPr>
      <w:r>
        <w:t>Summary</w:t>
      </w:r>
    </w:p>
    <w:p/>
    <w:p>
      <w:pPr>
        <w:pStyle w:val="3"/>
      </w:pPr>
      <w:r>
        <w:t xml:space="preserve">3.5 </w:t>
      </w:r>
      <w:r>
        <w:tab/>
      </w:r>
      <w:r>
        <w:t>Signaling details – need for dedicated signaling</w:t>
      </w:r>
    </w:p>
    <w:p>
      <w:r>
        <w:t>Another aspect that still needs to be concluded is whether there is a necessity for dedicated signaling to provide the UE with TN coverage area information. In some of the papers submitted to RAN2#121bis it was pointed out that SIB may provide just a coarse information, while more details shall be given using dedicated signaling. On the other hand, during the online discussion it was rather clear to RAN2 that TN coverage area information does not need to be very accurate/detailed, and it needs to work for the UEs in IDLE mode.</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ko-KR"/>
              </w:rPr>
            </w:pPr>
            <w:r>
              <w:rPr>
                <w:b/>
              </w:rPr>
              <w:t>Question 5:</w:t>
            </w:r>
            <w:r>
              <w:rPr>
                <w:b/>
                <w:lang w:eastAsia="zh-CN"/>
              </w:rPr>
              <w:t xml:space="preserve"> Is there a need to support dedicated signaling for providing the TN coverage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lang w:eastAsia="zh-CN"/>
              </w:rPr>
              <w:t>Y</w:t>
            </w:r>
            <w:r>
              <w:rPr>
                <w:rFonts w:hint="eastAsia"/>
                <w:lang w:eastAsia="zh-CN"/>
              </w:rPr>
              <w:t>es</w:t>
            </w:r>
          </w:p>
        </w:tc>
        <w:tc>
          <w:tcPr>
            <w:tcW w:w="5808" w:type="dxa"/>
          </w:tcPr>
          <w:p>
            <w:pPr>
              <w:jc w:val="both"/>
              <w:rPr>
                <w:lang w:eastAsia="zh-CN"/>
              </w:rPr>
            </w:pPr>
            <w:r>
              <w:rPr>
                <w:rFonts w:eastAsiaTheme="minorEastAsia"/>
                <w:lang w:eastAsia="zh-CN"/>
              </w:rPr>
              <w:t>C</w:t>
            </w:r>
            <w:r>
              <w:rPr>
                <w:rFonts w:hint="eastAsia" w:eastAsiaTheme="minorEastAsia"/>
                <w:lang w:eastAsia="zh-CN"/>
              </w:rPr>
              <w:t xml:space="preserve">onsidering </w:t>
            </w:r>
            <w:r>
              <w:rPr>
                <w:rFonts w:eastAsiaTheme="minorEastAsia"/>
                <w:lang w:eastAsia="zh-CN"/>
              </w:rPr>
              <w:t>the</w:t>
            </w:r>
            <w:r>
              <w:rPr>
                <w:rFonts w:hint="eastAsia" w:eastAsiaTheme="minor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 xml:space="preserve">How can dedicated signalling work for idle UE? </w:t>
            </w:r>
          </w:p>
          <w:p>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w:t>
            </w:r>
          </w:p>
        </w:tc>
        <w:tc>
          <w:tcPr>
            <w:tcW w:w="1843" w:type="dxa"/>
          </w:tcPr>
          <w:p>
            <w:pPr>
              <w:jc w:val="both"/>
              <w:rPr>
                <w:rFonts w:hint="default"/>
                <w:lang w:val="en-US" w:eastAsia="zh-CN"/>
              </w:rPr>
            </w:pPr>
            <w:r>
              <w:rPr>
                <w:rFonts w:hint="eastAsia"/>
                <w:lang w:val="en-US" w:eastAsia="zh-CN"/>
              </w:rPr>
              <w:t>No</w:t>
            </w:r>
          </w:p>
        </w:tc>
        <w:tc>
          <w:tcPr>
            <w:tcW w:w="5808" w:type="dxa"/>
          </w:tcPr>
          <w:p>
            <w:pPr>
              <w:jc w:val="both"/>
              <w:rPr>
                <w:rFonts w:hint="default"/>
                <w:lang w:val="en-US" w:eastAsia="zh-CN"/>
              </w:rPr>
            </w:pPr>
            <w:r>
              <w:rPr>
                <w:rFonts w:hint="eastAsia"/>
                <w:lang w:val="en-US" w:eastAsia="zh-CN"/>
              </w:rPr>
              <w:t>UE is in Idle mode and peroforms NTN-NT cell reselection, no need to go beck to CONNECT mode to get dedicate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Q5:</w:t>
      </w:r>
    </w:p>
    <w:p>
      <w:pPr>
        <w:pStyle w:val="74"/>
        <w:numPr>
          <w:ilvl w:val="0"/>
          <w:numId w:val="4"/>
        </w:numPr>
        <w:jc w:val="both"/>
      </w:pPr>
      <w:r>
        <w:t>Summary</w:t>
      </w:r>
    </w:p>
    <w:p/>
    <w:p>
      <w:pPr>
        <w:pStyle w:val="3"/>
      </w:pPr>
      <w:r>
        <w:t xml:space="preserve">3.6 </w:t>
      </w:r>
      <w:r>
        <w:tab/>
      </w:r>
      <w:r>
        <w:t>Signaling details – validity of TN coverage information</w:t>
      </w:r>
    </w:p>
    <w:p>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gridSpan w:val="3"/>
          </w:tcPr>
          <w:p>
            <w:pPr>
              <w:jc w:val="both"/>
              <w:rPr>
                <w:b/>
                <w:lang w:eastAsia="ko-KR"/>
              </w:rPr>
            </w:pPr>
            <w:r>
              <w:rPr>
                <w:b/>
              </w:rPr>
              <w:t>Question 6:</w:t>
            </w:r>
            <w:r>
              <w:rPr>
                <w:b/>
                <w:lang w:eastAsia="zh-CN"/>
              </w:rPr>
              <w:t xml:space="preserve"> How long the UE should consider the acquired TN coverage information remains valid?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pPr>
              <w:jc w:val="both"/>
              <w:rPr>
                <w:lang w:eastAsia="zh-CN"/>
              </w:rPr>
            </w:pPr>
            <w:r>
              <w:rPr>
                <w:rFonts w:hint="eastAsia"/>
                <w:lang w:eastAsia="zh-CN"/>
              </w:rPr>
              <w:t>We think we can follow the legacy mechanism for SI, i.e. 3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Follow legacy SI update mechanism</w:t>
            </w:r>
          </w:p>
        </w:tc>
        <w:tc>
          <w:tcPr>
            <w:tcW w:w="5808" w:type="dxa"/>
          </w:tcPr>
          <w:p>
            <w:pPr>
              <w:jc w:val="both"/>
              <w:rPr>
                <w:lang w:eastAsia="zh-CN"/>
              </w:rPr>
            </w:pPr>
            <w:r>
              <w:rPr>
                <w:lang w:eastAsia="zh-CN"/>
              </w:rPr>
              <w:t>UE can reacquires the SIB if it becomes invalide.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w:t>
            </w:r>
          </w:p>
        </w:tc>
        <w:tc>
          <w:tcPr>
            <w:tcW w:w="1843" w:type="dxa"/>
          </w:tcPr>
          <w:p>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pPr>
              <w:jc w:val="both"/>
              <w:rPr>
                <w:rFonts w:hint="default"/>
                <w:lang w:val="en-US" w:eastAsia="zh-CN"/>
              </w:rPr>
            </w:pPr>
            <w:r>
              <w:rPr>
                <w:rFonts w:hint="eastAsia"/>
                <w:lang w:val="en-US" w:eastAsia="zh-CN"/>
              </w:rPr>
              <w:t>TN coverage information is relative static, RAN2 can further discuss on UE based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Q6:</w:t>
      </w:r>
    </w:p>
    <w:p>
      <w:pPr>
        <w:pStyle w:val="74"/>
        <w:numPr>
          <w:ilvl w:val="0"/>
          <w:numId w:val="4"/>
        </w:numPr>
        <w:jc w:val="both"/>
      </w:pPr>
      <w:r>
        <w:t>Summary</w:t>
      </w:r>
    </w:p>
    <w:p>
      <w:r>
        <w:t>And a related question:</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lang w:eastAsia="zh-CN"/>
              </w:rPr>
              <w:t>Y</w:t>
            </w:r>
            <w:r>
              <w:rPr>
                <w:rFonts w:hint="eastAsia"/>
                <w:lang w:eastAsia="zh-CN"/>
              </w:rPr>
              <w:t>es</w:t>
            </w:r>
          </w:p>
        </w:tc>
        <w:tc>
          <w:tcPr>
            <w:tcW w:w="5808" w:type="dxa"/>
          </w:tcPr>
          <w:p>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valueTag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w:t>
            </w:r>
          </w:p>
        </w:tc>
        <w:tc>
          <w:tcPr>
            <w:tcW w:w="1843" w:type="dxa"/>
          </w:tcPr>
          <w:p>
            <w:pPr>
              <w:jc w:val="both"/>
              <w:rPr>
                <w:rFonts w:hint="default"/>
                <w:lang w:val="en-US" w:eastAsia="zh-CN"/>
              </w:rPr>
            </w:pPr>
            <w:r>
              <w:rPr>
                <w:rFonts w:hint="eastAsia"/>
                <w:lang w:val="en-US" w:eastAsia="zh-CN"/>
              </w:rPr>
              <w:t>Yes</w:t>
            </w:r>
          </w:p>
        </w:tc>
        <w:tc>
          <w:tcPr>
            <w:tcW w:w="5808" w:type="dxa"/>
          </w:tcPr>
          <w:p>
            <w:pPr>
              <w:jc w:val="both"/>
              <w:rPr>
                <w:rFonts w:hint="default"/>
                <w:lang w:val="en-US" w:eastAsia="zh-CN"/>
              </w:rPr>
            </w:pPr>
            <w:r>
              <w:rPr>
                <w:rFonts w:hint="eastAsia"/>
                <w:lang w:val="en-US" w:eastAsia="zh-CN"/>
              </w:rPr>
              <w:t>UE based tirggers.</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Q7:</w:t>
      </w:r>
    </w:p>
    <w:p>
      <w:pPr>
        <w:pStyle w:val="74"/>
        <w:numPr>
          <w:ilvl w:val="0"/>
          <w:numId w:val="4"/>
        </w:numPr>
        <w:jc w:val="both"/>
      </w:pPr>
      <w:r>
        <w:t>Summary</w:t>
      </w:r>
    </w:p>
    <w:p/>
    <w:p>
      <w:pPr>
        <w:pStyle w:val="2"/>
        <w:jc w:val="both"/>
      </w:pPr>
      <w:r>
        <w:t>4</w:t>
      </w:r>
      <w:r>
        <w:tab/>
      </w:r>
      <w:r>
        <w:t>Conclusion</w:t>
      </w:r>
    </w:p>
    <w:p>
      <w:pPr>
        <w:jc w:val="both"/>
      </w:pPr>
      <w:r>
        <w:t>This paper discussed TN coverage information details. The following proposals are made:</w:t>
      </w:r>
    </w:p>
    <w:p>
      <w:pPr>
        <w:jc w:val="both"/>
        <w:rPr>
          <w:u w:val="single"/>
        </w:rPr>
      </w:pPr>
      <w:r>
        <w:rPr>
          <w:u w:val="single"/>
        </w:rPr>
        <w:t>For agreement:</w:t>
      </w:r>
    </w:p>
    <w:p>
      <w:pPr>
        <w:jc w:val="both"/>
        <w:rPr>
          <w:b/>
          <w:bCs/>
        </w:rPr>
      </w:pPr>
      <w:bookmarkStart w:id="0" w:name="_Hlk117008622"/>
      <w:r>
        <w:rPr>
          <w:b/>
          <w:bCs/>
        </w:rPr>
        <w:t xml:space="preserve">Proposal x: </w:t>
      </w:r>
    </w:p>
    <w:bookmarkEnd w:id="0"/>
    <w:p>
      <w:pPr>
        <w:jc w:val="both"/>
        <w:rPr>
          <w:u w:val="single"/>
        </w:rPr>
      </w:pPr>
      <w:r>
        <w:rPr>
          <w:u w:val="single"/>
        </w:rPr>
        <w:t>For discussion:</w:t>
      </w:r>
    </w:p>
    <w:p>
      <w:pPr>
        <w:jc w:val="both"/>
        <w:rPr>
          <w:b/>
          <w:bCs/>
        </w:rPr>
      </w:pPr>
      <w:r>
        <w:rPr>
          <w:b/>
          <w:bCs/>
        </w:rPr>
        <w:t xml:space="preserve">Proposal y: </w:t>
      </w:r>
    </w:p>
    <w:p>
      <w:pPr>
        <w:jc w:val="both"/>
        <w:rPr>
          <w:b/>
          <w:bCs/>
        </w:rPr>
      </w:pPr>
    </w:p>
    <w:p>
      <w:pPr>
        <w:pStyle w:val="2"/>
        <w:jc w:val="both"/>
      </w:pPr>
      <w:r>
        <w:t>References</w:t>
      </w:r>
    </w:p>
    <w:p>
      <w:pPr>
        <w:pStyle w:val="74"/>
        <w:numPr>
          <w:ilvl w:val="0"/>
          <w:numId w:val="7"/>
        </w:numPr>
        <w:jc w:val="both"/>
      </w:pPr>
      <w:r>
        <w:t>R2-2303168 On TN Coverage Area Information - signaling, validity and definition aspects 3GPP TSG-RAN WG2 Meeting #121bis-e Elbonia, 17th – 26th of April 2023</w:t>
      </w:r>
    </w:p>
    <w:p>
      <w:pPr>
        <w:pStyle w:val="74"/>
        <w:numPr>
          <w:ilvl w:val="0"/>
          <w:numId w:val="7"/>
        </w:numPr>
        <w:jc w:val="both"/>
      </w:pPr>
      <w:r>
        <w:t>R2-2303100</w:t>
      </w:r>
      <w:r>
        <w:tab/>
      </w:r>
      <w:r>
        <w:t>Discussion on the NTN-TN cell reselection enhancements 3GPP TSG-RAN WG2 Meeting #121bis-e Elbonia, 17th – 26th of April 2023</w:t>
      </w:r>
    </w:p>
    <w:p>
      <w:pPr>
        <w:pStyle w:val="74"/>
        <w:numPr>
          <w:ilvl w:val="0"/>
          <w:numId w:val="7"/>
        </w:numPr>
        <w:jc w:val="both"/>
      </w:pPr>
      <w:r>
        <w:t>R2-2303037</w:t>
      </w:r>
      <w:r>
        <w:tab/>
      </w:r>
      <w:r>
        <w:t>TN cell coverage info and measurement relaxation 3GPP TSG-RAN WG2 Meeting #121bis-e Elbonia, 17th – 26th of April 2023</w:t>
      </w:r>
    </w:p>
    <w:p>
      <w:pPr>
        <w:pStyle w:val="74"/>
        <w:numPr>
          <w:ilvl w:val="0"/>
          <w:numId w:val="7"/>
        </w:numPr>
        <w:jc w:val="both"/>
      </w:pPr>
      <w:bookmarkStart w:id="1" w:name="_Ref132816884"/>
      <w:r>
        <w:t>Report from Break-out session on NR-NTN and IoT-NTN</w:t>
      </w:r>
      <w:bookmarkEnd w:id="1"/>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20692084"/>
    <w:multiLevelType w:val="multilevel"/>
    <w:tmpl w:val="206920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0061E22"/>
    <w:multiLevelType w:val="multilevel"/>
    <w:tmpl w:val="30061E2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B6F501F"/>
    <w:multiLevelType w:val="multilevel"/>
    <w:tmpl w:val="3B6F501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E865A3D"/>
    <w:multiLevelType w:val="multilevel"/>
    <w:tmpl w:val="3E865A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12174DA"/>
    <w:multiLevelType w:val="multilevel"/>
    <w:tmpl w:val="612174D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329B4"/>
    <w:rsid w:val="004351B9"/>
    <w:rsid w:val="00436211"/>
    <w:rsid w:val="00436A81"/>
    <w:rsid w:val="00436CE4"/>
    <w:rsid w:val="00442423"/>
    <w:rsid w:val="00442604"/>
    <w:rsid w:val="00443D01"/>
    <w:rsid w:val="00446C3A"/>
    <w:rsid w:val="004536A8"/>
    <w:rsid w:val="004557B5"/>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356D"/>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4FAB"/>
    <w:rsid w:val="0078727C"/>
    <w:rsid w:val="0079049D"/>
    <w:rsid w:val="00793DC5"/>
    <w:rsid w:val="00795677"/>
    <w:rsid w:val="00796322"/>
    <w:rsid w:val="00796823"/>
    <w:rsid w:val="007A2E55"/>
    <w:rsid w:val="007A62DD"/>
    <w:rsid w:val="007A6AA6"/>
    <w:rsid w:val="007A7C18"/>
    <w:rsid w:val="007B18D8"/>
    <w:rsid w:val="007B2270"/>
    <w:rsid w:val="007B69AC"/>
    <w:rsid w:val="007B70CA"/>
    <w:rsid w:val="007C095F"/>
    <w:rsid w:val="007C2DD0"/>
    <w:rsid w:val="007C47B7"/>
    <w:rsid w:val="007C4EAF"/>
    <w:rsid w:val="007C6CDF"/>
    <w:rsid w:val="007D2FF1"/>
    <w:rsid w:val="007D396D"/>
    <w:rsid w:val="007D41D2"/>
    <w:rsid w:val="007E1EDD"/>
    <w:rsid w:val="007E22EB"/>
    <w:rsid w:val="007E33BF"/>
    <w:rsid w:val="007E5A4E"/>
    <w:rsid w:val="007E7D5D"/>
    <w:rsid w:val="007F2E08"/>
    <w:rsid w:val="007F36F2"/>
    <w:rsid w:val="007F382D"/>
    <w:rsid w:val="007F4AD6"/>
    <w:rsid w:val="007F7A24"/>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71C14"/>
    <w:rsid w:val="0087261A"/>
    <w:rsid w:val="00873496"/>
    <w:rsid w:val="008768CA"/>
    <w:rsid w:val="00877EF9"/>
    <w:rsid w:val="00880559"/>
    <w:rsid w:val="00880D38"/>
    <w:rsid w:val="00881109"/>
    <w:rsid w:val="00882F92"/>
    <w:rsid w:val="00884AE1"/>
    <w:rsid w:val="00884B8F"/>
    <w:rsid w:val="00887649"/>
    <w:rsid w:val="00891B78"/>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4A92"/>
    <w:rsid w:val="009557B2"/>
    <w:rsid w:val="00956261"/>
    <w:rsid w:val="00957186"/>
    <w:rsid w:val="00960BE7"/>
    <w:rsid w:val="00961B32"/>
    <w:rsid w:val="00962509"/>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C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36F2"/>
    <w:rsid w:val="00AC6D1E"/>
    <w:rsid w:val="00AD67FC"/>
    <w:rsid w:val="00AD6809"/>
    <w:rsid w:val="00AD77F6"/>
    <w:rsid w:val="00AD7F44"/>
    <w:rsid w:val="00AE0762"/>
    <w:rsid w:val="00AE16B0"/>
    <w:rsid w:val="00AE2696"/>
    <w:rsid w:val="00AE34EB"/>
    <w:rsid w:val="00AE3D97"/>
    <w:rsid w:val="00AE50D3"/>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276"/>
    <w:rsid w:val="00B97C98"/>
    <w:rsid w:val="00BA123A"/>
    <w:rsid w:val="00BA2066"/>
    <w:rsid w:val="00BA49D6"/>
    <w:rsid w:val="00BA4EF5"/>
    <w:rsid w:val="00BB0355"/>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50CC"/>
    <w:rsid w:val="00C16D19"/>
    <w:rsid w:val="00C24039"/>
    <w:rsid w:val="00C24650"/>
    <w:rsid w:val="00C25465"/>
    <w:rsid w:val="00C31805"/>
    <w:rsid w:val="00C31D38"/>
    <w:rsid w:val="00C33079"/>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ECC"/>
    <w:rsid w:val="00E36799"/>
    <w:rsid w:val="00E45BBA"/>
    <w:rsid w:val="00E46C08"/>
    <w:rsid w:val="00E471CF"/>
    <w:rsid w:val="00E52883"/>
    <w:rsid w:val="00E535E8"/>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7743"/>
    <w:rsid w:val="00F41EB7"/>
    <w:rsid w:val="00F42D71"/>
    <w:rsid w:val="00F54A3D"/>
    <w:rsid w:val="00F54CB0"/>
    <w:rsid w:val="00F567A4"/>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51B"/>
    <w:rsid w:val="00FE63F0"/>
    <w:rsid w:val="00FE6892"/>
    <w:rsid w:val="00FF148B"/>
    <w:rsid w:val="00FF348E"/>
    <w:rsid w:val="00FF3D34"/>
    <w:rsid w:val="00FF4822"/>
    <w:rsid w:val="00FF682E"/>
    <w:rsid w:val="00FF76C5"/>
    <w:rsid w:val="01CD2B81"/>
    <w:rsid w:val="025B36EA"/>
    <w:rsid w:val="028945B9"/>
    <w:rsid w:val="02994853"/>
    <w:rsid w:val="02F05262"/>
    <w:rsid w:val="03A27284"/>
    <w:rsid w:val="0425785D"/>
    <w:rsid w:val="04FF173F"/>
    <w:rsid w:val="051C6AF1"/>
    <w:rsid w:val="05754C01"/>
    <w:rsid w:val="05C40203"/>
    <w:rsid w:val="05D27519"/>
    <w:rsid w:val="061F2E9B"/>
    <w:rsid w:val="06382740"/>
    <w:rsid w:val="066F069C"/>
    <w:rsid w:val="06B93F93"/>
    <w:rsid w:val="06FC1585"/>
    <w:rsid w:val="07815284"/>
    <w:rsid w:val="07944BFB"/>
    <w:rsid w:val="07B973B9"/>
    <w:rsid w:val="07DB536F"/>
    <w:rsid w:val="084F7CB8"/>
    <w:rsid w:val="08D5688C"/>
    <w:rsid w:val="08D77648"/>
    <w:rsid w:val="095429DE"/>
    <w:rsid w:val="0A70662D"/>
    <w:rsid w:val="0AB35E1D"/>
    <w:rsid w:val="0AF25902"/>
    <w:rsid w:val="0D2658A2"/>
    <w:rsid w:val="0D5044E7"/>
    <w:rsid w:val="0D5605EF"/>
    <w:rsid w:val="0E876762"/>
    <w:rsid w:val="0F262DE9"/>
    <w:rsid w:val="0FD72C0C"/>
    <w:rsid w:val="0FE80928"/>
    <w:rsid w:val="0FE963AA"/>
    <w:rsid w:val="106B567E"/>
    <w:rsid w:val="10C64A93"/>
    <w:rsid w:val="118B7CD4"/>
    <w:rsid w:val="127F50E9"/>
    <w:rsid w:val="1295728D"/>
    <w:rsid w:val="130030B9"/>
    <w:rsid w:val="141C258C"/>
    <w:rsid w:val="16252961"/>
    <w:rsid w:val="16E939A4"/>
    <w:rsid w:val="17AB72E5"/>
    <w:rsid w:val="18101208"/>
    <w:rsid w:val="18345F44"/>
    <w:rsid w:val="195C3428"/>
    <w:rsid w:val="19771A54"/>
    <w:rsid w:val="19C95FDB"/>
    <w:rsid w:val="1A0D57CA"/>
    <w:rsid w:val="1C885EDE"/>
    <w:rsid w:val="1E29560A"/>
    <w:rsid w:val="1EE2283A"/>
    <w:rsid w:val="1F3C63CC"/>
    <w:rsid w:val="1F3F7351"/>
    <w:rsid w:val="208650E9"/>
    <w:rsid w:val="21CA7CFF"/>
    <w:rsid w:val="229F0FDC"/>
    <w:rsid w:val="2487307B"/>
    <w:rsid w:val="25465A38"/>
    <w:rsid w:val="259C5142"/>
    <w:rsid w:val="25B96C70"/>
    <w:rsid w:val="263962C5"/>
    <w:rsid w:val="267B47B0"/>
    <w:rsid w:val="26CD0D37"/>
    <w:rsid w:val="276A4438"/>
    <w:rsid w:val="279D398E"/>
    <w:rsid w:val="27D43AE7"/>
    <w:rsid w:val="28F43F3F"/>
    <w:rsid w:val="29DA5136"/>
    <w:rsid w:val="2A1C1423"/>
    <w:rsid w:val="2ACC15C7"/>
    <w:rsid w:val="2AD134D0"/>
    <w:rsid w:val="2B3631F4"/>
    <w:rsid w:val="2C4B74B9"/>
    <w:rsid w:val="2C8F472B"/>
    <w:rsid w:val="2CDB1327"/>
    <w:rsid w:val="2DCB66B1"/>
    <w:rsid w:val="2E2C79CF"/>
    <w:rsid w:val="2E4140F1"/>
    <w:rsid w:val="2FAB58C1"/>
    <w:rsid w:val="305118D2"/>
    <w:rsid w:val="30EC3CCF"/>
    <w:rsid w:val="331423DB"/>
    <w:rsid w:val="33A05842"/>
    <w:rsid w:val="33BC18EF"/>
    <w:rsid w:val="359E5308"/>
    <w:rsid w:val="37C44C8D"/>
    <w:rsid w:val="37F31F59"/>
    <w:rsid w:val="3813028F"/>
    <w:rsid w:val="38B21092"/>
    <w:rsid w:val="3935166B"/>
    <w:rsid w:val="399A6E11"/>
    <w:rsid w:val="3AA54D45"/>
    <w:rsid w:val="3B9D33D1"/>
    <w:rsid w:val="3DCC1CEF"/>
    <w:rsid w:val="3EEE694E"/>
    <w:rsid w:val="40585F20"/>
    <w:rsid w:val="40DC28F6"/>
    <w:rsid w:val="40DE5DF9"/>
    <w:rsid w:val="41BB44E3"/>
    <w:rsid w:val="429B15D2"/>
    <w:rsid w:val="42F567E9"/>
    <w:rsid w:val="430C471B"/>
    <w:rsid w:val="431E1BAC"/>
    <w:rsid w:val="432668EC"/>
    <w:rsid w:val="434C71F8"/>
    <w:rsid w:val="43973DF4"/>
    <w:rsid w:val="44DE410B"/>
    <w:rsid w:val="4539571E"/>
    <w:rsid w:val="454F3145"/>
    <w:rsid w:val="46496788"/>
    <w:rsid w:val="47AD64A7"/>
    <w:rsid w:val="482E4477"/>
    <w:rsid w:val="4A015677"/>
    <w:rsid w:val="4A22142F"/>
    <w:rsid w:val="4A7843BC"/>
    <w:rsid w:val="4AB07D99"/>
    <w:rsid w:val="4AE56F6F"/>
    <w:rsid w:val="4B15553F"/>
    <w:rsid w:val="4B1B3BC5"/>
    <w:rsid w:val="4C4F3FC2"/>
    <w:rsid w:val="4C8926AC"/>
    <w:rsid w:val="4CB33CE7"/>
    <w:rsid w:val="4D8F10CB"/>
    <w:rsid w:val="4E4C0585"/>
    <w:rsid w:val="4EC436C7"/>
    <w:rsid w:val="4F8C310F"/>
    <w:rsid w:val="4FBE7162"/>
    <w:rsid w:val="4FDF5118"/>
    <w:rsid w:val="4FF33DB8"/>
    <w:rsid w:val="51160A18"/>
    <w:rsid w:val="51162C16"/>
    <w:rsid w:val="51B22A95"/>
    <w:rsid w:val="52D2096E"/>
    <w:rsid w:val="53124FDB"/>
    <w:rsid w:val="537F7B8D"/>
    <w:rsid w:val="539E133B"/>
    <w:rsid w:val="53C02B75"/>
    <w:rsid w:val="54D413B8"/>
    <w:rsid w:val="56106BC1"/>
    <w:rsid w:val="564D16AF"/>
    <w:rsid w:val="56987D9F"/>
    <w:rsid w:val="56BB1258"/>
    <w:rsid w:val="573E3DB0"/>
    <w:rsid w:val="58032E4B"/>
    <w:rsid w:val="58DE5A5B"/>
    <w:rsid w:val="58EF3777"/>
    <w:rsid w:val="5BAE5879"/>
    <w:rsid w:val="5BE018CB"/>
    <w:rsid w:val="5BEC78DC"/>
    <w:rsid w:val="5C094C8E"/>
    <w:rsid w:val="5C9B1AF5"/>
    <w:rsid w:val="5CCE7ECF"/>
    <w:rsid w:val="5CF86B15"/>
    <w:rsid w:val="5D5958B4"/>
    <w:rsid w:val="5D9A3915"/>
    <w:rsid w:val="5D9E05A7"/>
    <w:rsid w:val="5F7239A5"/>
    <w:rsid w:val="60C1494C"/>
    <w:rsid w:val="60D6106E"/>
    <w:rsid w:val="611C5F5F"/>
    <w:rsid w:val="633E6EDE"/>
    <w:rsid w:val="647B46E8"/>
    <w:rsid w:val="64852A79"/>
    <w:rsid w:val="64BB76D0"/>
    <w:rsid w:val="64BE3ED7"/>
    <w:rsid w:val="65204E75"/>
    <w:rsid w:val="663EB6B7"/>
    <w:rsid w:val="66495BDD"/>
    <w:rsid w:val="66557471"/>
    <w:rsid w:val="66720F9F"/>
    <w:rsid w:val="667C18AF"/>
    <w:rsid w:val="66B3780A"/>
    <w:rsid w:val="66DE60D0"/>
    <w:rsid w:val="679A7B08"/>
    <w:rsid w:val="685549B8"/>
    <w:rsid w:val="69D519B1"/>
    <w:rsid w:val="69E84DCE"/>
    <w:rsid w:val="6A100511"/>
    <w:rsid w:val="6B0A61AB"/>
    <w:rsid w:val="6B1C3EC6"/>
    <w:rsid w:val="6B246D54"/>
    <w:rsid w:val="6CDD60A6"/>
    <w:rsid w:val="6CEF50C6"/>
    <w:rsid w:val="6DD61B41"/>
    <w:rsid w:val="6E6F7FAE"/>
    <w:rsid w:val="6EAB2E1E"/>
    <w:rsid w:val="70757E8B"/>
    <w:rsid w:val="70A01FD4"/>
    <w:rsid w:val="71096180"/>
    <w:rsid w:val="71DC77DD"/>
    <w:rsid w:val="72095D23"/>
    <w:rsid w:val="721C4D44"/>
    <w:rsid w:val="75F72A95"/>
    <w:rsid w:val="77042FD3"/>
    <w:rsid w:val="77311518"/>
    <w:rsid w:val="775E6B64"/>
    <w:rsid w:val="77E36DBE"/>
    <w:rsid w:val="784016D6"/>
    <w:rsid w:val="78B8391E"/>
    <w:rsid w:val="79797DE9"/>
    <w:rsid w:val="7B3B5BBB"/>
    <w:rsid w:val="7BA8076D"/>
    <w:rsid w:val="7C00467F"/>
    <w:rsid w:val="7C937471"/>
    <w:rsid w:val="7E7B1510"/>
    <w:rsid w:val="7EAC1CDF"/>
    <w:rsid w:val="7EC35188"/>
    <w:rsid w:val="7F5AE395"/>
    <w:rsid w:val="7F920C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1"/>
    <w:qFormat/>
    <w:uiPriority w:val="0"/>
    <w:pPr>
      <w:spacing w:after="0"/>
    </w:pPr>
    <w:rPr>
      <w:sz w:val="24"/>
      <w:szCs w:val="24"/>
    </w:rPr>
  </w:style>
  <w:style w:type="paragraph" w:styleId="21">
    <w:name w:val="annotation text"/>
    <w:basedOn w:val="1"/>
    <w:link w:val="75"/>
    <w:qFormat/>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6"/>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mphasis"/>
    <w:qFormat/>
    <w:uiPriority w:val="20"/>
    <w:rPr>
      <w:i/>
      <w:iCs/>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link w:val="84"/>
    <w:qFormat/>
    <w:uiPriority w:val="0"/>
    <w:rPr>
      <w:b/>
    </w:rPr>
  </w:style>
  <w:style w:type="paragraph" w:customStyle="1" w:styleId="44">
    <w:name w:val="TAC"/>
    <w:basedOn w:val="42"/>
    <w:link w:val="85"/>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uiPriority w:val="0"/>
    <w:rPr>
      <w:color w:val="FF0000"/>
    </w:rPr>
  </w:style>
  <w:style w:type="paragraph" w:customStyle="1" w:styleId="52">
    <w:name w:val="TH"/>
    <w:basedOn w:val="1"/>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uiPriority w:val="0"/>
    <w:rPr>
      <w:i/>
      <w:color w:val="0000FF"/>
    </w:rPr>
  </w:style>
  <w:style w:type="character" w:customStyle="1" w:styleId="69">
    <w:name w:val="Header Char"/>
    <w:link w:val="25"/>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character" w:customStyle="1" w:styleId="71">
    <w:name w:val="Document Map Char"/>
    <w:basedOn w:val="30"/>
    <w:link w:val="20"/>
    <w:qFormat/>
    <w:uiPriority w:val="0"/>
    <w:rPr>
      <w:sz w:val="24"/>
      <w:szCs w:val="24"/>
      <w:lang w:eastAsia="en-US"/>
    </w:rPr>
  </w:style>
  <w:style w:type="character" w:customStyle="1" w:styleId="72">
    <w:name w:val="Balloon Text Char"/>
    <w:basedOn w:val="30"/>
    <w:link w:val="23"/>
    <w:qFormat/>
    <w:uiPriority w:val="0"/>
    <w:rPr>
      <w:rFonts w:ascii="Helvetica" w:hAnsi="Helvetica"/>
      <w:sz w:val="18"/>
      <w:szCs w:val="18"/>
      <w:lang w:eastAsia="en-US"/>
    </w:rPr>
  </w:style>
  <w:style w:type="character" w:customStyle="1" w:styleId="73">
    <w:name w:val="Unresolved Mention1"/>
    <w:basedOn w:val="30"/>
    <w:qFormat/>
    <w:uiPriority w:val="0"/>
    <w:rPr>
      <w:color w:val="605E5C"/>
      <w:shd w:val="clear" w:color="auto" w:fill="E1DFDD"/>
    </w:rPr>
  </w:style>
  <w:style w:type="paragraph" w:styleId="74">
    <w:name w:val="List Paragraph"/>
    <w:basedOn w:val="1"/>
    <w:link w:val="78"/>
    <w:qFormat/>
    <w:uiPriority w:val="34"/>
    <w:pPr>
      <w:ind w:left="720"/>
      <w:contextualSpacing/>
    </w:pPr>
  </w:style>
  <w:style w:type="character" w:customStyle="1" w:styleId="75">
    <w:name w:val="Comment Text Char"/>
    <w:basedOn w:val="30"/>
    <w:link w:val="21"/>
    <w:qFormat/>
    <w:uiPriority w:val="0"/>
    <w:rPr>
      <w:lang w:eastAsia="en-US"/>
    </w:rPr>
  </w:style>
  <w:style w:type="character" w:customStyle="1" w:styleId="76">
    <w:name w:val="Comment Subject Char"/>
    <w:basedOn w:val="75"/>
    <w:link w:val="27"/>
    <w:qFormat/>
    <w:uiPriority w:val="0"/>
    <w:rPr>
      <w:b/>
      <w:bCs/>
      <w:lang w:eastAsia="en-US"/>
    </w:rPr>
  </w:style>
  <w:style w:type="character" w:customStyle="1" w:styleId="77">
    <w:name w:val="Mention1"/>
    <w:basedOn w:val="30"/>
    <w:unhideWhenUsed/>
    <w:qFormat/>
    <w:uiPriority w:val="99"/>
    <w:rPr>
      <w:color w:val="2B579A"/>
      <w:shd w:val="clear" w:color="auto" w:fill="E6E6E6"/>
    </w:rPr>
  </w:style>
  <w:style w:type="character" w:customStyle="1" w:styleId="78">
    <w:name w:val="List Paragraph Char"/>
    <w:link w:val="74"/>
    <w:qFormat/>
    <w:locked/>
    <w:uiPriority w:val="34"/>
    <w:rPr>
      <w:lang w:eastAsia="en-US"/>
    </w:rPr>
  </w:style>
  <w:style w:type="paragraph" w:customStyle="1" w:styleId="79">
    <w:name w:val="EmailDiscussion"/>
    <w:basedOn w:val="1"/>
    <w:next w:val="80"/>
    <w:link w:val="81"/>
    <w:qFormat/>
    <w:uiPriority w:val="0"/>
    <w:pPr>
      <w:numPr>
        <w:ilvl w:val="0"/>
        <w:numId w:val="1"/>
      </w:numPr>
      <w:spacing w:before="40" w:after="0"/>
    </w:pPr>
    <w:rPr>
      <w:rFonts w:ascii="Arial" w:hAnsi="Arial" w:eastAsia="MS Mincho"/>
      <w:b/>
      <w:szCs w:val="24"/>
      <w:lang w:eastAsia="en-GB"/>
    </w:rPr>
  </w:style>
  <w:style w:type="paragraph" w:customStyle="1" w:styleId="80">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qFormat/>
    <w:uiPriority w:val="0"/>
    <w:rPr>
      <w:rFonts w:ascii="Arial" w:hAnsi="Arial" w:eastAsia="MS Mincho"/>
      <w:b/>
      <w:szCs w:val="24"/>
    </w:rPr>
  </w:style>
  <w:style w:type="paragraph" w:customStyle="1" w:styleId="82">
    <w:name w:val="Doc-text2"/>
    <w:basedOn w:val="1"/>
    <w:link w:val="83"/>
    <w:qFormat/>
    <w:uiPriority w:val="0"/>
    <w:pPr>
      <w:tabs>
        <w:tab w:val="left" w:pos="1622"/>
      </w:tabs>
      <w:spacing w:after="0"/>
      <w:ind w:left="1622" w:hanging="363"/>
    </w:pPr>
    <w:rPr>
      <w:rFonts w:ascii="Arial" w:hAnsi="Arial" w:eastAsia="MS Mincho"/>
      <w:szCs w:val="24"/>
      <w:lang w:eastAsia="en-GB"/>
    </w:rPr>
  </w:style>
  <w:style w:type="character" w:customStyle="1" w:styleId="83">
    <w:name w:val="Doc-text2 Char"/>
    <w:link w:val="82"/>
    <w:qFormat/>
    <w:uiPriority w:val="0"/>
    <w:rPr>
      <w:rFonts w:ascii="Arial" w:hAnsi="Arial" w:eastAsia="MS Mincho"/>
      <w:szCs w:val="24"/>
      <w:lang w:eastAsia="en-GB"/>
    </w:rPr>
  </w:style>
  <w:style w:type="character" w:customStyle="1" w:styleId="84">
    <w:name w:val="TAH Car"/>
    <w:link w:val="43"/>
    <w:qFormat/>
    <w:locked/>
    <w:uiPriority w:val="0"/>
    <w:rPr>
      <w:rFonts w:ascii="Arial" w:hAnsi="Arial"/>
      <w:b/>
      <w:sz w:val="18"/>
      <w:lang w:eastAsia="en-US"/>
    </w:rPr>
  </w:style>
  <w:style w:type="character" w:customStyle="1" w:styleId="85">
    <w:name w:val="TAC Char"/>
    <w:link w:val="44"/>
    <w:qFormat/>
    <w:locked/>
    <w:uiPriority w:val="0"/>
    <w:rPr>
      <w:rFonts w:ascii="Arial" w:hAnsi="Arial"/>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14332598-072C-467C-BF76-81F712BBE164}">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10</Pages>
  <Words>2032</Words>
  <Characters>11589</Characters>
  <Lines>96</Lines>
  <Paragraphs>27</Paragraphs>
  <TotalTime>0</TotalTime>
  <ScaleCrop>false</ScaleCrop>
  <LinksUpToDate>false</LinksUpToDate>
  <CharactersWithSpaces>13594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2023-04-20T23:14:00Z</dcterms:created>
  <dc:creator>Benoist</dc:creator>
  <cp:lastModifiedBy>junwei.huang</cp:lastModifiedBy>
  <dcterms:modified xsi:type="dcterms:W3CDTF">2023-04-21T01:54:56Z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2052-11.8.2.11716</vt:lpwstr>
  </property>
  <property fmtid="{D5CDD505-2E9C-101B-9397-08002B2CF9AE}" pid="9" name="ICV">
    <vt:lpwstr>428535DEF7CD45AEAB5C46EFF4E6B0F5</vt:lpwstr>
  </property>
</Properties>
</file>