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r w:rsidRPr="00CD2CD7">
        <w:t xml:space="preserve">eMeeting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enh</w:t>
      </w:r>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601104">
        <w:rPr>
          <w:rStyle w:val="Strong"/>
        </w:rPr>
        <w:t>121bis</w:t>
      </w:r>
      <w:r w:rsidR="00545CBD" w:rsidRPr="00545CBD">
        <w:rPr>
          <w:rStyle w:val="Strong"/>
        </w:rPr>
        <w:t>-e][</w:t>
      </w:r>
      <w:r w:rsidR="00601104">
        <w:rPr>
          <w:rStyle w:val="Strong"/>
        </w:rPr>
        <w:t xml:space="preserve">NR </w:t>
      </w:r>
      <w:r w:rsidR="00545CBD" w:rsidRPr="00545CBD">
        <w:rPr>
          <w:rStyle w:val="Strong"/>
        </w:rPr>
        <w:t>NTN</w:t>
      </w:r>
      <w:r w:rsidR="00601104">
        <w:rPr>
          <w:rStyle w:val="Strong"/>
        </w:rPr>
        <w:t xml:space="preserve"> enh</w:t>
      </w:r>
      <w:r w:rsidR="00545CBD" w:rsidRPr="00545CBD">
        <w:rPr>
          <w:rStyle w:val="Strong"/>
        </w:rPr>
        <w:t>][10</w:t>
      </w:r>
      <w:r w:rsidR="00601104">
        <w:rPr>
          <w:rStyle w:val="Strong"/>
        </w:rPr>
        <w:t>5</w:t>
      </w:r>
      <w:r w:rsidR="00545CBD" w:rsidRPr="00545CBD">
        <w:rPr>
          <w:rStyle w:val="Strong"/>
        </w:rPr>
        <w:t xml:space="preserve">] </w:t>
      </w:r>
      <w:r w:rsidR="00601104">
        <w:rPr>
          <w:rStyle w:val="Strong"/>
        </w:rPr>
        <w:t>Coverage enhancements</w:t>
      </w:r>
      <w:r w:rsidR="00545CBD" w:rsidRPr="00545CBD">
        <w:rPr>
          <w:rStyle w:val="Strong"/>
        </w:rPr>
        <w:t xml:space="preserve"> (InterDigital)</w:t>
      </w:r>
    </w:p>
    <w:p w14:paraId="728E37D7"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Heading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Emphasis"/>
          <w:i w:val="0"/>
          <w:iCs w:val="0"/>
        </w:rPr>
        <w:t xml:space="preserve">In terrestrial networks the gap between a MAC entity stopping the </w:t>
      </w:r>
      <w:r w:rsidRPr="00622BC5">
        <w:rPr>
          <w:i/>
          <w:iCs/>
          <w:lang w:eastAsia="ko-KR"/>
        </w:rPr>
        <w:t xml:space="preserve">ra-ResponseWindow </w:t>
      </w:r>
      <w:r w:rsidRPr="006B62E4">
        <w:rPr>
          <w:lang w:eastAsia="ko-KR"/>
        </w:rPr>
        <w:t>and starting the</w:t>
      </w:r>
      <w:r w:rsidRPr="00622BC5">
        <w:rPr>
          <w:i/>
          <w:iCs/>
          <w:lang w:eastAsia="ko-KR"/>
        </w:rPr>
        <w:t xml:space="preserve"> </w:t>
      </w:r>
      <w:r w:rsidRPr="006B62E4">
        <w:rPr>
          <w:rStyle w:val="Emphasis"/>
        </w:rPr>
        <w:t>ra-ContentionResolutionTimer</w:t>
      </w:r>
      <w:r w:rsidRPr="00622BC5">
        <w:rPr>
          <w:rStyle w:val="Emphasis"/>
          <w:i w:val="0"/>
          <w:iCs w:val="0"/>
        </w:rPr>
        <w:t xml:space="preserve"> is usually quite brief</w:t>
      </w:r>
      <w:r w:rsidR="00616DBD">
        <w:rPr>
          <w:rStyle w:val="Emphasis"/>
          <w:i w:val="0"/>
          <w:iCs w:val="0"/>
        </w:rPr>
        <w:t xml:space="preserve"> </w:t>
      </w:r>
      <w:r w:rsidR="00F67E72">
        <w:rPr>
          <w:rStyle w:val="Emphasis"/>
          <w:i w:val="0"/>
          <w:iCs w:val="0"/>
        </w:rPr>
        <w:t>(maybe one or a few slots</w:t>
      </w:r>
      <w:r w:rsidR="00CA3867">
        <w:rPr>
          <w:rStyle w:val="Emphasis"/>
          <w:i w:val="0"/>
          <w:iCs w:val="0"/>
        </w:rPr>
        <w:t xml:space="preserve"> [5]</w:t>
      </w:r>
      <w:r w:rsidR="00F67E72">
        <w:rPr>
          <w:rStyle w:val="Emphasis"/>
          <w:i w:val="0"/>
          <w:iCs w:val="0"/>
        </w:rPr>
        <w:t>)</w:t>
      </w:r>
      <w:r w:rsidRPr="00622BC5">
        <w:rPr>
          <w:rStyle w:val="Emphasis"/>
          <w:i w:val="0"/>
          <w:iCs w:val="0"/>
        </w:rPr>
        <w:t xml:space="preserve">, allowing near-continuous monitoring of PDCCH. By offsetting the start of the </w:t>
      </w:r>
      <w:r w:rsidRPr="00E90311">
        <w:rPr>
          <w:rStyle w:val="Emphasis"/>
        </w:rPr>
        <w:t>ra-ContentionResolutionTimer</w:t>
      </w:r>
      <w:r w:rsidRPr="00622BC5">
        <w:rPr>
          <w:rStyle w:val="Emphasis"/>
          <w:i w:val="0"/>
          <w:iCs w:val="0"/>
        </w:rPr>
        <w:t xml:space="preserve"> in NTN this gap is significantly increased, limiting the ability to quickly receive a blind Msg3 retransmission grant after the </w:t>
      </w:r>
      <w:r w:rsidRPr="00622BC5">
        <w:rPr>
          <w:i/>
          <w:iCs/>
          <w:lang w:eastAsia="ko-KR"/>
        </w:rPr>
        <w:t xml:space="preserve">ra-ResponseWindow </w:t>
      </w:r>
      <w:r w:rsidRPr="00F67E72">
        <w:rPr>
          <w:lang w:eastAsia="ko-KR"/>
        </w:rPr>
        <w:t>is stopped (Figure 1).</w:t>
      </w:r>
    </w:p>
    <w:p w14:paraId="53F503F5" w14:textId="4D5D91A6" w:rsidR="00F71461" w:rsidRDefault="00A51F45" w:rsidP="00F71461">
      <w:pPr>
        <w:rPr>
          <w:iCs/>
          <w:lang w:eastAsia="ko-KR"/>
        </w:rPr>
      </w:pPr>
      <w:r w:rsidRPr="00A51F45">
        <w:rPr>
          <w:iCs/>
          <w:noProof/>
          <w:lang w:val="fr-F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Heading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UE-gNB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ListParagraph"/>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ListParagraph"/>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r w:rsidRPr="006B5CE7">
        <w:rPr>
          <w:rFonts w:ascii="Arial" w:hAnsi="Arial" w:cs="Arial"/>
          <w:i/>
          <w:iCs/>
          <w:sz w:val="20"/>
          <w:szCs w:val="20"/>
        </w:rPr>
        <w:t>featureC</w:t>
      </w:r>
      <w:r w:rsidR="006B5CE7" w:rsidRPr="006B5CE7">
        <w:rPr>
          <w:rFonts w:ascii="Arial" w:hAnsi="Arial" w:cs="Arial"/>
          <w:i/>
          <w:iCs/>
          <w:sz w:val="20"/>
          <w:szCs w:val="20"/>
        </w:rPr>
        <w:t>ombination</w:t>
      </w:r>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ListParagraph"/>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ListParagraph"/>
        <w:numPr>
          <w:ilvl w:val="0"/>
          <w:numId w:val="12"/>
        </w:numPr>
        <w:jc w:val="both"/>
        <w:rPr>
          <w:rFonts w:ascii="Arial" w:hAnsi="Arial" w:cs="Arial"/>
          <w:sz w:val="20"/>
          <w:szCs w:val="20"/>
        </w:rPr>
      </w:pPr>
      <w:r>
        <w:rPr>
          <w:rFonts w:ascii="Arial" w:hAnsi="Arial" w:cs="Arial"/>
          <w:sz w:val="20"/>
          <w:szCs w:val="20"/>
          <w:lang w:val="en-GB"/>
        </w:rPr>
        <w:t>A</w:t>
      </w:r>
      <w:r w:rsidR="001E1868">
        <w:rPr>
          <w:rFonts w:ascii="Arial" w:hAnsi="Arial" w:cs="Arial"/>
          <w:sz w:val="20"/>
          <w:szCs w:val="20"/>
        </w:rPr>
        <w:t>ddition</w:t>
      </w:r>
      <w:r>
        <w:rPr>
          <w:rFonts w:ascii="Arial" w:hAnsi="Arial" w:cs="Arial"/>
          <w:sz w:val="20"/>
          <w:szCs w:val="20"/>
        </w:rPr>
        <w:t>al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ListParagraph"/>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ListParagraph"/>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No need to argue that initial blind msg3 retx this is currently not part of the WID.</w:t>
      </w:r>
      <w:r w:rsidRPr="0061745B">
        <w:rPr>
          <w:rFonts w:cs="Arial"/>
          <w:i/>
          <w:iCs/>
          <w:u w:val="single"/>
        </w:rPr>
        <w:t xml:space="preserve"> This is understood. But at the same time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Then, the network schedules msg3 in RAR and potential blind msg3 retx in the subsequent PDCCH. Compared with Rel-17 Msg3 repetition, which indicates Msg3 repetiton number in RAR grant, the UE has to monitor the subsequent scheduling in PDCCH</w:t>
            </w:r>
            <w:r>
              <w:rPr>
                <w:rFonts w:hint="eastAsia"/>
                <w:lang w:val="en-US"/>
              </w:rPr>
              <w:t>, which brings extra signalling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Thirdly, in order to perfrom PDCCH monitoring, some window mechanisms need to be introduced which anyway brings sepc impacts.</w:t>
            </w:r>
          </w:p>
          <w:p w14:paraId="48280A63" w14:textId="1C1DD1FB" w:rsidR="00675CAE" w:rsidRDefault="00675CAE" w:rsidP="00675CAE">
            <w:pPr>
              <w:rPr>
                <w:rFonts w:eastAsiaTheme="minorEastAsia"/>
                <w:highlight w:val="yellow"/>
              </w:rPr>
            </w:pPr>
            <w:r>
              <w:rPr>
                <w:rFonts w:eastAsiaTheme="minorEastAsia" w:hint="eastAsia"/>
                <w:lang w:val="en-US"/>
              </w:rPr>
              <w:t>In summary, we have not find benefits for initial blind Msg3 retx.</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Since Msg3 repetition is an optional UE capability for Rel-17 NR UEs, in case this feature is not supported by a UE, blind scheduled Msg3 retransmission can be used instead. That’s the reason why RAN2 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Malgun Gothic"/>
                <w:lang w:eastAsia="ko-KR"/>
              </w:rPr>
            </w:pPr>
            <w:r>
              <w:rPr>
                <w:rFonts w:eastAsiaTheme="minorEastAsia" w:hint="eastAsia"/>
                <w:lang w:eastAsia="ko-KR"/>
              </w:rPr>
              <w:t>LG</w:t>
            </w:r>
          </w:p>
        </w:tc>
        <w:tc>
          <w:tcPr>
            <w:tcW w:w="1739" w:type="dxa"/>
          </w:tcPr>
          <w:p w14:paraId="3BCAD814" w14:textId="3FA2D4AF" w:rsidR="005F426A" w:rsidRDefault="005F426A" w:rsidP="005F426A">
            <w:pPr>
              <w:rPr>
                <w:rFonts w:eastAsia="Malgun Gothic"/>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Malgun Gothic"/>
                <w:highlight w:val="yellow"/>
                <w:lang w:eastAsia="ko-KR"/>
              </w:rPr>
            </w:pPr>
            <w:r>
              <w:rPr>
                <w:rFonts w:eastAsiaTheme="minorEastAsia"/>
                <w:lang w:eastAsia="ko-KR"/>
              </w:rPr>
              <w:t>In addition, as explained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5F426A" w14:paraId="37BBE035" w14:textId="77777777" w:rsidTr="000B2209">
        <w:tc>
          <w:tcPr>
            <w:tcW w:w="1496" w:type="dxa"/>
          </w:tcPr>
          <w:p w14:paraId="1F72E574" w14:textId="6B0F54C8" w:rsidR="005F426A" w:rsidRDefault="00F95FCF" w:rsidP="005F426A">
            <w:pPr>
              <w:rPr>
                <w:rFonts w:eastAsiaTheme="minorEastAsia"/>
              </w:rPr>
            </w:pPr>
            <w:r>
              <w:rPr>
                <w:rFonts w:eastAsiaTheme="minorEastAsia" w:hint="eastAsia"/>
              </w:rPr>
              <w:t>v</w:t>
            </w:r>
            <w:r>
              <w:rPr>
                <w:rFonts w:eastAsiaTheme="minorEastAsia"/>
              </w:rPr>
              <w:t>ivo</w:t>
            </w:r>
          </w:p>
        </w:tc>
        <w:tc>
          <w:tcPr>
            <w:tcW w:w="1739" w:type="dxa"/>
          </w:tcPr>
          <w:p w14:paraId="15D95BAD" w14:textId="63739A99" w:rsidR="005F426A" w:rsidRDefault="00F95FCF" w:rsidP="005F426A">
            <w:pPr>
              <w:rPr>
                <w:rFonts w:eastAsiaTheme="minorEastAsia"/>
              </w:rPr>
            </w:pPr>
            <w:r>
              <w:rPr>
                <w:rFonts w:eastAsiaTheme="minorEastAsia" w:hint="eastAsia"/>
              </w:rPr>
              <w:t>N</w:t>
            </w:r>
            <w:r>
              <w:rPr>
                <w:rFonts w:eastAsiaTheme="minorEastAsia"/>
              </w:rPr>
              <w:t>o</w:t>
            </w:r>
          </w:p>
        </w:tc>
        <w:tc>
          <w:tcPr>
            <w:tcW w:w="6480" w:type="dxa"/>
          </w:tcPr>
          <w:p w14:paraId="4E9EA8BB" w14:textId="5DC844C8" w:rsidR="005F426A" w:rsidRDefault="00F95FCF" w:rsidP="005F426A">
            <w:pPr>
              <w:rPr>
                <w:rFonts w:eastAsiaTheme="minorEastAsia"/>
                <w:highlight w:val="yellow"/>
              </w:rPr>
            </w:pPr>
            <w:r w:rsidRPr="00F95FCF">
              <w:rPr>
                <w:rFonts w:eastAsiaTheme="minorEastAsia" w:hint="eastAsia"/>
                <w:lang w:eastAsia="ko-KR"/>
              </w:rPr>
              <w:t>I</w:t>
            </w:r>
            <w:r w:rsidRPr="00F95FCF">
              <w:rPr>
                <w:rFonts w:eastAsiaTheme="minorEastAsia"/>
                <w:lang w:eastAsia="ko-KR"/>
              </w:rPr>
              <w:t xml:space="preserve">n short, the unclear gain from this feature is not worth </w:t>
            </w:r>
            <w:r w:rsidR="009E6FA2">
              <w:rPr>
                <w:rFonts w:eastAsiaTheme="minorEastAsia"/>
                <w:lang w:eastAsia="ko-KR"/>
              </w:rPr>
              <w:t xml:space="preserve">exchanging </w:t>
            </w:r>
            <w:r w:rsidRPr="00F95FCF">
              <w:rPr>
                <w:rFonts w:eastAsiaTheme="minorEastAsia"/>
                <w:lang w:eastAsia="ko-KR"/>
              </w:rPr>
              <w:t>the complexity</w:t>
            </w:r>
            <w:r>
              <w:rPr>
                <w:rFonts w:eastAsiaTheme="minorEastAsia"/>
                <w:lang w:eastAsia="ko-KR"/>
              </w:rPr>
              <w:t xml:space="preserve"> (i.e. RACH partitioning)</w:t>
            </w:r>
            <w:r w:rsidRPr="00F95FCF">
              <w:rPr>
                <w:rFonts w:eastAsiaTheme="minorEastAsia"/>
                <w:lang w:eastAsia="ko-KR"/>
              </w:rPr>
              <w:t xml:space="preserve"> it brings to resolve the inter-operabilty/co-existence issue which is even acknowledged by the proponents. </w:t>
            </w:r>
            <w:r>
              <w:rPr>
                <w:rFonts w:eastAsiaTheme="minorEastAsia"/>
                <w:lang w:eastAsia="ko-KR"/>
              </w:rPr>
              <w:t xml:space="preserve">Also, previous RAN2 agreement just says “RAN2 will </w:t>
            </w:r>
            <w:r w:rsidRPr="00F95FCF">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5F426A" w14:paraId="09483915" w14:textId="77777777" w:rsidTr="000B2209">
        <w:tc>
          <w:tcPr>
            <w:tcW w:w="1496" w:type="dxa"/>
          </w:tcPr>
          <w:p w14:paraId="3D9515AA" w14:textId="6B78010D" w:rsidR="005F426A" w:rsidRDefault="005A6C17" w:rsidP="005F426A">
            <w:pPr>
              <w:rPr>
                <w:rFonts w:eastAsiaTheme="minorEastAsia"/>
              </w:rPr>
            </w:pPr>
            <w:r w:rsidRPr="005A6C17">
              <w:rPr>
                <w:rFonts w:eastAsiaTheme="minorEastAsia"/>
              </w:rPr>
              <w:t>Huawei, HiSilicon</w:t>
            </w:r>
          </w:p>
        </w:tc>
        <w:tc>
          <w:tcPr>
            <w:tcW w:w="1739" w:type="dxa"/>
          </w:tcPr>
          <w:p w14:paraId="1B6CEE61" w14:textId="2E15300A" w:rsidR="005F426A" w:rsidRDefault="005A6C17" w:rsidP="005F426A">
            <w:pPr>
              <w:rPr>
                <w:rFonts w:eastAsiaTheme="minorEastAsia"/>
              </w:rPr>
            </w:pPr>
            <w:r>
              <w:rPr>
                <w:rFonts w:eastAsiaTheme="minorEastAsia"/>
              </w:rPr>
              <w:t>No</w:t>
            </w:r>
          </w:p>
        </w:tc>
        <w:tc>
          <w:tcPr>
            <w:tcW w:w="6480" w:type="dxa"/>
          </w:tcPr>
          <w:p w14:paraId="1F25FE70" w14:textId="77777777" w:rsidR="005F426A" w:rsidRDefault="005A6C17" w:rsidP="005F426A">
            <w:pPr>
              <w:rPr>
                <w:rFonts w:eastAsiaTheme="minorEastAsia"/>
              </w:rPr>
            </w:pPr>
            <w:r w:rsidRPr="005A6C17">
              <w:rPr>
                <w:rFonts w:eastAsiaTheme="minorEastAsia"/>
              </w:rPr>
              <w:t>Msg3 repetition was introduced in the R17 coverage enhancements WI.</w:t>
            </w:r>
            <w:r>
              <w:t xml:space="preserve"> </w:t>
            </w:r>
            <w:r>
              <w:rPr>
                <w:rFonts w:eastAsiaTheme="minorEastAsia"/>
              </w:rPr>
              <w:t>T</w:t>
            </w:r>
            <w:r w:rsidRPr="005A6C17">
              <w:rPr>
                <w:rFonts w:eastAsiaTheme="minorEastAsia"/>
              </w:rPr>
              <w:t>he network can already provide the UE with several transmission resources for Msg3 transmission in RAR if needed, which has a similar effect to the blind Msg3 retransmission.</w:t>
            </w:r>
          </w:p>
          <w:p w14:paraId="481D4A5D" w14:textId="77777777" w:rsidR="005A6C17" w:rsidRDefault="005A6C17" w:rsidP="005F426A">
            <w:pPr>
              <w:rPr>
                <w:rFonts w:eastAsiaTheme="minorEastAsia"/>
              </w:rPr>
            </w:pPr>
            <w:r>
              <w:rPr>
                <w:rFonts w:eastAsiaTheme="minorEastAsia"/>
              </w:rPr>
              <w:t>We don’t see the gain of the proposed solutions compared to what is already specified. At the same time there are several drawbacks:</w:t>
            </w:r>
          </w:p>
          <w:p w14:paraId="5765C14E" w14:textId="77777777" w:rsidR="005A6C17" w:rsidRDefault="005A6C17" w:rsidP="005A6C17">
            <w:pPr>
              <w:pStyle w:val="ListParagraph"/>
              <w:numPr>
                <w:ilvl w:val="0"/>
                <w:numId w:val="12"/>
              </w:numPr>
              <w:rPr>
                <w:rFonts w:eastAsiaTheme="minorEastAsia"/>
              </w:rPr>
            </w:pPr>
            <w:r w:rsidRPr="005A6C17">
              <w:rPr>
                <w:rFonts w:eastAsiaTheme="minorEastAsia"/>
              </w:rPr>
              <w:t>extra scheduling overhead since the retransmission resource needs to be indicated</w:t>
            </w:r>
          </w:p>
          <w:p w14:paraId="687110A0" w14:textId="77777777" w:rsidR="005A6C17" w:rsidRDefault="005A6C17" w:rsidP="005A6C17">
            <w:pPr>
              <w:pStyle w:val="ListParagraph"/>
              <w:numPr>
                <w:ilvl w:val="0"/>
                <w:numId w:val="12"/>
              </w:numPr>
              <w:rPr>
                <w:rFonts w:eastAsiaTheme="minorEastAsia"/>
              </w:rPr>
            </w:pPr>
            <w:r w:rsidRPr="005A6C17">
              <w:rPr>
                <w:rFonts w:eastAsiaTheme="minorEastAsia"/>
              </w:rPr>
              <w:t>higher UE power consumption on PDCCH monitoring</w:t>
            </w:r>
            <w:r>
              <w:rPr>
                <w:rFonts w:eastAsiaTheme="minorEastAsia"/>
              </w:rPr>
              <w:t xml:space="preserve"> if longer timers are involved</w:t>
            </w:r>
          </w:p>
          <w:p w14:paraId="495D75BB" w14:textId="77777777" w:rsidR="005A6C17" w:rsidRDefault="005A6C17" w:rsidP="005A6C17">
            <w:pPr>
              <w:pStyle w:val="ListParagraph"/>
              <w:numPr>
                <w:ilvl w:val="0"/>
                <w:numId w:val="12"/>
              </w:numPr>
              <w:rPr>
                <w:rFonts w:eastAsiaTheme="minorEastAsia"/>
              </w:rPr>
            </w:pPr>
            <w:r w:rsidRPr="005A6C17">
              <w:rPr>
                <w:rFonts w:eastAsiaTheme="minorEastAsia"/>
              </w:rPr>
              <w:t>additional mechanisms for the UE and the network to align on whether the enhanced operation is supported</w:t>
            </w:r>
            <w:r>
              <w:rPr>
                <w:rFonts w:eastAsiaTheme="minorEastAsia"/>
              </w:rPr>
              <w:t xml:space="preserve"> (e.g. RACH partitioning)</w:t>
            </w:r>
          </w:p>
          <w:p w14:paraId="3D01CDFD" w14:textId="17AB6E7F" w:rsidR="00927864" w:rsidRPr="005A6C17" w:rsidRDefault="00927864" w:rsidP="005A6C17">
            <w:pPr>
              <w:pStyle w:val="ListParagraph"/>
              <w:numPr>
                <w:ilvl w:val="0"/>
                <w:numId w:val="12"/>
              </w:numPr>
              <w:rPr>
                <w:rFonts w:eastAsiaTheme="minorEastAsia"/>
              </w:rPr>
            </w:pPr>
            <w:r>
              <w:rPr>
                <w:rFonts w:eastAsiaTheme="minorEastAsia"/>
              </w:rPr>
              <w:t>significant specification impacts</w:t>
            </w:r>
          </w:p>
        </w:tc>
      </w:tr>
      <w:tr w:rsidR="002F5F5B" w14:paraId="7F3A4876" w14:textId="77777777" w:rsidTr="00E41D59">
        <w:tc>
          <w:tcPr>
            <w:tcW w:w="1496" w:type="dxa"/>
          </w:tcPr>
          <w:p w14:paraId="2B43902C" w14:textId="77777777" w:rsidR="002F5F5B" w:rsidRDefault="002F5F5B" w:rsidP="00E41D59">
            <w:pPr>
              <w:rPr>
                <w:rFonts w:eastAsiaTheme="minorEastAsia"/>
              </w:rPr>
            </w:pPr>
            <w:r>
              <w:rPr>
                <w:rFonts w:eastAsiaTheme="minorEastAsia"/>
              </w:rPr>
              <w:t>Apple</w:t>
            </w:r>
          </w:p>
        </w:tc>
        <w:tc>
          <w:tcPr>
            <w:tcW w:w="1739" w:type="dxa"/>
          </w:tcPr>
          <w:p w14:paraId="59FEC040" w14:textId="77777777" w:rsidR="002F5F5B" w:rsidRDefault="002F5F5B" w:rsidP="00E41D59">
            <w:pPr>
              <w:rPr>
                <w:rFonts w:eastAsiaTheme="minorEastAsia"/>
              </w:rPr>
            </w:pPr>
            <w:r>
              <w:rPr>
                <w:rFonts w:eastAsiaTheme="minorEastAsia"/>
              </w:rPr>
              <w:t>No</w:t>
            </w:r>
          </w:p>
        </w:tc>
        <w:tc>
          <w:tcPr>
            <w:tcW w:w="6480" w:type="dxa"/>
          </w:tcPr>
          <w:p w14:paraId="1D22300B" w14:textId="77777777" w:rsidR="002F5F5B" w:rsidRDefault="002F5F5B" w:rsidP="00E41D59">
            <w:pPr>
              <w:rPr>
                <w:rFonts w:eastAsiaTheme="minorEastAsia"/>
              </w:rPr>
            </w:pPr>
            <w:r w:rsidRPr="00A93405">
              <w:rPr>
                <w:rFonts w:eastAsiaTheme="minorEastAsia"/>
              </w:rPr>
              <w:t>Agree</w:t>
            </w:r>
            <w:r>
              <w:rPr>
                <w:rFonts w:eastAsiaTheme="minorEastAsia"/>
              </w:rPr>
              <w:t xml:space="preserve"> with CATT. </w:t>
            </w:r>
          </w:p>
          <w:p w14:paraId="4399D2D7" w14:textId="77777777" w:rsidR="002F5F5B" w:rsidRPr="00A93405" w:rsidRDefault="002F5F5B" w:rsidP="00E41D59">
            <w:pPr>
              <w:rPr>
                <w:rFonts w:eastAsiaTheme="minorEastAsia"/>
              </w:rPr>
            </w:pPr>
            <w:r>
              <w:rPr>
                <w:rFonts w:eastAsiaTheme="minorEastAsia"/>
              </w:rPr>
              <w:t xml:space="preserve">The performance of blind Msg3 retransmission is same as R17  Msg3 repetition. Therefore, we do not see the need to introduce blind Msg3 retransmisson enhancement in R18. </w:t>
            </w:r>
          </w:p>
        </w:tc>
      </w:tr>
      <w:tr w:rsidR="005F426A" w14:paraId="77F5EE70" w14:textId="77777777" w:rsidTr="000B2209">
        <w:tc>
          <w:tcPr>
            <w:tcW w:w="1496" w:type="dxa"/>
          </w:tcPr>
          <w:p w14:paraId="32C289C3" w14:textId="35F7B15B" w:rsidR="005F426A" w:rsidRDefault="000C7366" w:rsidP="005F426A">
            <w:pPr>
              <w:rPr>
                <w:lang w:eastAsia="sv-SE"/>
              </w:rPr>
            </w:pPr>
            <w:r>
              <w:rPr>
                <w:lang w:eastAsia="sv-SE"/>
              </w:rPr>
              <w:t>Intel</w:t>
            </w:r>
          </w:p>
        </w:tc>
        <w:tc>
          <w:tcPr>
            <w:tcW w:w="1739" w:type="dxa"/>
          </w:tcPr>
          <w:p w14:paraId="6C2BBAFB" w14:textId="2E0CD1D9" w:rsidR="005F426A" w:rsidRDefault="000C7366" w:rsidP="005F426A">
            <w:pPr>
              <w:rPr>
                <w:lang w:eastAsia="sv-SE"/>
              </w:rPr>
            </w:pPr>
            <w:r>
              <w:rPr>
                <w:lang w:eastAsia="sv-SE"/>
              </w:rPr>
              <w:t>No</w:t>
            </w:r>
          </w:p>
        </w:tc>
        <w:tc>
          <w:tcPr>
            <w:tcW w:w="6480" w:type="dxa"/>
          </w:tcPr>
          <w:p w14:paraId="5D7C164A" w14:textId="10103E42" w:rsidR="005F426A" w:rsidRDefault="000C7366" w:rsidP="005F426A">
            <w:pPr>
              <w:rPr>
                <w:rFonts w:eastAsiaTheme="minorEastAsia"/>
              </w:rPr>
            </w:pPr>
            <w:r>
              <w:rPr>
                <w:rFonts w:eastAsiaTheme="minorEastAsia"/>
              </w:rPr>
              <w:t>This is not in R18 NR NTN scope, actually there is no RAN2 specific coverage enhancement in WID.</w:t>
            </w:r>
          </w:p>
          <w:p w14:paraId="70EEB54B" w14:textId="77777777" w:rsidR="000C7366" w:rsidRDefault="000C7366" w:rsidP="005F426A">
            <w:pPr>
              <w:rPr>
                <w:rFonts w:eastAsiaTheme="minorEastAsia"/>
              </w:rPr>
            </w:pPr>
          </w:p>
          <w:p w14:paraId="10ADF65C" w14:textId="77777777" w:rsidR="000C7366" w:rsidRDefault="000C7366" w:rsidP="000C7366">
            <w:pPr>
              <w:tabs>
                <w:tab w:val="left" w:pos="1622"/>
              </w:tabs>
              <w:rPr>
                <w:i/>
                <w:noProof/>
                <w:sz w:val="18"/>
              </w:rPr>
            </w:pPr>
            <w:r>
              <w:rPr>
                <w:i/>
                <w:noProof/>
                <w:sz w:val="18"/>
              </w:rPr>
              <w:t>In WID:</w:t>
            </w:r>
          </w:p>
          <w:p w14:paraId="7CD0E17D" w14:textId="77777777" w:rsidR="000C7366" w:rsidRPr="0021333B" w:rsidRDefault="000C7366" w:rsidP="000C7366">
            <w:pPr>
              <w:tabs>
                <w:tab w:val="left" w:pos="1622"/>
              </w:tabs>
              <w:rPr>
                <w:i/>
                <w:noProof/>
                <w:sz w:val="18"/>
              </w:rPr>
            </w:pPr>
            <w:r w:rsidRPr="0021333B">
              <w:rPr>
                <w:i/>
                <w:noProof/>
                <w:sz w:val="18"/>
              </w:rPr>
              <w:t>The detailed objectives are for NTN:</w:t>
            </w:r>
          </w:p>
          <w:p w14:paraId="74676FD8" w14:textId="77777777" w:rsidR="000C7366" w:rsidRPr="0021333B" w:rsidRDefault="000C7366" w:rsidP="000C7366">
            <w:pPr>
              <w:tabs>
                <w:tab w:val="left" w:pos="1622"/>
              </w:tabs>
              <w:rPr>
                <w:i/>
                <w:noProof/>
                <w:sz w:val="18"/>
              </w:rPr>
            </w:pPr>
            <w:r w:rsidRPr="0021333B">
              <w:rPr>
                <w:i/>
                <w:noProof/>
                <w:sz w:val="18"/>
              </w:rPr>
              <w:t>•To specify PUCCH enhancements for Msg4 HARQ-ACK (e.g. repetition) [RAN1, RAN4]</w:t>
            </w:r>
          </w:p>
          <w:p w14:paraId="3F3A9FFD" w14:textId="77777777" w:rsidR="000C7366" w:rsidRDefault="000C7366" w:rsidP="000C7366">
            <w:pPr>
              <w:tabs>
                <w:tab w:val="left" w:pos="1622"/>
              </w:tabs>
              <w:rPr>
                <w:i/>
                <w:noProof/>
                <w:sz w:val="18"/>
              </w:rPr>
            </w:pPr>
            <w:r w:rsidRPr="0021333B">
              <w:rPr>
                <w:i/>
                <w:noProof/>
                <w:sz w:val="18"/>
              </w:rPr>
              <w:t>•To specify if necessary, enhancements to the Rel-17 procedures for DMRS bundling for PUSCH taking into account NTN-specifics (e.g. time-frequency pre-compensation) [RAN1]</w:t>
            </w:r>
          </w:p>
          <w:p w14:paraId="64B1116A" w14:textId="7C7007F8" w:rsidR="000C7366" w:rsidRDefault="000C7366" w:rsidP="005F426A">
            <w:pPr>
              <w:rPr>
                <w:rFonts w:eastAsiaTheme="minorEastAsia"/>
              </w:rPr>
            </w:pPr>
          </w:p>
        </w:tc>
      </w:tr>
      <w:tr w:rsidR="005F426A" w14:paraId="4FE0A83B" w14:textId="77777777" w:rsidTr="000B2209">
        <w:tc>
          <w:tcPr>
            <w:tcW w:w="1496" w:type="dxa"/>
          </w:tcPr>
          <w:p w14:paraId="30C94436" w14:textId="72DD4B2C" w:rsidR="005F426A" w:rsidRDefault="004377F0" w:rsidP="005F426A">
            <w:pPr>
              <w:rPr>
                <w:rFonts w:eastAsiaTheme="minorEastAsia"/>
              </w:rPr>
            </w:pPr>
            <w:r>
              <w:rPr>
                <w:rFonts w:eastAsiaTheme="minorEastAsia"/>
              </w:rPr>
              <w:t>Thales</w:t>
            </w:r>
          </w:p>
        </w:tc>
        <w:tc>
          <w:tcPr>
            <w:tcW w:w="1739" w:type="dxa"/>
          </w:tcPr>
          <w:p w14:paraId="344A9978" w14:textId="1EDC24AD" w:rsidR="005F426A" w:rsidRDefault="004377F0" w:rsidP="005F426A">
            <w:pPr>
              <w:rPr>
                <w:rFonts w:eastAsiaTheme="minorEastAsia"/>
              </w:rPr>
            </w:pPr>
            <w:r>
              <w:rPr>
                <w:rFonts w:eastAsiaTheme="minorEastAsia"/>
              </w:rPr>
              <w:t>No</w:t>
            </w:r>
          </w:p>
        </w:tc>
        <w:tc>
          <w:tcPr>
            <w:tcW w:w="6480" w:type="dxa"/>
          </w:tcPr>
          <w:p w14:paraId="2CEE5FDF" w14:textId="0D40D085" w:rsidR="005F426A" w:rsidRDefault="004377F0" w:rsidP="004377F0">
            <w:pPr>
              <w:jc w:val="left"/>
              <w:rPr>
                <w:rFonts w:eastAsiaTheme="minorEastAsia"/>
                <w:highlight w:val="yellow"/>
              </w:rPr>
            </w:pPr>
            <w:r w:rsidRPr="004377F0">
              <w:rPr>
                <w:rFonts w:eastAsiaTheme="minorEastAsia"/>
              </w:rPr>
              <w:t>Agree with</w:t>
            </w:r>
            <w:r>
              <w:rPr>
                <w:rFonts w:eastAsiaTheme="minorEastAsia"/>
              </w:rPr>
              <w:t xml:space="preserve"> Huawei, the coverage benefit brings by blind msg3 retransmission is unclear while it comes with several drawbacks for signalling overhead and UE pow</w:t>
            </w:r>
            <w:bookmarkStart w:id="0" w:name="_GoBack"/>
            <w:bookmarkEnd w:id="0"/>
            <w:r>
              <w:rPr>
                <w:rFonts w:eastAsiaTheme="minorEastAsia"/>
              </w:rPr>
              <w:t>er consumption.</w:t>
            </w:r>
          </w:p>
        </w:tc>
      </w:tr>
      <w:tr w:rsidR="005F426A" w14:paraId="326007D4" w14:textId="77777777" w:rsidTr="000B2209">
        <w:tc>
          <w:tcPr>
            <w:tcW w:w="1496" w:type="dxa"/>
          </w:tcPr>
          <w:p w14:paraId="78A2BE71" w14:textId="77777777" w:rsidR="005F426A" w:rsidRDefault="005F426A" w:rsidP="005F426A">
            <w:pPr>
              <w:rPr>
                <w:rFonts w:eastAsiaTheme="minorEastAsia"/>
                <w:lang w:eastAsia="sv-SE"/>
              </w:rPr>
            </w:pPr>
          </w:p>
        </w:tc>
        <w:tc>
          <w:tcPr>
            <w:tcW w:w="1739" w:type="dxa"/>
          </w:tcPr>
          <w:p w14:paraId="1670DB2E" w14:textId="77777777" w:rsidR="005F426A" w:rsidRDefault="005F426A" w:rsidP="005F426A">
            <w:pPr>
              <w:rPr>
                <w:rFonts w:eastAsiaTheme="minorEastAsia"/>
                <w:lang w:val="en-US"/>
              </w:rPr>
            </w:pPr>
          </w:p>
        </w:tc>
        <w:tc>
          <w:tcPr>
            <w:tcW w:w="6480" w:type="dxa"/>
          </w:tcPr>
          <w:p w14:paraId="02953D5F" w14:textId="77777777" w:rsidR="005F426A" w:rsidRDefault="005F426A" w:rsidP="005F426A">
            <w:pPr>
              <w:rPr>
                <w:rFonts w:eastAsiaTheme="minorEastAsia"/>
                <w:lang w:val="en-US"/>
              </w:rPr>
            </w:pPr>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Heading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ListParagraph"/>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ListParagraph"/>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ListParagraph"/>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Start ra-ContentionResolutionTimer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ListParagraph"/>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ListParagraph"/>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ListParagraph"/>
        <w:numPr>
          <w:ilvl w:val="0"/>
          <w:numId w:val="10"/>
        </w:numPr>
        <w:jc w:val="both"/>
        <w:rPr>
          <w:rFonts w:ascii="Arial" w:hAnsi="Arial" w:cs="Arial"/>
          <w:sz w:val="20"/>
          <w:szCs w:val="20"/>
        </w:rPr>
      </w:pPr>
      <w:r w:rsidRPr="001F30C0">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received </w:t>
      </w:r>
      <w:r>
        <w:rPr>
          <w:rFonts w:ascii="Arial" w:hAnsi="Arial" w:cs="Arial"/>
          <w:sz w:val="20"/>
          <w:szCs w:val="20"/>
        </w:rPr>
        <w:t xml:space="preserve"> </w:t>
      </w:r>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ra-ResponseWindow</w:t>
      </w:r>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ListParagraph"/>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ra-RespondWindow</w:t>
      </w:r>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ListParagraph"/>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ra-ResponseWindow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ra-ContentionResolutionTimer</w:t>
      </w:r>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ra-ResponseWindow</w:t>
      </w:r>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use ra-ContentionResolutionTimer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1"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1"/>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Heading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ListParagraph"/>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r w:rsidRPr="008A3F4B">
        <w:rPr>
          <w:rFonts w:ascii="Arial" w:hAnsi="Arial" w:cs="Arial"/>
          <w:i/>
          <w:iCs/>
          <w:sz w:val="20"/>
          <w:szCs w:val="20"/>
        </w:rPr>
        <w:t>FeatureCombination</w:t>
      </w:r>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ListParagraph"/>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o you agree to introduce sepate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TableGri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r w:rsidRPr="000B2AEF">
              <w:rPr>
                <w:rStyle w:val="Emphasis"/>
              </w:rPr>
              <w:t>ra-ContentionResolutionTimer</w:t>
            </w:r>
            <w:r>
              <w:rPr>
                <w:rStyle w:val="Emphasis"/>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So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ListParagraph"/>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Heading2"/>
      </w:pPr>
      <w:r>
        <w:t>Other triggers for additional monioring</w:t>
      </w:r>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A UE which initated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Case 1: upon reception of a RAR instead of MsgB;</w:t>
            </w:r>
          </w:p>
          <w:p w14:paraId="2F4A9CEA" w14:textId="77777777" w:rsidR="00BB4754" w:rsidRDefault="00BB4754" w:rsidP="00BB4754">
            <w:r>
              <w:t xml:space="preserve">Case 2: the attempt number of MsgA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MsgB, UE has no way to inform network whether it would monitor for blind Msg3 retransmission or not. So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 resources</w:t>
            </w:r>
            <w:r>
              <w:rPr>
                <w:rFonts w:eastAsia="Malgun Gothic"/>
                <w:lang w:eastAsia="ko-KR"/>
              </w:rPr>
              <w:t xml:space="preserve">. That is, for Msg3 repetition feaure, if UE firsly selects 2-step RACH, and then falls back to 4-step RACH due to </w:t>
            </w:r>
            <w:r>
              <w:t xml:space="preserve">the attempt number of MsgA reaching the maximum attempt number, the UE would not select the </w:t>
            </w:r>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 resources</w:t>
            </w:r>
            <w:r>
              <w:rPr>
                <w:rFonts w:eastAsia="Malgun Gothic"/>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Heading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04267441" w14:textId="65BA04C2" w:rsidR="007F0C67" w:rsidRDefault="00A3343B" w:rsidP="007F0C67">
      <w:pPr>
        <w:pStyle w:val="Reference"/>
      </w:pPr>
      <w:hyperlink r:id="rId11" w:history="1">
        <w:r w:rsidR="007F0C67" w:rsidRPr="001C2F56">
          <w:rPr>
            <w:rStyle w:val="Hyperlink"/>
          </w:rPr>
          <w:t>R2-2302536</w:t>
        </w:r>
      </w:hyperlink>
      <w:r w:rsidR="007F0C67">
        <w:tab/>
        <w:t>Discussion on initial blind Msg3 retransmission for NTN</w:t>
      </w:r>
      <w:r w:rsidR="007F0C67">
        <w:tab/>
        <w:t>OPPO</w:t>
      </w:r>
    </w:p>
    <w:p w14:paraId="524692FE" w14:textId="181E1F04" w:rsidR="007F0C67" w:rsidRDefault="00A3343B" w:rsidP="007F0C67">
      <w:pPr>
        <w:pStyle w:val="Reference"/>
      </w:pPr>
      <w:hyperlink r:id="rId12" w:history="1">
        <w:r w:rsidR="007F0C67" w:rsidRPr="00E43F31">
          <w:rPr>
            <w:rStyle w:val="Hyperlink"/>
          </w:rPr>
          <w:t>R2-2302798</w:t>
        </w:r>
      </w:hyperlink>
      <w:r w:rsidR="007F0C67">
        <w:tab/>
        <w:t>Discussion on blind Msg3 retransmission</w:t>
      </w:r>
      <w:r w:rsidR="007F0C67">
        <w:tab/>
        <w:t>Huawei, HiSilicon</w:t>
      </w:r>
    </w:p>
    <w:p w14:paraId="7881E8A5" w14:textId="6F1C521D" w:rsidR="007F0C67" w:rsidRDefault="00A3343B" w:rsidP="007F0C67">
      <w:pPr>
        <w:pStyle w:val="Reference"/>
      </w:pPr>
      <w:hyperlink r:id="rId13" w:history="1">
        <w:r w:rsidR="007F0C67" w:rsidRPr="00E43F31">
          <w:rPr>
            <w:rStyle w:val="Hyperlink"/>
          </w:rPr>
          <w:t>R2-2303326</w:t>
        </w:r>
      </w:hyperlink>
      <w:r w:rsidR="007F0C67">
        <w:tab/>
        <w:t>Discussion on coverage enhancement for R18 NTN</w:t>
      </w:r>
      <w:r w:rsidR="007F0C67">
        <w:tab/>
        <w:t>vivo</w:t>
      </w:r>
    </w:p>
    <w:p w14:paraId="2AC701FF" w14:textId="78B6D457" w:rsidR="007F0C67" w:rsidRDefault="00A3343B" w:rsidP="007F0C67">
      <w:pPr>
        <w:pStyle w:val="Reference"/>
      </w:pPr>
      <w:hyperlink r:id="rId14" w:history="1">
        <w:r w:rsidR="007F0C67" w:rsidRPr="00C31796">
          <w:rPr>
            <w:rStyle w:val="Hyperlink"/>
          </w:rPr>
          <w:t>R2-2303727</w:t>
        </w:r>
      </w:hyperlink>
      <w:r w:rsidR="007F0C67">
        <w:tab/>
        <w:t>Blind Msg3 retransmission in Rel-18 NTN</w:t>
      </w:r>
      <w:r w:rsidR="007F0C67">
        <w:tab/>
        <w:t>InterDigital</w:t>
      </w:r>
    </w:p>
    <w:p w14:paraId="2FA45773" w14:textId="6860BA92" w:rsidR="007F0C67" w:rsidRDefault="00A3343B" w:rsidP="007F0C67">
      <w:pPr>
        <w:pStyle w:val="Reference"/>
      </w:pPr>
      <w:hyperlink r:id="rId15" w:history="1">
        <w:r w:rsidR="007F0C67" w:rsidRPr="00C31796">
          <w:rPr>
            <w:rStyle w:val="Hyperlink"/>
          </w:rPr>
          <w:t>R2-2303834</w:t>
        </w:r>
      </w:hyperlink>
      <w:r w:rsidR="007F0C67">
        <w:tab/>
        <w:t>R18 NR NTN Coverage enhancements</w:t>
      </w:r>
      <w:r w:rsidR="007F0C67">
        <w:tab/>
        <w:t>Ericsson</w:t>
      </w:r>
    </w:p>
    <w:p w14:paraId="0F5FF4B3" w14:textId="7089C0E4" w:rsidR="001B3A0D" w:rsidRDefault="00A3343B" w:rsidP="007F0C67">
      <w:pPr>
        <w:pStyle w:val="Reference"/>
      </w:pPr>
      <w:hyperlink r:id="rId16" w:history="1">
        <w:r w:rsidR="007F0C67" w:rsidRPr="00F9660C">
          <w:rPr>
            <w:rStyle w:val="Hyperlink"/>
          </w:rPr>
          <w:t>R2-2303997</w:t>
        </w:r>
      </w:hyperlink>
      <w:r w:rsidR="007F0C67">
        <w:tab/>
        <w:t>Discussion on inital blind Msg3 retransmssion</w:t>
      </w:r>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Heading1"/>
      </w:pPr>
      <w:r>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TableGri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NoSpacing"/>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Hyperlink"/>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NoSpacing"/>
              <w:rPr>
                <w:sz w:val="18"/>
                <w:szCs w:val="18"/>
              </w:rPr>
            </w:pPr>
            <w:r>
              <w:rPr>
                <w:sz w:val="18"/>
                <w:szCs w:val="18"/>
              </w:rPr>
              <w:t>Huawei, HiSilicon</w:t>
            </w:r>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Hyperlink"/>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NoSpacing"/>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Hyperlink"/>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5E47BE92" w14:textId="77777777" w:rsidR="00CB3006" w:rsidRDefault="00CB3006" w:rsidP="00AA1F96">
            <w:pPr>
              <w:pStyle w:val="NoSpacing"/>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NoSpacing"/>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Hyperlink"/>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NoSpacing"/>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TableGri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NoSpacing"/>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Hyperlink"/>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To enable blind retransmission for initial Msg3 transmission, UE starts ra-ContentionResolutionTimer immediately after the end of initial Msg3 transmission.</w:t>
            </w:r>
          </w:p>
        </w:tc>
        <w:tc>
          <w:tcPr>
            <w:tcW w:w="1354" w:type="dxa"/>
          </w:tcPr>
          <w:p w14:paraId="63AA046A" w14:textId="77777777" w:rsidR="00CB3006" w:rsidRDefault="00CB3006" w:rsidP="00AA1F96">
            <w:pPr>
              <w:pStyle w:val="NoSpacing"/>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Hyperlink"/>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NoSpacing"/>
              <w:rPr>
                <w:sz w:val="18"/>
                <w:szCs w:val="18"/>
              </w:rPr>
            </w:pPr>
            <w:r>
              <w:rPr>
                <w:sz w:val="18"/>
                <w:szCs w:val="18"/>
              </w:rPr>
              <w:t>InterDigital</w:t>
            </w:r>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Hyperlink"/>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A new timer initialBlindRetxTimer is started by the UE after successful reception of a Random Access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Monitor the PDCCH while the initialBlindRetxTimer is running regardless of the possible occurrence of a measurement gap</w:t>
            </w:r>
          </w:p>
        </w:tc>
        <w:tc>
          <w:tcPr>
            <w:tcW w:w="1354" w:type="dxa"/>
          </w:tcPr>
          <w:p w14:paraId="67757C0E" w14:textId="77777777" w:rsidR="00CB3006" w:rsidRDefault="00CB3006" w:rsidP="00AA1F96">
            <w:pPr>
              <w:pStyle w:val="NoSpacing"/>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Hyperlink"/>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42633F85" w14:textId="77777777" w:rsidR="00CB3006" w:rsidRDefault="00CB3006" w:rsidP="00AA1F96">
            <w:pPr>
              <w:pStyle w:val="NoSpacing"/>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TableGri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NoSpacing"/>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Hyperlink"/>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NoSpacing"/>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Hyperlink"/>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NoSpacing"/>
              <w:rPr>
                <w:sz w:val="18"/>
                <w:szCs w:val="18"/>
              </w:rPr>
            </w:pPr>
            <w:r>
              <w:rPr>
                <w:sz w:val="18"/>
                <w:szCs w:val="18"/>
              </w:rPr>
              <w:t>InterDigital</w:t>
            </w:r>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TableGri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NoSpacing"/>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Hyperlink"/>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NoSpacing"/>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Hyperlink"/>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NoSpacing"/>
              <w:rPr>
                <w:sz w:val="18"/>
                <w:szCs w:val="18"/>
              </w:rPr>
            </w:pPr>
            <w:r>
              <w:rPr>
                <w:sz w:val="18"/>
                <w:szCs w:val="18"/>
              </w:rPr>
              <w:t>InterDigital</w:t>
            </w:r>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TableGri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NoSpacing"/>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Hyperlink"/>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NoSpacing"/>
              <w:rPr>
                <w:sz w:val="18"/>
                <w:szCs w:val="18"/>
              </w:rPr>
            </w:pPr>
            <w:r>
              <w:rPr>
                <w:sz w:val="18"/>
                <w:szCs w:val="18"/>
              </w:rPr>
              <w:t>InterDigital</w:t>
            </w:r>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TableGri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NoSpacing"/>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Hyperlink"/>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NoSpacing"/>
              <w:rPr>
                <w:sz w:val="18"/>
                <w:szCs w:val="18"/>
              </w:rPr>
            </w:pPr>
            <w:r>
              <w:rPr>
                <w:sz w:val="18"/>
                <w:szCs w:val="18"/>
              </w:rPr>
              <w:t>InterDigital</w:t>
            </w:r>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5C9E" w14:textId="77777777" w:rsidR="00A3343B" w:rsidRDefault="00A3343B">
      <w:pPr>
        <w:spacing w:after="0"/>
      </w:pPr>
      <w:r>
        <w:separator/>
      </w:r>
    </w:p>
  </w:endnote>
  <w:endnote w:type="continuationSeparator" w:id="0">
    <w:p w14:paraId="0085D43A" w14:textId="77777777" w:rsidR="00A3343B" w:rsidRDefault="00A334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70F5C7F0"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343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343B">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9C09D" w14:textId="77777777" w:rsidR="00A3343B" w:rsidRDefault="00A3343B">
      <w:pPr>
        <w:spacing w:after="0"/>
      </w:pPr>
      <w:r>
        <w:separator/>
      </w:r>
    </w:p>
  </w:footnote>
  <w:footnote w:type="continuationSeparator" w:id="0">
    <w:p w14:paraId="066C826C" w14:textId="77777777" w:rsidR="00A3343B" w:rsidRDefault="00A334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3512</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Ronteix-Jacquet Flavien</cp:lastModifiedBy>
  <cp:revision>7</cp:revision>
  <dcterms:created xsi:type="dcterms:W3CDTF">2023-04-20T07:50:00Z</dcterms:created>
  <dcterms:modified xsi:type="dcterms:W3CDTF">2023-04-20T16:41:00Z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ies>
</file>