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r w:rsidRPr="00CD2CD7">
        <w:t xml:space="preserve">eMeeting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-e][</w:t>
      </w:r>
      <w:r w:rsidR="00820236">
        <w:rPr>
          <w:sz w:val="22"/>
          <w:szCs w:val="22"/>
        </w:rPr>
        <w:t>10</w:t>
      </w:r>
      <w:r w:rsidR="00371479">
        <w:rPr>
          <w:sz w:val="22"/>
          <w:szCs w:val="22"/>
        </w:rPr>
        <w:t>5</w:t>
      </w:r>
      <w:r w:rsidR="00545CBD" w:rsidRPr="00545CBD">
        <w:rPr>
          <w:sz w:val="22"/>
          <w:szCs w:val="22"/>
        </w:rPr>
        <w:t>][</w:t>
      </w:r>
      <w:r w:rsidR="00371479">
        <w:rPr>
          <w:sz w:val="22"/>
          <w:szCs w:val="22"/>
        </w:rPr>
        <w:t xml:space="preserve">NR </w:t>
      </w:r>
      <w:r w:rsidR="00820236">
        <w:rPr>
          <w:sz w:val="22"/>
          <w:szCs w:val="22"/>
        </w:rPr>
        <w:t>NTN</w:t>
      </w:r>
      <w:r w:rsidR="00371479">
        <w:rPr>
          <w:sz w:val="22"/>
          <w:szCs w:val="22"/>
        </w:rPr>
        <w:t xml:space="preserve"> enh</w:t>
      </w:r>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601104">
        <w:rPr>
          <w:rStyle w:val="Strong"/>
        </w:rPr>
        <w:t>121bis</w:t>
      </w:r>
      <w:r w:rsidR="00545CBD" w:rsidRPr="00545CBD">
        <w:rPr>
          <w:rStyle w:val="Strong"/>
        </w:rPr>
        <w:t>-e][</w:t>
      </w:r>
      <w:r w:rsidR="00601104">
        <w:rPr>
          <w:rStyle w:val="Strong"/>
        </w:rPr>
        <w:t xml:space="preserve">NR </w:t>
      </w:r>
      <w:r w:rsidR="00545CBD" w:rsidRPr="00545CBD">
        <w:rPr>
          <w:rStyle w:val="Strong"/>
        </w:rPr>
        <w:t>NTN</w:t>
      </w:r>
      <w:r w:rsidR="00601104">
        <w:rPr>
          <w:rStyle w:val="Strong"/>
        </w:rPr>
        <w:t xml:space="preserve"> enh</w:t>
      </w:r>
      <w:r w:rsidR="00545CBD" w:rsidRPr="00545CBD">
        <w:rPr>
          <w:rStyle w:val="Strong"/>
        </w:rPr>
        <w:t>][10</w:t>
      </w:r>
      <w:r w:rsidR="00601104">
        <w:rPr>
          <w:rStyle w:val="Strong"/>
        </w:rPr>
        <w:t>5</w:t>
      </w:r>
      <w:r w:rsidR="00545CBD" w:rsidRPr="00545CBD">
        <w:rPr>
          <w:rStyle w:val="Strong"/>
        </w:rPr>
        <w:t xml:space="preserve">] </w:t>
      </w:r>
      <w:r w:rsidR="00601104">
        <w:rPr>
          <w:rStyle w:val="Strong"/>
        </w:rPr>
        <w:t>Coverage enhancements</w:t>
      </w:r>
      <w:r w:rsidR="00545CBD" w:rsidRPr="00545CBD">
        <w:rPr>
          <w:rStyle w:val="Strong"/>
        </w:rPr>
        <w:t xml:space="preserve"> (InterDigital)</w:t>
      </w:r>
    </w:p>
    <w:p w14:paraId="728E37D7"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require online discussions</w:t>
      </w:r>
    </w:p>
    <w:p w14:paraId="22F667F6" w14:textId="6A7ACC55"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Heading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Emphasis"/>
          <w:i w:val="0"/>
          <w:iCs w:val="0"/>
        </w:rPr>
        <w:t xml:space="preserve">In terrestrial networks the gap between a MAC entity stopping the </w:t>
      </w:r>
      <w:r w:rsidRPr="00622BC5">
        <w:rPr>
          <w:i/>
          <w:iCs/>
          <w:lang w:eastAsia="ko-KR"/>
        </w:rPr>
        <w:t xml:space="preserve">ra-ResponseWindow </w:t>
      </w:r>
      <w:r w:rsidRPr="006B62E4">
        <w:rPr>
          <w:lang w:eastAsia="ko-KR"/>
        </w:rPr>
        <w:t>and starting the</w:t>
      </w:r>
      <w:r w:rsidRPr="00622BC5">
        <w:rPr>
          <w:i/>
          <w:iCs/>
          <w:lang w:eastAsia="ko-KR"/>
        </w:rPr>
        <w:t xml:space="preserve"> </w:t>
      </w:r>
      <w:r w:rsidRPr="006B62E4">
        <w:rPr>
          <w:rStyle w:val="Emphasis"/>
        </w:rPr>
        <w:t>ra-ContentionResolutionTimer</w:t>
      </w:r>
      <w:r w:rsidRPr="00622BC5">
        <w:rPr>
          <w:rStyle w:val="Emphasis"/>
          <w:i w:val="0"/>
          <w:iCs w:val="0"/>
        </w:rPr>
        <w:t xml:space="preserve"> is usually quite brief</w:t>
      </w:r>
      <w:r w:rsidR="00616DBD">
        <w:rPr>
          <w:rStyle w:val="Emphasis"/>
          <w:i w:val="0"/>
          <w:iCs w:val="0"/>
        </w:rPr>
        <w:t xml:space="preserve"> </w:t>
      </w:r>
      <w:r w:rsidR="00F67E72">
        <w:rPr>
          <w:rStyle w:val="Emphasis"/>
          <w:i w:val="0"/>
          <w:iCs w:val="0"/>
        </w:rPr>
        <w:t>(maybe one or a few slots</w:t>
      </w:r>
      <w:r w:rsidR="00CA3867">
        <w:rPr>
          <w:rStyle w:val="Emphasis"/>
          <w:i w:val="0"/>
          <w:iCs w:val="0"/>
        </w:rPr>
        <w:t xml:space="preserve"> [5]</w:t>
      </w:r>
      <w:r w:rsidR="00F67E72">
        <w:rPr>
          <w:rStyle w:val="Emphasis"/>
          <w:i w:val="0"/>
          <w:iCs w:val="0"/>
        </w:rPr>
        <w:t>)</w:t>
      </w:r>
      <w:r w:rsidRPr="00622BC5">
        <w:rPr>
          <w:rStyle w:val="Emphasis"/>
          <w:i w:val="0"/>
          <w:iCs w:val="0"/>
        </w:rPr>
        <w:t xml:space="preserve">, allowing near-continuous monitoring of PDCCH. By offsetting the start of the </w:t>
      </w:r>
      <w:r w:rsidRPr="00E90311">
        <w:rPr>
          <w:rStyle w:val="Emphasis"/>
        </w:rPr>
        <w:t>ra-ContentionResolutionTimer</w:t>
      </w:r>
      <w:r w:rsidRPr="00622BC5">
        <w:rPr>
          <w:rStyle w:val="Emphasis"/>
          <w:i w:val="0"/>
          <w:iCs w:val="0"/>
        </w:rPr>
        <w:t xml:space="preserve"> in NTN this gap is significantly increased, limiting the ability to quickly receive a blind Msg3 retransmission grant after the </w:t>
      </w:r>
      <w:r w:rsidRPr="00622BC5">
        <w:rPr>
          <w:i/>
          <w:iCs/>
          <w:lang w:eastAsia="ko-KR"/>
        </w:rPr>
        <w:t xml:space="preserve">ra-ResponseWindow </w:t>
      </w:r>
      <w:r w:rsidRPr="00F67E72">
        <w:rPr>
          <w:lang w:eastAsia="ko-KR"/>
        </w:rPr>
        <w:t>is stopped (Figure 1).</w:t>
      </w:r>
    </w:p>
    <w:p w14:paraId="53F503F5" w14:textId="4D5D91A6" w:rsidR="00F71461" w:rsidRDefault="00A51F45" w:rsidP="00F71461">
      <w:pPr>
        <w:rPr>
          <w:iCs/>
          <w:lang w:eastAsia="ko-KR"/>
        </w:rPr>
      </w:pPr>
      <w:r w:rsidRPr="00A51F45">
        <w:rPr>
          <w:iCs/>
          <w:noProof/>
          <w:lang w:val="en-US" w:eastAsia="ko-KR"/>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0"/>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14:paraId="7165FE8B" w14:textId="77777777" w:rsidR="009D0FAB" w:rsidRDefault="009D0FAB" w:rsidP="00345A05">
      <w:pPr>
        <w:rPr>
          <w:iCs/>
          <w:lang w:eastAsia="ko-KR"/>
        </w:rPr>
      </w:pPr>
    </w:p>
    <w:p w14:paraId="1A9DD1CC" w14:textId="7453D9EF" w:rsidR="00E404AA" w:rsidRDefault="00FF2FC2" w:rsidP="00E404AA">
      <w:pPr>
        <w:pStyle w:val="Heading2"/>
      </w:pPr>
      <w:r>
        <w:lastRenderedPageBreak/>
        <w:t>Support for enhanced to blind MSG3 retransmission</w:t>
      </w:r>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UE-gNB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(e.g.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ListParagraph"/>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ListParagraph"/>
        <w:numPr>
          <w:ilvl w:val="0"/>
          <w:numId w:val="12"/>
        </w:numPr>
        <w:rPr>
          <w:rFonts w:ascii="Arial" w:hAnsi="Arial" w:cs="Arial"/>
          <w:sz w:val="20"/>
          <w:szCs w:val="20"/>
        </w:rPr>
      </w:pPr>
      <w:r>
        <w:rPr>
          <w:rFonts w:ascii="Arial" w:hAnsi="Arial" w:cs="Arial"/>
          <w:sz w:val="20"/>
          <w:szCs w:val="20"/>
        </w:rPr>
        <w:t xml:space="preserve">Can easily extend solutions for MSG3 repetition (e.g. using spare bits in the IE </w:t>
      </w:r>
      <w:r w:rsidRPr="006B5CE7">
        <w:rPr>
          <w:rFonts w:ascii="Arial" w:hAnsi="Arial" w:cs="Arial"/>
          <w:i/>
          <w:iCs/>
          <w:sz w:val="20"/>
          <w:szCs w:val="20"/>
        </w:rPr>
        <w:t>featureC</w:t>
      </w:r>
      <w:r w:rsidR="006B5CE7" w:rsidRPr="006B5CE7">
        <w:rPr>
          <w:rFonts w:ascii="Arial" w:hAnsi="Arial" w:cs="Arial"/>
          <w:i/>
          <w:iCs/>
          <w:sz w:val="20"/>
          <w:szCs w:val="20"/>
        </w:rPr>
        <w:t>ombination</w:t>
      </w:r>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ListParagraph"/>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ListParagraph"/>
        <w:numPr>
          <w:ilvl w:val="0"/>
          <w:numId w:val="12"/>
        </w:numPr>
        <w:jc w:val="both"/>
        <w:rPr>
          <w:rFonts w:ascii="Arial" w:hAnsi="Arial" w:cs="Arial"/>
          <w:sz w:val="20"/>
          <w:szCs w:val="20"/>
        </w:rPr>
      </w:pPr>
      <w:r>
        <w:rPr>
          <w:rFonts w:ascii="Arial" w:hAnsi="Arial" w:cs="Arial"/>
          <w:sz w:val="20"/>
          <w:szCs w:val="20"/>
          <w:lang w:val="en-GB"/>
        </w:rPr>
        <w:t>A</w:t>
      </w:r>
      <w:r w:rsidR="001E1868">
        <w:rPr>
          <w:rFonts w:ascii="Arial" w:hAnsi="Arial" w:cs="Arial"/>
          <w:sz w:val="20"/>
          <w:szCs w:val="20"/>
        </w:rPr>
        <w:t>ddition</w:t>
      </w:r>
      <w:r>
        <w:rPr>
          <w:rFonts w:ascii="Arial" w:hAnsi="Arial" w:cs="Arial"/>
          <w:sz w:val="20"/>
          <w:szCs w:val="20"/>
        </w:rPr>
        <w:t>al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ListParagraph"/>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ListParagraph"/>
        <w:numPr>
          <w:ilvl w:val="0"/>
          <w:numId w:val="12"/>
        </w:numPr>
        <w:jc w:val="both"/>
        <w:rPr>
          <w:rFonts w:ascii="Arial" w:hAnsi="Arial" w:cs="Arial"/>
          <w:sz w:val="20"/>
          <w:szCs w:val="20"/>
        </w:rPr>
      </w:pPr>
      <w:r w:rsidRPr="00D75A2D">
        <w:rPr>
          <w:rFonts w:ascii="Arial" w:hAnsi="Arial" w:cs="Arial"/>
          <w:sz w:val="20"/>
          <w:szCs w:val="20"/>
        </w:rPr>
        <w:t>Additional solutions (e.g.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No need to argue that initial blind msg3 retx this is currently not part of the WID.</w:t>
      </w:r>
      <w:r w:rsidRPr="0061745B">
        <w:rPr>
          <w:rFonts w:cs="Arial"/>
          <w:i/>
          <w:iCs/>
          <w:u w:val="single"/>
        </w:rPr>
        <w:t xml:space="preserve"> This is understood. But at the same time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675CAE" w14:paraId="43234B5C" w14:textId="77777777" w:rsidTr="000B2209">
        <w:tc>
          <w:tcPr>
            <w:tcW w:w="1496" w:type="dxa"/>
          </w:tcPr>
          <w:p w14:paraId="284E37CA" w14:textId="47D05D71" w:rsidR="00675CAE" w:rsidRDefault="00675CAE" w:rsidP="000B2209">
            <w:pPr>
              <w:rPr>
                <w:rFonts w:eastAsiaTheme="minorEastAsia"/>
              </w:rPr>
            </w:pPr>
            <w:r>
              <w:rPr>
                <w:rFonts w:eastAsiaTheme="minorEastAsia" w:hint="eastAsia"/>
              </w:rPr>
              <w:t>CATT</w:t>
            </w:r>
          </w:p>
        </w:tc>
        <w:tc>
          <w:tcPr>
            <w:tcW w:w="1739" w:type="dxa"/>
          </w:tcPr>
          <w:p w14:paraId="5BBEF774" w14:textId="1F9D9FC1" w:rsidR="00675CAE" w:rsidRDefault="00675CAE" w:rsidP="000B2209">
            <w:pPr>
              <w:rPr>
                <w:rFonts w:eastAsiaTheme="minorEastAsia"/>
              </w:rPr>
            </w:pPr>
            <w:r>
              <w:rPr>
                <w:rFonts w:eastAsiaTheme="minorEastAsia" w:hint="eastAsia"/>
              </w:rPr>
              <w:t>No</w:t>
            </w:r>
          </w:p>
        </w:tc>
        <w:tc>
          <w:tcPr>
            <w:tcW w:w="6480" w:type="dxa"/>
          </w:tcPr>
          <w:p w14:paraId="7D067192" w14:textId="504F9FA4" w:rsidR="00675CAE" w:rsidRDefault="00675CAE" w:rsidP="00FB11EC">
            <w:pPr>
              <w:rPr>
                <w:rFonts w:eastAsiaTheme="minorEastAsia"/>
                <w:lang w:val="en-US"/>
              </w:rPr>
            </w:pPr>
            <w:r>
              <w:rPr>
                <w:rFonts w:hint="eastAsia"/>
                <w:lang w:val="en-US"/>
              </w:rPr>
              <w:t>Actually, we have the concern on whether this brings benefits comparing with Rel-17 Msg3 repetition.</w:t>
            </w:r>
          </w:p>
          <w:p w14:paraId="7B3FF2A9" w14:textId="77777777" w:rsidR="00675CAE" w:rsidRPr="00826D63" w:rsidRDefault="00675CAE" w:rsidP="00FB11EC">
            <w:pPr>
              <w:rPr>
                <w:rFonts w:eastAsiaTheme="minorEastAsia"/>
                <w:lang w:val="en-US"/>
              </w:rPr>
            </w:pPr>
            <w:r>
              <w:rPr>
                <w:rFonts w:hint="eastAsia"/>
                <w:lang w:val="en-US"/>
              </w:rPr>
              <w:t xml:space="preserve">Firstly, in order to indicate that the UE supports/requests initial blind msg3 retx, </w:t>
            </w:r>
            <w:r>
              <w:rPr>
                <w:lang w:val="en-US"/>
              </w:rPr>
              <w:t>the</w:t>
            </w:r>
            <w:r>
              <w:rPr>
                <w:rFonts w:hint="eastAsia"/>
                <w:lang w:val="en-US"/>
              </w:rPr>
              <w:t xml:space="preserve"> separate PRACH resources have to be configured. This definitely brings PRACH segmentation.</w:t>
            </w:r>
          </w:p>
          <w:p w14:paraId="5F4D2A90" w14:textId="77777777" w:rsidR="00675CAE" w:rsidRDefault="00675CAE" w:rsidP="00FB11EC">
            <w:pPr>
              <w:rPr>
                <w:lang w:val="en-US"/>
              </w:rPr>
            </w:pPr>
            <w:r>
              <w:rPr>
                <w:rFonts w:eastAsiaTheme="minorEastAsia" w:hint="eastAsia"/>
                <w:lang w:val="en-US"/>
              </w:rPr>
              <w:t>Then, the network schedules msg3 in RAR and potential blind msg3 retx in the subsequent PDCCH. Compared with Rel-17 Msg3 repetition, which indicates Msg3 repetiton number in RAR grant, the UE has to monitor the subsequent scheduling in PDCCH</w:t>
            </w:r>
            <w:r>
              <w:rPr>
                <w:rFonts w:hint="eastAsia"/>
                <w:lang w:val="en-US"/>
              </w:rPr>
              <w:t>, which brings extra signalling overhead in PDCCH and power consumption for the UE.</w:t>
            </w:r>
          </w:p>
          <w:p w14:paraId="2E66C92E" w14:textId="77777777" w:rsidR="00675CAE" w:rsidRDefault="00675CAE" w:rsidP="00FB11EC">
            <w:pPr>
              <w:rPr>
                <w:rFonts w:eastAsiaTheme="minorEastAsia"/>
                <w:lang w:val="en-US"/>
              </w:rPr>
            </w:pPr>
            <w:r>
              <w:rPr>
                <w:rFonts w:eastAsiaTheme="minorEastAsia" w:hint="eastAsia"/>
                <w:lang w:val="en-US"/>
              </w:rPr>
              <w:t>Thirdly, in order to perfrom PDCCH monitoring, some window mechanisms need to be introduced which anyway brings sepc impacts.</w:t>
            </w:r>
          </w:p>
          <w:p w14:paraId="48280A63" w14:textId="1C1DD1FB" w:rsidR="00675CAE" w:rsidRDefault="00675CAE" w:rsidP="00675CAE">
            <w:pPr>
              <w:rPr>
                <w:rFonts w:eastAsiaTheme="minorEastAsia"/>
                <w:highlight w:val="yellow"/>
              </w:rPr>
            </w:pPr>
            <w:r>
              <w:rPr>
                <w:rFonts w:eastAsiaTheme="minorEastAsia" w:hint="eastAsia"/>
                <w:lang w:val="en-US"/>
              </w:rPr>
              <w:t>In summary, we have not find benefits for initial blind Msg3 retx.</w:t>
            </w:r>
          </w:p>
        </w:tc>
      </w:tr>
      <w:tr w:rsidR="00BB4754" w14:paraId="5CCBA024" w14:textId="77777777" w:rsidTr="000B2209">
        <w:tc>
          <w:tcPr>
            <w:tcW w:w="1496" w:type="dxa"/>
          </w:tcPr>
          <w:p w14:paraId="3C0EE8A1" w14:textId="6149C293"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22FF4B05" w14:textId="65BA6FEB" w:rsidR="00BB4754" w:rsidRDefault="00BB4754" w:rsidP="00BB4754">
            <w:pPr>
              <w:rPr>
                <w:rFonts w:eastAsiaTheme="minorEastAsia"/>
              </w:rPr>
            </w:pPr>
            <w:r>
              <w:rPr>
                <w:rFonts w:eastAsiaTheme="minorEastAsia" w:hint="eastAsia"/>
              </w:rPr>
              <w:t>Y</w:t>
            </w:r>
            <w:r>
              <w:rPr>
                <w:rFonts w:eastAsiaTheme="minorEastAsia"/>
              </w:rPr>
              <w:t>es</w:t>
            </w:r>
          </w:p>
        </w:tc>
        <w:tc>
          <w:tcPr>
            <w:tcW w:w="6480" w:type="dxa"/>
          </w:tcPr>
          <w:p w14:paraId="36EDD330" w14:textId="3C648780" w:rsidR="00BB4754" w:rsidRDefault="00BB4754" w:rsidP="00BB475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sidRPr="00C634C8">
              <w:rPr>
                <w:lang w:val="en-US"/>
              </w:rPr>
              <w:t>blind</w:t>
            </w:r>
            <w:r>
              <w:rPr>
                <w:lang w:val="en-US"/>
              </w:rPr>
              <w:t xml:space="preserve"> scheduling for initial Msg3 transmission is the same as that to </w:t>
            </w:r>
            <w:r>
              <w:rPr>
                <w:iCs/>
              </w:rPr>
              <w:t xml:space="preserve">enable </w:t>
            </w:r>
            <w:r w:rsidRPr="00C634C8">
              <w:rPr>
                <w:lang w:val="en-US"/>
              </w:rPr>
              <w:t>blind</w:t>
            </w:r>
            <w:r>
              <w:rPr>
                <w:lang w:val="en-US"/>
              </w:rPr>
              <w:t xml:space="preserve"> scheduling for Msg3 retransmission, which should be supported in Rel-18 NR NTN.</w:t>
            </w:r>
          </w:p>
        </w:tc>
      </w:tr>
      <w:tr w:rsidR="005F426A" w14:paraId="27AFD45E" w14:textId="77777777" w:rsidTr="000B2209">
        <w:tc>
          <w:tcPr>
            <w:tcW w:w="1496" w:type="dxa"/>
          </w:tcPr>
          <w:p w14:paraId="0ACB7EC4" w14:textId="339D967C" w:rsidR="005F426A" w:rsidRDefault="005F426A" w:rsidP="005F426A">
            <w:pPr>
              <w:rPr>
                <w:rFonts w:eastAsia="Malgun Gothic"/>
                <w:lang w:eastAsia="ko-KR"/>
              </w:rPr>
            </w:pPr>
            <w:r>
              <w:rPr>
                <w:rFonts w:eastAsiaTheme="minorEastAsia" w:hint="eastAsia"/>
                <w:lang w:eastAsia="ko-KR"/>
              </w:rPr>
              <w:lastRenderedPageBreak/>
              <w:t>LG</w:t>
            </w:r>
          </w:p>
        </w:tc>
        <w:tc>
          <w:tcPr>
            <w:tcW w:w="1739" w:type="dxa"/>
          </w:tcPr>
          <w:p w14:paraId="3BCAD814" w14:textId="3FA2D4AF" w:rsidR="005F426A" w:rsidRDefault="005F426A" w:rsidP="005F426A">
            <w:pPr>
              <w:rPr>
                <w:rFonts w:eastAsia="Malgun Gothic"/>
                <w:lang w:eastAsia="ko-KR"/>
              </w:rPr>
            </w:pPr>
            <w:r>
              <w:rPr>
                <w:rFonts w:eastAsiaTheme="minorEastAsia" w:hint="eastAsia"/>
                <w:lang w:eastAsia="ko-KR"/>
              </w:rPr>
              <w:t>No</w:t>
            </w:r>
          </w:p>
        </w:tc>
        <w:tc>
          <w:tcPr>
            <w:tcW w:w="6480" w:type="dxa"/>
          </w:tcPr>
          <w:p w14:paraId="64C61BE8" w14:textId="77777777" w:rsidR="005F426A" w:rsidRDefault="005F426A" w:rsidP="005F426A">
            <w:pPr>
              <w:rPr>
                <w:rFonts w:eastAsiaTheme="minorEastAsia"/>
                <w:lang w:eastAsia="ko-KR"/>
              </w:rPr>
            </w:pPr>
            <w:r>
              <w:rPr>
                <w:rFonts w:eastAsiaTheme="minorEastAsia"/>
                <w:lang w:eastAsia="ko-KR"/>
              </w:rPr>
              <w:t xml:space="preserve">Agree with CATT. </w:t>
            </w:r>
          </w:p>
          <w:p w14:paraId="6FD05DEA" w14:textId="1F29876C" w:rsidR="005F426A" w:rsidRDefault="005F426A" w:rsidP="005F426A">
            <w:pPr>
              <w:rPr>
                <w:rFonts w:eastAsia="Malgun Gothic"/>
                <w:highlight w:val="yellow"/>
                <w:lang w:eastAsia="ko-KR"/>
              </w:rPr>
            </w:pPr>
            <w:r>
              <w:rPr>
                <w:rFonts w:eastAsiaTheme="minorEastAsia"/>
                <w:lang w:eastAsia="ko-KR"/>
              </w:rPr>
              <w:t>In addition, as explained in our paper, t</w:t>
            </w:r>
            <w:r w:rsidRPr="00E409A7">
              <w:rPr>
                <w:rFonts w:eastAsiaTheme="minorEastAsia" w:hint="eastAsia"/>
                <w:lang w:eastAsia="ko-KR"/>
              </w:rPr>
              <w:t xml:space="preserve">he UE </w:t>
            </w:r>
            <w:r>
              <w:rPr>
                <w:rFonts w:eastAsiaTheme="minorEastAsia"/>
                <w:lang w:eastAsia="ko-KR"/>
              </w:rPr>
              <w:t xml:space="preserve">supporting Rel-17 </w:t>
            </w:r>
            <w:r w:rsidRPr="00E409A7">
              <w:rPr>
                <w:rFonts w:eastAsiaTheme="minorEastAsia" w:hint="eastAsia"/>
                <w:lang w:eastAsia="ko-KR"/>
              </w:rPr>
              <w:t xml:space="preserve">may not stop the </w:t>
            </w:r>
            <w:r w:rsidRPr="00E409A7">
              <w:rPr>
                <w:rFonts w:eastAsiaTheme="minorEastAsia"/>
                <w:lang w:eastAsia="ko-KR"/>
              </w:rPr>
              <w:t xml:space="preserve">RAR window </w:t>
            </w:r>
            <w:r>
              <w:rPr>
                <w:rFonts w:eastAsiaTheme="minorEastAsia"/>
                <w:lang w:eastAsia="ko-KR"/>
              </w:rPr>
              <w:t xml:space="preserve">after reception of </w:t>
            </w:r>
            <w:r w:rsidRPr="00E409A7">
              <w:rPr>
                <w:rFonts w:eastAsiaTheme="minorEastAsia"/>
                <w:lang w:eastAsia="ko-KR"/>
              </w:rPr>
              <w:t>the RAR.</w:t>
            </w:r>
            <w:r>
              <w:rPr>
                <w:rFonts w:eastAsiaTheme="minorEastAsia"/>
                <w:lang w:eastAsia="ko-KR"/>
              </w:rPr>
              <w:t xml:space="preserve">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5F426A" w14:paraId="37BBE035" w14:textId="77777777" w:rsidTr="000B2209">
        <w:tc>
          <w:tcPr>
            <w:tcW w:w="1496" w:type="dxa"/>
          </w:tcPr>
          <w:p w14:paraId="1F72E574" w14:textId="6B0F54C8" w:rsidR="005F426A" w:rsidRDefault="00F95FCF" w:rsidP="005F426A">
            <w:pPr>
              <w:rPr>
                <w:rFonts w:eastAsiaTheme="minorEastAsia"/>
              </w:rPr>
            </w:pPr>
            <w:r>
              <w:rPr>
                <w:rFonts w:eastAsiaTheme="minorEastAsia" w:hint="eastAsia"/>
              </w:rPr>
              <w:t>v</w:t>
            </w:r>
            <w:r>
              <w:rPr>
                <w:rFonts w:eastAsiaTheme="minorEastAsia"/>
              </w:rPr>
              <w:t>ivo</w:t>
            </w:r>
          </w:p>
        </w:tc>
        <w:tc>
          <w:tcPr>
            <w:tcW w:w="1739" w:type="dxa"/>
          </w:tcPr>
          <w:p w14:paraId="15D95BAD" w14:textId="63739A99" w:rsidR="005F426A" w:rsidRDefault="00F95FCF" w:rsidP="005F426A">
            <w:pPr>
              <w:rPr>
                <w:rFonts w:eastAsiaTheme="minorEastAsia"/>
              </w:rPr>
            </w:pPr>
            <w:r>
              <w:rPr>
                <w:rFonts w:eastAsiaTheme="minorEastAsia" w:hint="eastAsia"/>
              </w:rPr>
              <w:t>N</w:t>
            </w:r>
            <w:r>
              <w:rPr>
                <w:rFonts w:eastAsiaTheme="minorEastAsia"/>
              </w:rPr>
              <w:t>o</w:t>
            </w:r>
          </w:p>
        </w:tc>
        <w:tc>
          <w:tcPr>
            <w:tcW w:w="6480" w:type="dxa"/>
          </w:tcPr>
          <w:p w14:paraId="4E9EA8BB" w14:textId="5DC844C8" w:rsidR="005F426A" w:rsidRDefault="00F95FCF" w:rsidP="005F426A">
            <w:pPr>
              <w:rPr>
                <w:rFonts w:eastAsiaTheme="minorEastAsia"/>
                <w:highlight w:val="yellow"/>
              </w:rPr>
            </w:pPr>
            <w:r w:rsidRPr="00F95FCF">
              <w:rPr>
                <w:rFonts w:eastAsiaTheme="minorEastAsia" w:hint="eastAsia"/>
                <w:lang w:eastAsia="ko-KR"/>
              </w:rPr>
              <w:t>I</w:t>
            </w:r>
            <w:r w:rsidRPr="00F95FCF">
              <w:rPr>
                <w:rFonts w:eastAsiaTheme="minorEastAsia"/>
                <w:lang w:eastAsia="ko-KR"/>
              </w:rPr>
              <w:t xml:space="preserve">n short, the unclear gain from this feature is not worth </w:t>
            </w:r>
            <w:r w:rsidR="009E6FA2">
              <w:rPr>
                <w:rFonts w:eastAsiaTheme="minorEastAsia"/>
                <w:lang w:eastAsia="ko-KR"/>
              </w:rPr>
              <w:t xml:space="preserve">exchanging </w:t>
            </w:r>
            <w:r w:rsidRPr="00F95FCF">
              <w:rPr>
                <w:rFonts w:eastAsiaTheme="minorEastAsia"/>
                <w:lang w:eastAsia="ko-KR"/>
              </w:rPr>
              <w:t>the complexity</w:t>
            </w:r>
            <w:r>
              <w:rPr>
                <w:rFonts w:eastAsiaTheme="minorEastAsia"/>
                <w:lang w:eastAsia="ko-KR"/>
              </w:rPr>
              <w:t xml:space="preserve"> (i.e. RACH partitioning)</w:t>
            </w:r>
            <w:r w:rsidRPr="00F95FCF">
              <w:rPr>
                <w:rFonts w:eastAsiaTheme="minorEastAsia"/>
                <w:lang w:eastAsia="ko-KR"/>
              </w:rPr>
              <w:t xml:space="preserve"> it brings to resolve the inter-operabilty/co-existence issue which is even acknowledged by the proponents. </w:t>
            </w:r>
            <w:r>
              <w:rPr>
                <w:rFonts w:eastAsiaTheme="minorEastAsia"/>
                <w:lang w:eastAsia="ko-KR"/>
              </w:rPr>
              <w:t xml:space="preserve">Also, previous RAN2 agreement just says “RAN2 will </w:t>
            </w:r>
            <w:r w:rsidRPr="00F95FCF">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rsidR="005F426A" w14:paraId="09483915" w14:textId="77777777" w:rsidTr="000B2209">
        <w:tc>
          <w:tcPr>
            <w:tcW w:w="1496" w:type="dxa"/>
          </w:tcPr>
          <w:p w14:paraId="3D9515AA" w14:textId="6B78010D" w:rsidR="005F426A" w:rsidRDefault="005A6C17" w:rsidP="005F426A">
            <w:pPr>
              <w:rPr>
                <w:rFonts w:eastAsiaTheme="minorEastAsia"/>
              </w:rPr>
            </w:pPr>
            <w:r w:rsidRPr="005A6C17">
              <w:rPr>
                <w:rFonts w:eastAsiaTheme="minorEastAsia"/>
              </w:rPr>
              <w:t>Huawei, HiSilicon</w:t>
            </w:r>
          </w:p>
        </w:tc>
        <w:tc>
          <w:tcPr>
            <w:tcW w:w="1739" w:type="dxa"/>
          </w:tcPr>
          <w:p w14:paraId="1B6CEE61" w14:textId="2E15300A" w:rsidR="005F426A" w:rsidRDefault="005A6C17" w:rsidP="005F426A">
            <w:pPr>
              <w:rPr>
                <w:rFonts w:eastAsiaTheme="minorEastAsia"/>
              </w:rPr>
            </w:pPr>
            <w:r>
              <w:rPr>
                <w:rFonts w:eastAsiaTheme="minorEastAsia"/>
              </w:rPr>
              <w:t>No</w:t>
            </w:r>
          </w:p>
        </w:tc>
        <w:tc>
          <w:tcPr>
            <w:tcW w:w="6480" w:type="dxa"/>
          </w:tcPr>
          <w:p w14:paraId="1F25FE70" w14:textId="77777777" w:rsidR="005F426A" w:rsidRDefault="005A6C17" w:rsidP="005F426A">
            <w:pPr>
              <w:rPr>
                <w:rFonts w:eastAsiaTheme="minorEastAsia"/>
              </w:rPr>
            </w:pPr>
            <w:r w:rsidRPr="005A6C17">
              <w:rPr>
                <w:rFonts w:eastAsiaTheme="minorEastAsia"/>
              </w:rPr>
              <w:t>Msg3 repetition was introduced in the R17 coverage enhancements WI.</w:t>
            </w:r>
            <w:r>
              <w:t xml:space="preserve"> </w:t>
            </w:r>
            <w:r>
              <w:rPr>
                <w:rFonts w:eastAsiaTheme="minorEastAsia"/>
              </w:rPr>
              <w:t>T</w:t>
            </w:r>
            <w:r w:rsidRPr="005A6C17">
              <w:rPr>
                <w:rFonts w:eastAsiaTheme="minorEastAsia"/>
              </w:rPr>
              <w:t>he network can already provide the UE with several transmission resources for Msg3 transmission in RAR if needed, which has a similar effect to the blind Msg3 retransmission.</w:t>
            </w:r>
          </w:p>
          <w:p w14:paraId="481D4A5D" w14:textId="77777777" w:rsidR="005A6C17" w:rsidRDefault="005A6C17" w:rsidP="005F426A">
            <w:pPr>
              <w:rPr>
                <w:rFonts w:eastAsiaTheme="minorEastAsia"/>
              </w:rPr>
            </w:pPr>
            <w:r>
              <w:rPr>
                <w:rFonts w:eastAsiaTheme="minorEastAsia"/>
              </w:rPr>
              <w:t>We don’t see the gain of the proposed solutions compared to what is already specified. At the same time there are several drawbacks:</w:t>
            </w:r>
          </w:p>
          <w:p w14:paraId="5765C14E" w14:textId="77777777" w:rsidR="005A6C17" w:rsidRDefault="005A6C17" w:rsidP="005A6C17">
            <w:pPr>
              <w:pStyle w:val="ListParagraph"/>
              <w:numPr>
                <w:ilvl w:val="0"/>
                <w:numId w:val="12"/>
              </w:numPr>
              <w:rPr>
                <w:rFonts w:eastAsiaTheme="minorEastAsia"/>
              </w:rPr>
            </w:pPr>
            <w:r w:rsidRPr="005A6C17">
              <w:rPr>
                <w:rFonts w:eastAsiaTheme="minorEastAsia"/>
              </w:rPr>
              <w:t>extra scheduling overhead since the retransmission resource needs to be indicated</w:t>
            </w:r>
          </w:p>
          <w:p w14:paraId="687110A0" w14:textId="77777777" w:rsidR="005A6C17" w:rsidRDefault="005A6C17" w:rsidP="005A6C17">
            <w:pPr>
              <w:pStyle w:val="ListParagraph"/>
              <w:numPr>
                <w:ilvl w:val="0"/>
                <w:numId w:val="12"/>
              </w:numPr>
              <w:rPr>
                <w:rFonts w:eastAsiaTheme="minorEastAsia"/>
              </w:rPr>
            </w:pPr>
            <w:r w:rsidRPr="005A6C17">
              <w:rPr>
                <w:rFonts w:eastAsiaTheme="minorEastAsia"/>
              </w:rPr>
              <w:t>higher UE power consumption on PDCCH monitoring</w:t>
            </w:r>
            <w:r>
              <w:rPr>
                <w:rFonts w:eastAsiaTheme="minorEastAsia"/>
              </w:rPr>
              <w:t xml:space="preserve"> if longer timers are involved</w:t>
            </w:r>
          </w:p>
          <w:p w14:paraId="495D75BB" w14:textId="77777777" w:rsidR="005A6C17" w:rsidRDefault="005A6C17" w:rsidP="005A6C17">
            <w:pPr>
              <w:pStyle w:val="ListParagraph"/>
              <w:numPr>
                <w:ilvl w:val="0"/>
                <w:numId w:val="12"/>
              </w:numPr>
              <w:rPr>
                <w:rFonts w:eastAsiaTheme="minorEastAsia"/>
              </w:rPr>
            </w:pPr>
            <w:r w:rsidRPr="005A6C17">
              <w:rPr>
                <w:rFonts w:eastAsiaTheme="minorEastAsia"/>
              </w:rPr>
              <w:t>additional mechanisms for the UE and the network to align on whether the enhanced operation is supported</w:t>
            </w:r>
            <w:r>
              <w:rPr>
                <w:rFonts w:eastAsiaTheme="minorEastAsia"/>
              </w:rPr>
              <w:t xml:space="preserve"> (e.g. RACH partitioning)</w:t>
            </w:r>
          </w:p>
          <w:p w14:paraId="3D01CDFD" w14:textId="17AB6E7F" w:rsidR="00927864" w:rsidRPr="005A6C17" w:rsidRDefault="00927864" w:rsidP="005A6C17">
            <w:pPr>
              <w:pStyle w:val="ListParagraph"/>
              <w:numPr>
                <w:ilvl w:val="0"/>
                <w:numId w:val="12"/>
              </w:numPr>
              <w:rPr>
                <w:rFonts w:eastAsiaTheme="minorEastAsia"/>
              </w:rPr>
            </w:pPr>
            <w:r>
              <w:rPr>
                <w:rFonts w:eastAsiaTheme="minorEastAsia"/>
              </w:rPr>
              <w:t>significant specification impacts</w:t>
            </w:r>
          </w:p>
        </w:tc>
      </w:tr>
      <w:tr w:rsidR="002F5F5B" w14:paraId="7F3A4876" w14:textId="77777777" w:rsidTr="00E41D59">
        <w:tc>
          <w:tcPr>
            <w:tcW w:w="1496" w:type="dxa"/>
          </w:tcPr>
          <w:p w14:paraId="2B43902C" w14:textId="77777777" w:rsidR="002F5F5B" w:rsidRDefault="002F5F5B" w:rsidP="00E41D59">
            <w:pPr>
              <w:rPr>
                <w:rFonts w:eastAsiaTheme="minorEastAsia"/>
              </w:rPr>
            </w:pPr>
            <w:r>
              <w:rPr>
                <w:rFonts w:eastAsiaTheme="minorEastAsia"/>
              </w:rPr>
              <w:t>Apple</w:t>
            </w:r>
          </w:p>
        </w:tc>
        <w:tc>
          <w:tcPr>
            <w:tcW w:w="1739" w:type="dxa"/>
          </w:tcPr>
          <w:p w14:paraId="59FEC040" w14:textId="77777777" w:rsidR="002F5F5B" w:rsidRDefault="002F5F5B" w:rsidP="00E41D59">
            <w:pPr>
              <w:rPr>
                <w:rFonts w:eastAsiaTheme="minorEastAsia"/>
              </w:rPr>
            </w:pPr>
            <w:r>
              <w:rPr>
                <w:rFonts w:eastAsiaTheme="minorEastAsia"/>
              </w:rPr>
              <w:t>No</w:t>
            </w:r>
          </w:p>
        </w:tc>
        <w:tc>
          <w:tcPr>
            <w:tcW w:w="6480" w:type="dxa"/>
          </w:tcPr>
          <w:p w14:paraId="1D22300B" w14:textId="77777777" w:rsidR="002F5F5B" w:rsidRDefault="002F5F5B" w:rsidP="00E41D59">
            <w:pPr>
              <w:rPr>
                <w:rFonts w:eastAsiaTheme="minorEastAsia"/>
              </w:rPr>
            </w:pPr>
            <w:r w:rsidRPr="00A93405">
              <w:rPr>
                <w:rFonts w:eastAsiaTheme="minorEastAsia"/>
              </w:rPr>
              <w:t>Agree</w:t>
            </w:r>
            <w:r>
              <w:rPr>
                <w:rFonts w:eastAsiaTheme="minorEastAsia"/>
              </w:rPr>
              <w:t xml:space="preserve"> with CATT. </w:t>
            </w:r>
          </w:p>
          <w:p w14:paraId="4399D2D7" w14:textId="77777777" w:rsidR="002F5F5B" w:rsidRPr="00A93405" w:rsidRDefault="002F5F5B" w:rsidP="00E41D59">
            <w:pPr>
              <w:rPr>
                <w:rFonts w:eastAsiaTheme="minorEastAsia"/>
              </w:rPr>
            </w:pPr>
            <w:r>
              <w:rPr>
                <w:rFonts w:eastAsiaTheme="minorEastAsia"/>
              </w:rPr>
              <w:t xml:space="preserve">The performance of blind Msg3 retransmission is same as R17  Msg3 repetition. Therefore, we do not see the need to introduce blind Msg3 retransmisson enhancement in R18. </w:t>
            </w:r>
          </w:p>
        </w:tc>
      </w:tr>
      <w:tr w:rsidR="005F426A" w14:paraId="77F5EE70" w14:textId="77777777" w:rsidTr="000B2209">
        <w:tc>
          <w:tcPr>
            <w:tcW w:w="1496" w:type="dxa"/>
          </w:tcPr>
          <w:p w14:paraId="32C289C3" w14:textId="77777777" w:rsidR="005F426A" w:rsidRDefault="005F426A" w:rsidP="005F426A">
            <w:pPr>
              <w:rPr>
                <w:lang w:eastAsia="sv-SE"/>
              </w:rPr>
            </w:pPr>
          </w:p>
        </w:tc>
        <w:tc>
          <w:tcPr>
            <w:tcW w:w="1739" w:type="dxa"/>
          </w:tcPr>
          <w:p w14:paraId="6C2BBAFB" w14:textId="77777777" w:rsidR="005F426A" w:rsidRDefault="005F426A" w:rsidP="005F426A">
            <w:pPr>
              <w:rPr>
                <w:lang w:eastAsia="sv-SE"/>
              </w:rPr>
            </w:pPr>
          </w:p>
        </w:tc>
        <w:tc>
          <w:tcPr>
            <w:tcW w:w="6480" w:type="dxa"/>
          </w:tcPr>
          <w:p w14:paraId="64B1116A" w14:textId="77777777" w:rsidR="005F426A" w:rsidRDefault="005F426A" w:rsidP="005F426A">
            <w:pPr>
              <w:rPr>
                <w:rFonts w:eastAsiaTheme="minorEastAsia"/>
              </w:rPr>
            </w:pPr>
          </w:p>
        </w:tc>
      </w:tr>
      <w:tr w:rsidR="005F426A" w14:paraId="4FE0A83B" w14:textId="77777777" w:rsidTr="000B2209">
        <w:tc>
          <w:tcPr>
            <w:tcW w:w="1496" w:type="dxa"/>
          </w:tcPr>
          <w:p w14:paraId="30C94436" w14:textId="77777777" w:rsidR="005F426A" w:rsidRDefault="005F426A" w:rsidP="005F426A">
            <w:pPr>
              <w:rPr>
                <w:rFonts w:eastAsiaTheme="minorEastAsia"/>
              </w:rPr>
            </w:pPr>
          </w:p>
        </w:tc>
        <w:tc>
          <w:tcPr>
            <w:tcW w:w="1739" w:type="dxa"/>
          </w:tcPr>
          <w:p w14:paraId="344A9978" w14:textId="77777777" w:rsidR="005F426A" w:rsidRDefault="005F426A" w:rsidP="005F426A">
            <w:pPr>
              <w:rPr>
                <w:rFonts w:eastAsiaTheme="minorEastAsia"/>
              </w:rPr>
            </w:pPr>
          </w:p>
        </w:tc>
        <w:tc>
          <w:tcPr>
            <w:tcW w:w="6480" w:type="dxa"/>
          </w:tcPr>
          <w:p w14:paraId="2CEE5FDF" w14:textId="77777777" w:rsidR="005F426A" w:rsidRDefault="005F426A" w:rsidP="005F426A">
            <w:pPr>
              <w:rPr>
                <w:rFonts w:eastAsiaTheme="minorEastAsia"/>
                <w:highlight w:val="yellow"/>
              </w:rPr>
            </w:pPr>
          </w:p>
        </w:tc>
      </w:tr>
      <w:tr w:rsidR="005F426A" w14:paraId="326007D4" w14:textId="77777777" w:rsidTr="000B2209">
        <w:tc>
          <w:tcPr>
            <w:tcW w:w="1496" w:type="dxa"/>
          </w:tcPr>
          <w:p w14:paraId="78A2BE71" w14:textId="77777777" w:rsidR="005F426A" w:rsidRDefault="005F426A" w:rsidP="005F426A">
            <w:pPr>
              <w:rPr>
                <w:rFonts w:eastAsiaTheme="minorEastAsia"/>
                <w:lang w:eastAsia="sv-SE"/>
              </w:rPr>
            </w:pPr>
          </w:p>
        </w:tc>
        <w:tc>
          <w:tcPr>
            <w:tcW w:w="1739" w:type="dxa"/>
          </w:tcPr>
          <w:p w14:paraId="1670DB2E" w14:textId="77777777" w:rsidR="005F426A" w:rsidRDefault="005F426A" w:rsidP="005F426A">
            <w:pPr>
              <w:rPr>
                <w:rFonts w:eastAsiaTheme="minorEastAsia"/>
                <w:lang w:val="en-US"/>
              </w:rPr>
            </w:pPr>
          </w:p>
        </w:tc>
        <w:tc>
          <w:tcPr>
            <w:tcW w:w="6480" w:type="dxa"/>
          </w:tcPr>
          <w:p w14:paraId="02953D5F" w14:textId="77777777" w:rsidR="005F426A" w:rsidRDefault="005F426A" w:rsidP="005F426A">
            <w:pPr>
              <w:rPr>
                <w:rFonts w:eastAsiaTheme="minorEastAsia"/>
                <w:lang w:val="en-US"/>
              </w:rPr>
            </w:pPr>
          </w:p>
        </w:tc>
      </w:tr>
      <w:tr w:rsidR="005F426A" w14:paraId="1186D52F" w14:textId="77777777" w:rsidTr="000B2209">
        <w:tc>
          <w:tcPr>
            <w:tcW w:w="1496" w:type="dxa"/>
          </w:tcPr>
          <w:p w14:paraId="29193134" w14:textId="77777777" w:rsidR="005F426A" w:rsidRDefault="005F426A" w:rsidP="005F426A">
            <w:pPr>
              <w:rPr>
                <w:lang w:eastAsia="sv-SE"/>
              </w:rPr>
            </w:pPr>
          </w:p>
        </w:tc>
        <w:tc>
          <w:tcPr>
            <w:tcW w:w="1739" w:type="dxa"/>
          </w:tcPr>
          <w:p w14:paraId="4681528F" w14:textId="77777777" w:rsidR="005F426A" w:rsidRDefault="005F426A" w:rsidP="005F426A">
            <w:pPr>
              <w:rPr>
                <w:lang w:eastAsia="sv-SE"/>
              </w:rPr>
            </w:pPr>
          </w:p>
        </w:tc>
        <w:tc>
          <w:tcPr>
            <w:tcW w:w="6480" w:type="dxa"/>
          </w:tcPr>
          <w:p w14:paraId="6A491A67" w14:textId="77777777" w:rsidR="005F426A" w:rsidRDefault="005F426A" w:rsidP="005F426A">
            <w:pPr>
              <w:rPr>
                <w:lang w:eastAsia="sv-SE"/>
              </w:rPr>
            </w:pPr>
          </w:p>
        </w:tc>
      </w:tr>
      <w:tr w:rsidR="005F426A" w14:paraId="592B4100" w14:textId="77777777" w:rsidTr="000B2209">
        <w:tc>
          <w:tcPr>
            <w:tcW w:w="1496" w:type="dxa"/>
          </w:tcPr>
          <w:p w14:paraId="3267609C" w14:textId="77777777" w:rsidR="005F426A" w:rsidRDefault="005F426A" w:rsidP="005F426A">
            <w:pPr>
              <w:rPr>
                <w:lang w:eastAsia="sv-SE"/>
              </w:rPr>
            </w:pPr>
          </w:p>
        </w:tc>
        <w:tc>
          <w:tcPr>
            <w:tcW w:w="1739" w:type="dxa"/>
          </w:tcPr>
          <w:p w14:paraId="42F209E1" w14:textId="77777777" w:rsidR="005F426A" w:rsidRDefault="005F426A" w:rsidP="005F426A">
            <w:pPr>
              <w:rPr>
                <w:lang w:eastAsia="sv-SE"/>
              </w:rPr>
            </w:pPr>
          </w:p>
        </w:tc>
        <w:tc>
          <w:tcPr>
            <w:tcW w:w="6480" w:type="dxa"/>
          </w:tcPr>
          <w:p w14:paraId="5A71C1F9" w14:textId="77777777" w:rsidR="005F426A" w:rsidRDefault="005F426A" w:rsidP="005F426A">
            <w:pPr>
              <w:rPr>
                <w:lang w:eastAsia="sv-SE"/>
              </w:rPr>
            </w:pPr>
          </w:p>
        </w:tc>
      </w:tr>
      <w:tr w:rsidR="005F426A" w14:paraId="76F0E85F" w14:textId="77777777" w:rsidTr="000B2209">
        <w:tc>
          <w:tcPr>
            <w:tcW w:w="1496" w:type="dxa"/>
          </w:tcPr>
          <w:p w14:paraId="644BF93B" w14:textId="77777777" w:rsidR="005F426A" w:rsidRDefault="005F426A" w:rsidP="005F426A">
            <w:pPr>
              <w:rPr>
                <w:lang w:eastAsia="sv-SE"/>
              </w:rPr>
            </w:pPr>
          </w:p>
        </w:tc>
        <w:tc>
          <w:tcPr>
            <w:tcW w:w="1739" w:type="dxa"/>
          </w:tcPr>
          <w:p w14:paraId="51A5339C" w14:textId="77777777" w:rsidR="005F426A" w:rsidRDefault="005F426A" w:rsidP="005F426A">
            <w:pPr>
              <w:rPr>
                <w:lang w:eastAsia="sv-SE"/>
              </w:rPr>
            </w:pPr>
          </w:p>
        </w:tc>
        <w:tc>
          <w:tcPr>
            <w:tcW w:w="6480" w:type="dxa"/>
          </w:tcPr>
          <w:p w14:paraId="49B9C615" w14:textId="77777777" w:rsidR="005F426A" w:rsidRDefault="005F426A" w:rsidP="005F426A">
            <w:pPr>
              <w:rPr>
                <w:lang w:eastAsia="sv-SE"/>
              </w:rPr>
            </w:pPr>
          </w:p>
        </w:tc>
      </w:tr>
    </w:tbl>
    <w:p w14:paraId="5E7CD9C6" w14:textId="77777777" w:rsidR="00AD7B60" w:rsidRDefault="00AD7B60" w:rsidP="005843DF"/>
    <w:p w14:paraId="6EECD90C" w14:textId="210D08B1" w:rsidR="00942EC9" w:rsidRDefault="00942EC9" w:rsidP="00942EC9">
      <w:pPr>
        <w:pStyle w:val="Heading2"/>
      </w:pPr>
      <w:r>
        <w:t xml:space="preserve">Method to support </w:t>
      </w:r>
      <w:r w:rsidR="004F25E2">
        <w:t>additional monitoring</w:t>
      </w:r>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lastRenderedPageBreak/>
        <w:t>Pros:</w:t>
      </w:r>
    </w:p>
    <w:p w14:paraId="795FC48B" w14:textId="76749784" w:rsidR="0049786A" w:rsidRDefault="0049786A" w:rsidP="00B913B5">
      <w:pPr>
        <w:pStyle w:val="ListParagraph"/>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ListParagraph"/>
        <w:numPr>
          <w:ilvl w:val="0"/>
          <w:numId w:val="9"/>
        </w:numPr>
        <w:jc w:val="both"/>
        <w:rPr>
          <w:rFonts w:ascii="Arial" w:hAnsi="Arial" w:cs="Arial"/>
          <w:sz w:val="18"/>
          <w:szCs w:val="18"/>
        </w:rPr>
      </w:pPr>
      <w:r w:rsidRPr="0049786A">
        <w:rPr>
          <w:rFonts w:ascii="Arial" w:hAnsi="Arial" w:cs="Arial"/>
          <w:sz w:val="20"/>
          <w:szCs w:val="20"/>
        </w:rPr>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ListParagraph"/>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Start ra-ContentionResolutionTimer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ListParagraph"/>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ListParagraph"/>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ListParagraph"/>
        <w:numPr>
          <w:ilvl w:val="0"/>
          <w:numId w:val="10"/>
        </w:numPr>
        <w:jc w:val="both"/>
        <w:rPr>
          <w:rFonts w:ascii="Arial" w:hAnsi="Arial" w:cs="Arial"/>
          <w:sz w:val="20"/>
          <w:szCs w:val="20"/>
        </w:rPr>
      </w:pPr>
      <w:r w:rsidRPr="001F30C0">
        <w:rPr>
          <w:rFonts w:ascii="Arial" w:hAnsi="Arial" w:cs="Arial"/>
          <w:sz w:val="20"/>
          <w:szCs w:val="20"/>
        </w:rPr>
        <w:t xml:space="preserve">If timer duration is less than UE-gNB RTT, starting ra-ContentionResolutionTimer immediately after initial Msg3 transmission will cause premature Contention Resolution failure if a blind Msg3 retransmission grant is not received </w:t>
      </w:r>
      <w:r>
        <w:rPr>
          <w:rFonts w:ascii="Arial" w:hAnsi="Arial" w:cs="Arial"/>
          <w:sz w:val="20"/>
          <w:szCs w:val="20"/>
        </w:rPr>
        <w:t xml:space="preserve"> </w:t>
      </w:r>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ra-ResponseWindow</w:t>
      </w:r>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ListParagraph"/>
        <w:numPr>
          <w:ilvl w:val="0"/>
          <w:numId w:val="11"/>
        </w:numPr>
        <w:jc w:val="both"/>
        <w:rPr>
          <w:rFonts w:ascii="Arial" w:hAnsi="Arial" w:cs="Arial"/>
          <w:sz w:val="20"/>
          <w:szCs w:val="20"/>
        </w:rPr>
      </w:pPr>
      <w:r>
        <w:rPr>
          <w:rFonts w:ascii="Arial" w:hAnsi="Arial" w:cs="Arial"/>
          <w:sz w:val="20"/>
          <w:szCs w:val="20"/>
        </w:rPr>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r w:rsidR="00731A3F" w:rsidRPr="00C945AE">
        <w:rPr>
          <w:rFonts w:ascii="Arial" w:hAnsi="Arial" w:cs="Arial"/>
          <w:i/>
          <w:iCs/>
          <w:sz w:val="20"/>
          <w:szCs w:val="20"/>
        </w:rPr>
        <w:t>ra-RespondWindow</w:t>
      </w:r>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t>Cons:</w:t>
      </w:r>
    </w:p>
    <w:p w14:paraId="3879A509" w14:textId="341048C6" w:rsidR="00562D5A" w:rsidRDefault="00562D5A" w:rsidP="00B913B5">
      <w:pPr>
        <w:pStyle w:val="ListParagraph"/>
        <w:numPr>
          <w:ilvl w:val="0"/>
          <w:numId w:val="10"/>
        </w:numPr>
        <w:jc w:val="both"/>
        <w:rPr>
          <w:rFonts w:ascii="Arial" w:hAnsi="Arial" w:cs="Arial"/>
          <w:sz w:val="20"/>
          <w:szCs w:val="20"/>
        </w:rPr>
      </w:pPr>
      <w:r w:rsidRPr="00562D5A">
        <w:rPr>
          <w:rFonts w:ascii="Arial" w:hAnsi="Arial" w:cs="Arial"/>
          <w:sz w:val="20"/>
          <w:szCs w:val="20"/>
        </w:rPr>
        <w:t>Due to large differential delay in NTN, continuing ra-ResponseWindow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Introduce a new monitoring window</w:t>
      </w:r>
      <w:r w:rsidR="00293647" w:rsidRPr="00D152FB">
        <w:rPr>
          <w:rFonts w:ascii="Arial" w:hAnsi="Arial" w:cs="Arial"/>
          <w:b/>
          <w:bCs/>
          <w:sz w:val="20"/>
          <w:szCs w:val="20"/>
        </w:rPr>
        <w:t>;</w:t>
      </w:r>
    </w:p>
    <w:p w14:paraId="500D532C" w14:textId="63E48DB6" w:rsidR="00BF5BC6" w:rsidRPr="00D152FB" w:rsidRDefault="001C1C12"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2: UE starts </w:t>
      </w:r>
      <w:r w:rsidRPr="002D74BB">
        <w:rPr>
          <w:rFonts w:ascii="Arial" w:hAnsi="Arial" w:cs="Arial"/>
          <w:b/>
          <w:bCs/>
          <w:i/>
          <w:iCs/>
          <w:sz w:val="20"/>
          <w:szCs w:val="20"/>
        </w:rPr>
        <w:t>ra-ContentionResolutionTimer</w:t>
      </w:r>
      <w:r w:rsidRPr="00D152FB">
        <w:rPr>
          <w:rFonts w:ascii="Arial" w:hAnsi="Arial" w:cs="Arial"/>
          <w:b/>
          <w:bCs/>
          <w:sz w:val="20"/>
          <w:szCs w:val="20"/>
        </w:rPr>
        <w:t xml:space="preserve"> immediately after the end of initial Msg3 transmission</w:t>
      </w:r>
      <w:r w:rsidR="00293647" w:rsidRPr="00D152FB">
        <w:rPr>
          <w:rFonts w:ascii="Arial" w:hAnsi="Arial" w:cs="Arial"/>
          <w:b/>
          <w:bCs/>
          <w:sz w:val="20"/>
          <w:szCs w:val="20"/>
        </w:rPr>
        <w:t>;</w:t>
      </w:r>
    </w:p>
    <w:p w14:paraId="652E969B" w14:textId="0971248E"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r w:rsidR="00D152FB" w:rsidRPr="002D74BB">
        <w:rPr>
          <w:rFonts w:ascii="Arial" w:hAnsi="Arial" w:cs="Arial"/>
          <w:b/>
          <w:bCs/>
          <w:i/>
          <w:iCs/>
          <w:sz w:val="20"/>
          <w:szCs w:val="20"/>
        </w:rPr>
        <w:t>ra-ResponseWindow</w:t>
      </w:r>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BB4754" w14:paraId="13433663" w14:textId="77777777" w:rsidTr="007B3F7C">
        <w:tc>
          <w:tcPr>
            <w:tcW w:w="1496" w:type="dxa"/>
          </w:tcPr>
          <w:p w14:paraId="24290B10" w14:textId="26DFB402"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559A3C54" w14:textId="6F096E3D" w:rsidR="00BB4754" w:rsidRDefault="00BB4754" w:rsidP="00BB4754">
            <w:pPr>
              <w:rPr>
                <w:rFonts w:eastAsiaTheme="minorEastAsia"/>
              </w:rPr>
            </w:pPr>
            <w:r>
              <w:rPr>
                <w:rFonts w:eastAsiaTheme="minorEastAsia" w:hint="eastAsia"/>
              </w:rPr>
              <w:t>O</w:t>
            </w:r>
            <w:r>
              <w:rPr>
                <w:rFonts w:eastAsiaTheme="minorEastAsia"/>
              </w:rPr>
              <w:t>ption 2</w:t>
            </w:r>
          </w:p>
        </w:tc>
        <w:tc>
          <w:tcPr>
            <w:tcW w:w="6480" w:type="dxa"/>
          </w:tcPr>
          <w:p w14:paraId="1909425A" w14:textId="57D71F3B" w:rsidR="00BB4754" w:rsidRDefault="00BB4754" w:rsidP="00BB4754">
            <w:pPr>
              <w:rPr>
                <w:rFonts w:eastAsiaTheme="minorEastAsia"/>
                <w:highlight w:val="yellow"/>
              </w:rPr>
            </w:pPr>
            <w:r w:rsidRPr="008A0BDD">
              <w:rPr>
                <w:rFonts w:eastAsiaTheme="minorEastAsia"/>
              </w:rPr>
              <w:t xml:space="preserve">We prefer to follow legacy </w:t>
            </w:r>
            <w:r>
              <w:rPr>
                <w:rFonts w:eastAsiaTheme="minorEastAsia"/>
              </w:rPr>
              <w:t xml:space="preserve">to </w:t>
            </w:r>
            <w:r w:rsidRPr="008A0BDD">
              <w:rPr>
                <w:rFonts w:eastAsiaTheme="minorEastAsia"/>
              </w:rPr>
              <w:t>use ra-ContentionResolutionTimer for monitoring</w:t>
            </w:r>
            <w:r>
              <w:rPr>
                <w:rFonts w:eastAsiaTheme="minorEastAsia"/>
              </w:rPr>
              <w:t xml:space="preserve"> the</w:t>
            </w:r>
            <w:r w:rsidRPr="008A0BDD">
              <w:rPr>
                <w:rFonts w:eastAsiaTheme="minorEastAsia"/>
              </w:rPr>
              <w:t xml:space="preserve"> MSG3</w:t>
            </w:r>
            <w:r>
              <w:rPr>
                <w:rFonts w:eastAsiaTheme="minorEastAsia"/>
              </w:rPr>
              <w:t>’s</w:t>
            </w:r>
            <w:r w:rsidRPr="008A0BDD">
              <w:rPr>
                <w:rFonts w:eastAsiaTheme="minorEastAsia"/>
              </w:rPr>
              <w:t xml:space="preserve"> retransmission grant</w:t>
            </w:r>
            <w:r>
              <w:rPr>
                <w:rFonts w:eastAsiaTheme="minorEastAsia"/>
              </w:rPr>
              <w:t>.</w:t>
            </w: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0"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0"/>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SimSun"/>
                <w:lang w:val="en-US"/>
              </w:rPr>
            </w:pPr>
          </w:p>
        </w:tc>
        <w:tc>
          <w:tcPr>
            <w:tcW w:w="1739" w:type="dxa"/>
          </w:tcPr>
          <w:p w14:paraId="75A7958D" w14:textId="1A79DC13" w:rsidR="001B027D" w:rsidRDefault="001B027D" w:rsidP="007B3F7C">
            <w:pPr>
              <w:rPr>
                <w:rFonts w:eastAsia="SimSun"/>
                <w:lang w:val="en-US"/>
              </w:rPr>
            </w:pPr>
          </w:p>
        </w:tc>
        <w:tc>
          <w:tcPr>
            <w:tcW w:w="6480" w:type="dxa"/>
          </w:tcPr>
          <w:p w14:paraId="3921486C" w14:textId="6F7FF228" w:rsidR="001B027D" w:rsidRDefault="001B027D" w:rsidP="007B3F7C">
            <w:pPr>
              <w:rPr>
                <w:rFonts w:eastAsia="SimSun"/>
                <w:lang w:val="en-US"/>
              </w:rPr>
            </w:pPr>
          </w:p>
        </w:tc>
      </w:tr>
    </w:tbl>
    <w:p w14:paraId="0959821E" w14:textId="4886A756" w:rsidR="00922529" w:rsidRDefault="00922529" w:rsidP="00922529"/>
    <w:p w14:paraId="35EA2291" w14:textId="75AE9DC9" w:rsidR="00922529" w:rsidRDefault="004B1311" w:rsidP="00922529">
      <w:pPr>
        <w:pStyle w:val="Heading2"/>
      </w:pPr>
      <w:r>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ListParagraph"/>
        <w:numPr>
          <w:ilvl w:val="0"/>
          <w:numId w:val="10"/>
        </w:numPr>
        <w:rPr>
          <w:rFonts w:ascii="Arial" w:hAnsi="Arial" w:cs="Arial"/>
          <w:sz w:val="20"/>
          <w:szCs w:val="20"/>
        </w:rPr>
      </w:pPr>
      <w:r w:rsidRPr="008A3F4B">
        <w:rPr>
          <w:rFonts w:ascii="Arial" w:eastAsia="Batang" w:hAnsi="Arial" w:cs="Arial"/>
          <w:sz w:val="20"/>
          <w:szCs w:val="20"/>
          <w:u w:val="single"/>
        </w:rPr>
        <w:t>Proponents</w:t>
      </w:r>
      <w:r>
        <w:rPr>
          <w:rFonts w:ascii="Arial" w:eastAsia="Batang" w:hAnsi="Arial" w:cs="Arial"/>
          <w:sz w:val="20"/>
          <w:szCs w:val="20"/>
        </w:rPr>
        <w:t xml:space="preserve"> </w:t>
      </w:r>
      <w:r w:rsidRPr="00CB5C21">
        <w:rPr>
          <w:rFonts w:ascii="Arial" w:eastAsia="Batang" w:hAnsi="Arial" w:cs="Arial"/>
          <w:sz w:val="20"/>
          <w:szCs w:val="20"/>
        </w:rPr>
        <w:t>note that</w:t>
      </w:r>
      <w:r w:rsidRPr="00CB5C21">
        <w:rPr>
          <w:rFonts w:ascii="Arial" w:hAnsi="Arial" w:cs="Arial"/>
          <w:sz w:val="20"/>
          <w:szCs w:val="20"/>
        </w:rPr>
        <w:t xml:space="preserve"> a similar solution to MSG3 repetition can be adopted. Considering the IE </w:t>
      </w:r>
      <w:r w:rsidRPr="008A3F4B">
        <w:rPr>
          <w:rFonts w:ascii="Arial" w:hAnsi="Arial" w:cs="Arial"/>
          <w:i/>
          <w:iCs/>
          <w:sz w:val="20"/>
          <w:szCs w:val="20"/>
        </w:rPr>
        <w:t>FeatureCombination</w:t>
      </w:r>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ListParagraph"/>
        <w:numPr>
          <w:ilvl w:val="0"/>
          <w:numId w:val="10"/>
        </w:numPr>
        <w:rPr>
          <w:rFonts w:ascii="Arial" w:eastAsia="Batang" w:hAnsi="Arial" w:cs="Arial"/>
          <w:sz w:val="20"/>
          <w:szCs w:val="20"/>
        </w:rPr>
      </w:pPr>
      <w:r w:rsidRPr="008A3F4B">
        <w:rPr>
          <w:rFonts w:ascii="Arial" w:hAnsi="Arial" w:cs="Arial"/>
          <w:sz w:val="20"/>
          <w:szCs w:val="20"/>
          <w:u w:val="single"/>
        </w:rPr>
        <w:t xml:space="preserve">Opponents </w:t>
      </w:r>
      <w:r>
        <w:rPr>
          <w:rFonts w:ascii="Arial" w:hAnsi="Arial" w:cs="Arial"/>
          <w:sz w:val="20"/>
          <w:szCs w:val="20"/>
        </w:rPr>
        <w:t xml:space="preserve">note that </w:t>
      </w:r>
      <w:r w:rsidRPr="00CB5C21">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Batang" w:hAnsi="Arial" w:cs="Arial"/>
          <w:sz w:val="20"/>
          <w:szCs w:val="20"/>
        </w:rPr>
        <w:t xml:space="preserve"> [3]</w:t>
      </w:r>
    </w:p>
    <w:p w14:paraId="5AC834D9" w14:textId="1EDB6ECE" w:rsidR="001A0BE6" w:rsidRDefault="00CB5C21" w:rsidP="00922529">
      <w:r>
        <w:t xml:space="preserve">Companies </w:t>
      </w:r>
      <w:r w:rsidR="002E0519">
        <w:t>are invited to comment on whether to support separate RACH resources for requesting blind retransmission for initial MSG3 transmission in NTN (i.e., similar to MSG3 repetition).</w:t>
      </w:r>
    </w:p>
    <w:p w14:paraId="5FD8D0CA" w14:textId="04303594" w:rsidR="00922529" w:rsidRPr="007432A8" w:rsidRDefault="00922529" w:rsidP="007432A8">
      <w:pPr>
        <w:ind w:left="1440" w:hanging="1440"/>
        <w:rPr>
          <w:b/>
          <w:bCs/>
        </w:rPr>
      </w:pPr>
      <w:r>
        <w:rPr>
          <w:b/>
          <w:bCs/>
        </w:rPr>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o you agree to introduce sepate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TableGrid"/>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BB4754" w14:paraId="61C10417" w14:textId="77777777" w:rsidTr="00AA1F96">
        <w:tc>
          <w:tcPr>
            <w:tcW w:w="1496" w:type="dxa"/>
          </w:tcPr>
          <w:p w14:paraId="44E3858C" w14:textId="51E345FB"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7872AB7" w14:textId="170091D7" w:rsidR="00BB4754" w:rsidRDefault="00BB4754" w:rsidP="00BB4754">
            <w:pPr>
              <w:rPr>
                <w:rFonts w:eastAsiaTheme="minorEastAsia"/>
              </w:rPr>
            </w:pPr>
            <w:r>
              <w:rPr>
                <w:rFonts w:eastAsiaTheme="minorEastAsia" w:hint="eastAsia"/>
              </w:rPr>
              <w:t>A</w:t>
            </w:r>
            <w:r>
              <w:rPr>
                <w:rFonts w:eastAsiaTheme="minorEastAsia"/>
              </w:rPr>
              <w:t>gree</w:t>
            </w:r>
          </w:p>
        </w:tc>
        <w:tc>
          <w:tcPr>
            <w:tcW w:w="6480" w:type="dxa"/>
          </w:tcPr>
          <w:p w14:paraId="477EAD09" w14:textId="0BE7AEEA" w:rsidR="00BB4754" w:rsidRDefault="00BB4754" w:rsidP="00BB4754">
            <w:pPr>
              <w:rPr>
                <w:rFonts w:eastAsiaTheme="minorEastAsia"/>
                <w:highlight w:val="yellow"/>
              </w:rPr>
            </w:pPr>
            <w:r>
              <w:t xml:space="preserve">As the support of </w:t>
            </w:r>
            <w:r w:rsidRPr="00C634C8">
              <w:rPr>
                <w:lang w:val="en-US"/>
              </w:rPr>
              <w:t>blind</w:t>
            </w:r>
            <w:r>
              <w:rPr>
                <w:lang w:val="en-US"/>
              </w:rPr>
              <w:t xml:space="preserve"> </w:t>
            </w:r>
            <w:r w:rsidRPr="00C634C8">
              <w:rPr>
                <w:lang w:val="en-US"/>
              </w:rPr>
              <w:t>retransmission</w:t>
            </w:r>
            <w:r>
              <w:rPr>
                <w:lang w:val="en-US"/>
              </w:rPr>
              <w:t xml:space="preserve"> for initial Msg3 transmission requires changes for both UE and network, UE should be notified that network supports this feature and network should be able to know UE has requested the feature. The most simple and straightforway way to meet the above purposes is to introduce separate RO(s) and/or preamble(s) for this feature.</w:t>
            </w:r>
            <w:r>
              <w:rPr>
                <w:rFonts w:eastAsiaTheme="minorEastAsia"/>
                <w:highlight w:val="yellow"/>
              </w:rPr>
              <w:t xml:space="preserve"> </w:t>
            </w: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Malgun Gothic"/>
                <w:lang w:eastAsia="ko-KR"/>
              </w:rPr>
            </w:pPr>
          </w:p>
        </w:tc>
        <w:tc>
          <w:tcPr>
            <w:tcW w:w="1739" w:type="dxa"/>
          </w:tcPr>
          <w:p w14:paraId="3A63A674" w14:textId="77777777" w:rsidR="00922529" w:rsidRDefault="00922529" w:rsidP="00AA1F96">
            <w:pPr>
              <w:rPr>
                <w:rFonts w:eastAsia="Malgun Gothic"/>
                <w:lang w:eastAsia="ko-KR"/>
              </w:rPr>
            </w:pPr>
          </w:p>
        </w:tc>
        <w:tc>
          <w:tcPr>
            <w:tcW w:w="6480" w:type="dxa"/>
          </w:tcPr>
          <w:p w14:paraId="1BF588EF" w14:textId="77777777" w:rsidR="00922529" w:rsidRDefault="00922529" w:rsidP="00AA1F96">
            <w:pPr>
              <w:rPr>
                <w:rFonts w:eastAsia="Malgun Gothic"/>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SimSun"/>
                <w:lang w:val="en-US"/>
              </w:rPr>
            </w:pPr>
          </w:p>
        </w:tc>
        <w:tc>
          <w:tcPr>
            <w:tcW w:w="1739" w:type="dxa"/>
          </w:tcPr>
          <w:p w14:paraId="3691AA29" w14:textId="77777777" w:rsidR="00922529" w:rsidRDefault="00922529" w:rsidP="00AA1F96">
            <w:pPr>
              <w:rPr>
                <w:rFonts w:eastAsia="SimSun"/>
                <w:lang w:val="en-US"/>
              </w:rPr>
            </w:pPr>
          </w:p>
        </w:tc>
        <w:tc>
          <w:tcPr>
            <w:tcW w:w="6480" w:type="dxa"/>
          </w:tcPr>
          <w:p w14:paraId="0D39B4C0" w14:textId="77777777" w:rsidR="00922529" w:rsidRDefault="00922529" w:rsidP="00AA1F96">
            <w:pPr>
              <w:rPr>
                <w:rFonts w:eastAsia="SimSun"/>
                <w:lang w:val="en-US"/>
              </w:rPr>
            </w:pPr>
          </w:p>
        </w:tc>
      </w:tr>
    </w:tbl>
    <w:p w14:paraId="70CE6D2C" w14:textId="3A3F3682" w:rsidR="00922529" w:rsidRDefault="00922529" w:rsidP="00922529"/>
    <w:p w14:paraId="6A8E8F9C" w14:textId="74B94BCA" w:rsidR="001722B1" w:rsidRDefault="0005398D" w:rsidP="00922529">
      <w:r w:rsidRPr="0005398D">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retransmission, and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 (e.g., similar to MSG3 repetition</w:t>
      </w:r>
      <w:r w:rsidR="00C64C64" w:rsidRPr="00C64C64">
        <w:rPr>
          <w:rFonts w:ascii="Arial" w:hAnsi="Arial" w:cs="Arial"/>
          <w:b/>
          <w:bCs/>
          <w:sz w:val="20"/>
          <w:szCs w:val="20"/>
        </w:rPr>
        <w:t>)</w:t>
      </w:r>
      <w:r w:rsidR="00693EA8">
        <w:rPr>
          <w:rFonts w:ascii="Arial" w:hAnsi="Arial" w:cs="Arial"/>
          <w:b/>
          <w:bCs/>
          <w:sz w:val="20"/>
          <w:szCs w:val="20"/>
        </w:rPr>
        <w:t>;</w:t>
      </w:r>
    </w:p>
    <w:p w14:paraId="1BEC669C" w14:textId="193AA5E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A distance threshold</w:t>
      </w:r>
      <w:r w:rsidR="00693EA8">
        <w:rPr>
          <w:rFonts w:ascii="Arial" w:hAnsi="Arial" w:cs="Arial"/>
          <w:b/>
          <w:bCs/>
          <w:sz w:val="20"/>
          <w:szCs w:val="20"/>
        </w:rPr>
        <w:t>;</w:t>
      </w:r>
    </w:p>
    <w:p w14:paraId="166C6193" w14:textId="79FAFA29"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lastRenderedPageBreak/>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BB4754" w14:paraId="29C12848" w14:textId="77777777" w:rsidTr="00AA1F96">
        <w:tc>
          <w:tcPr>
            <w:tcW w:w="1496" w:type="dxa"/>
          </w:tcPr>
          <w:p w14:paraId="0A89FC86" w14:textId="29E88348"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AA95427" w14:textId="5801244A" w:rsidR="00BB4754" w:rsidRDefault="00BB4754" w:rsidP="00BB4754">
            <w:pPr>
              <w:rPr>
                <w:rFonts w:eastAsiaTheme="minorEastAsia"/>
              </w:rPr>
            </w:pPr>
            <w:r>
              <w:rPr>
                <w:rFonts w:eastAsiaTheme="minorEastAsia" w:hint="eastAsia"/>
              </w:rPr>
              <w:t>O</w:t>
            </w:r>
            <w:r>
              <w:rPr>
                <w:rFonts w:eastAsiaTheme="minorEastAsia"/>
              </w:rPr>
              <w:t>ption 1</w:t>
            </w:r>
          </w:p>
        </w:tc>
        <w:tc>
          <w:tcPr>
            <w:tcW w:w="6480" w:type="dxa"/>
          </w:tcPr>
          <w:p w14:paraId="3EDA217F" w14:textId="77777777" w:rsidR="00BB4754" w:rsidRDefault="00BB4754" w:rsidP="00BB4754">
            <w:pPr>
              <w:rPr>
                <w:rFonts w:eastAsiaTheme="minorEastAsia"/>
                <w:iCs/>
              </w:rPr>
            </w:pPr>
            <w:r>
              <w:t xml:space="preserve">We think the feature of </w:t>
            </w:r>
            <w:r w:rsidRPr="00C634C8">
              <w:rPr>
                <w:lang w:val="en-US"/>
              </w:rPr>
              <w:t>blind</w:t>
            </w:r>
            <w:r>
              <w:rPr>
                <w:lang w:val="en-US"/>
              </w:rPr>
              <w:t xml:space="preserve"> </w:t>
            </w:r>
            <w:r w:rsidRPr="00C634C8">
              <w:rPr>
                <w:lang w:val="en-US"/>
              </w:rPr>
              <w:t>retransmission</w:t>
            </w:r>
            <w:r>
              <w:rPr>
                <w:lang w:val="en-US"/>
              </w:rPr>
              <w:t xml:space="preserve"> for initial Msg3 transmission</w:t>
            </w:r>
            <w:r>
              <w:t xml:space="preserve"> can work in a similar manner, i.e. introduce a </w:t>
            </w:r>
            <w:r w:rsidRPr="00D74FB7">
              <w:t>RSRP threshold</w:t>
            </w:r>
            <w:r>
              <w:t xml:space="preserve"> for requesting </w:t>
            </w:r>
            <w:r w:rsidRPr="00C634C8">
              <w:rPr>
                <w:lang w:val="en-US"/>
              </w:rPr>
              <w:t>blind</w:t>
            </w:r>
            <w:r>
              <w:rPr>
                <w:lang w:val="en-US"/>
              </w:rPr>
              <w:t xml:space="preserve"> </w:t>
            </w:r>
            <w:r w:rsidRPr="00C634C8">
              <w:rPr>
                <w:lang w:val="en-US"/>
              </w:rPr>
              <w:t>retransmission</w:t>
            </w:r>
            <w:r>
              <w:rPr>
                <w:lang w:val="en-US"/>
              </w:rPr>
              <w:t xml:space="preserve"> for initial Msg3 transmission. The UE only uses the RACH resource requesting </w:t>
            </w:r>
            <w:r w:rsidRPr="00C634C8">
              <w:rPr>
                <w:lang w:val="en-US"/>
              </w:rPr>
              <w:t>blind</w:t>
            </w:r>
            <w:r>
              <w:rPr>
                <w:lang w:val="en-US"/>
              </w:rPr>
              <w:t xml:space="preserve"> </w:t>
            </w:r>
            <w:r w:rsidRPr="00C634C8">
              <w:rPr>
                <w:lang w:val="en-US"/>
              </w:rPr>
              <w:t>retransmission</w:t>
            </w:r>
            <w:r>
              <w:rPr>
                <w:lang w:val="en-US"/>
              </w:rPr>
              <w:t xml:space="preserve"> for initial Msg3 transmission if the UE’s RSRP measurement is below the </w:t>
            </w:r>
            <w:r w:rsidRPr="00D74FB7">
              <w:t>threshold</w:t>
            </w:r>
            <w:r>
              <w:t xml:space="preserve">. Otherwise, the UE uses the legacy </w:t>
            </w:r>
            <w:r>
              <w:rPr>
                <w:lang w:val="en-US"/>
              </w:rPr>
              <w:t xml:space="preserve">RACH resource and does not start </w:t>
            </w:r>
            <w:r w:rsidRPr="000B2AEF">
              <w:rPr>
                <w:rStyle w:val="Emphasis"/>
              </w:rPr>
              <w:t>ra-ContentionResolutionTimer</w:t>
            </w:r>
            <w:r>
              <w:rPr>
                <w:rStyle w:val="Emphasis"/>
                <w:i w:val="0"/>
              </w:rPr>
              <w:t xml:space="preserve"> </w:t>
            </w:r>
            <w:r w:rsidRPr="00CA02EB">
              <w:rPr>
                <w:lang w:val="en-US"/>
              </w:rPr>
              <w:t>immediately</w:t>
            </w:r>
            <w:r>
              <w:rPr>
                <w:lang w:val="en-US"/>
              </w:rPr>
              <w:t xml:space="preserve"> after </w:t>
            </w:r>
            <w:r>
              <w:rPr>
                <w:iCs/>
              </w:rPr>
              <w:t xml:space="preserve">the end of initial </w:t>
            </w:r>
            <w:r w:rsidRPr="00F05078">
              <w:rPr>
                <w:iCs/>
              </w:rPr>
              <w:t>Msg3 transmission</w:t>
            </w:r>
            <w:r>
              <w:rPr>
                <w:iCs/>
              </w:rPr>
              <w:t>, so that unnecessary UE power consumption can be avoided.</w:t>
            </w:r>
          </w:p>
          <w:p w14:paraId="7D0E5433" w14:textId="5143CD38" w:rsidR="00BB4754" w:rsidRDefault="00BB4754" w:rsidP="00BB4754">
            <w:pPr>
              <w:rPr>
                <w:rFonts w:eastAsiaTheme="minorEastAsia"/>
                <w:highlight w:val="yellow"/>
              </w:rPr>
            </w:pPr>
            <w:r>
              <w:rPr>
                <w:rFonts w:eastAsiaTheme="minorEastAsia"/>
                <w:iCs/>
              </w:rPr>
              <w:t xml:space="preserve">Regarding whether to introduce distance-based </w:t>
            </w:r>
            <w:r w:rsidRPr="00CC22B5">
              <w:rPr>
                <w:rFonts w:eastAsiaTheme="minorEastAsia"/>
                <w:iCs/>
              </w:rPr>
              <w:t>criterion</w:t>
            </w:r>
            <w:r>
              <w:rPr>
                <w:rFonts w:eastAsiaTheme="minorEastAsia"/>
                <w:iCs/>
              </w:rPr>
              <w:t xml:space="preserve"> on top of RSRP-based </w:t>
            </w:r>
            <w:r w:rsidRPr="00CC22B5">
              <w:rPr>
                <w:rFonts w:eastAsiaTheme="minorEastAsia"/>
                <w:iCs/>
              </w:rPr>
              <w:t>criterion</w:t>
            </w:r>
            <w:r>
              <w:rPr>
                <w:rFonts w:eastAsiaTheme="minorEastAsia"/>
                <w:iCs/>
              </w:rPr>
              <w:t>,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 xml:space="preserve">pe (i.e. 2-step or 4-step) selection, and RAN2 agreed not to consider such enhancement. So we think no need to introduce distance-based </w:t>
            </w:r>
            <w:r w:rsidRPr="00CC22B5">
              <w:rPr>
                <w:rFonts w:eastAsiaTheme="minorEastAsia"/>
                <w:iCs/>
              </w:rPr>
              <w:t>criterion</w:t>
            </w:r>
            <w:r>
              <w:rPr>
                <w:rFonts w:eastAsiaTheme="minorEastAsia"/>
                <w:iCs/>
              </w:rPr>
              <w:t xml:space="preserve"> here, either.</w:t>
            </w: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Malgun Gothic"/>
                <w:lang w:eastAsia="ko-KR"/>
              </w:rPr>
            </w:pPr>
          </w:p>
        </w:tc>
        <w:tc>
          <w:tcPr>
            <w:tcW w:w="1739" w:type="dxa"/>
          </w:tcPr>
          <w:p w14:paraId="43D8B47D" w14:textId="77777777" w:rsidR="00017F5B" w:rsidRDefault="00017F5B" w:rsidP="00AA1F96">
            <w:pPr>
              <w:rPr>
                <w:rFonts w:eastAsia="Malgun Gothic"/>
                <w:lang w:eastAsia="ko-KR"/>
              </w:rPr>
            </w:pPr>
          </w:p>
        </w:tc>
        <w:tc>
          <w:tcPr>
            <w:tcW w:w="6480" w:type="dxa"/>
          </w:tcPr>
          <w:p w14:paraId="6B90EC5C" w14:textId="77777777" w:rsidR="00017F5B" w:rsidRDefault="00017F5B" w:rsidP="00AA1F96">
            <w:pPr>
              <w:rPr>
                <w:rFonts w:eastAsia="Malgun Gothic"/>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SimSun"/>
                <w:lang w:val="en-US"/>
              </w:rPr>
            </w:pPr>
          </w:p>
        </w:tc>
        <w:tc>
          <w:tcPr>
            <w:tcW w:w="1739" w:type="dxa"/>
          </w:tcPr>
          <w:p w14:paraId="2A158CA0" w14:textId="77777777" w:rsidR="00017F5B" w:rsidRDefault="00017F5B" w:rsidP="00AA1F96">
            <w:pPr>
              <w:rPr>
                <w:rFonts w:eastAsia="SimSun"/>
                <w:lang w:val="en-US"/>
              </w:rPr>
            </w:pPr>
          </w:p>
        </w:tc>
        <w:tc>
          <w:tcPr>
            <w:tcW w:w="6480" w:type="dxa"/>
          </w:tcPr>
          <w:p w14:paraId="17C09345" w14:textId="77777777" w:rsidR="00017F5B" w:rsidRDefault="00017F5B" w:rsidP="00AA1F96">
            <w:pPr>
              <w:rPr>
                <w:rFonts w:eastAsia="SimSun"/>
                <w:lang w:val="en-US"/>
              </w:rPr>
            </w:pPr>
          </w:p>
        </w:tc>
      </w:tr>
    </w:tbl>
    <w:p w14:paraId="5EF8A4AF" w14:textId="731100BB" w:rsidR="00017F5B" w:rsidRDefault="00017F5B" w:rsidP="00017F5B"/>
    <w:p w14:paraId="665E3984" w14:textId="619C37CA" w:rsidR="009F7195" w:rsidRDefault="008B5ECB" w:rsidP="00017F5B">
      <w:r>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request</w:t>
      </w:r>
      <w:r w:rsidR="0038511B">
        <w:rPr>
          <w:rFonts w:ascii="Arial" w:hAnsi="Arial" w:cs="Arial"/>
          <w:b/>
          <w:bCs/>
          <w:sz w:val="20"/>
          <w:szCs w:val="20"/>
        </w:rPr>
        <w:t>;</w:t>
      </w:r>
    </w:p>
    <w:p w14:paraId="02077E52" w14:textId="31E5EA4B" w:rsidR="003870B6"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r w:rsidR="0038511B">
        <w:rPr>
          <w:rFonts w:ascii="Arial" w:hAnsi="Arial" w:cs="Arial"/>
          <w:b/>
          <w:bCs/>
          <w:sz w:val="20"/>
          <w:szCs w:val="20"/>
        </w:rPr>
        <w:t>;</w:t>
      </w:r>
    </w:p>
    <w:p w14:paraId="70DC73CF" w14:textId="732DB418" w:rsidR="00595EAA" w:rsidRPr="00E24433" w:rsidRDefault="00595EAA" w:rsidP="003870B6">
      <w:pPr>
        <w:pStyle w:val="ListParagraph"/>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BB4754" w14:paraId="75CE0120" w14:textId="77777777" w:rsidTr="00AA1F96">
        <w:tc>
          <w:tcPr>
            <w:tcW w:w="1496" w:type="dxa"/>
          </w:tcPr>
          <w:p w14:paraId="46494609" w14:textId="745DAC54"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0410AC94" w14:textId="48A91484" w:rsidR="00BB4754" w:rsidRDefault="00BB4754" w:rsidP="00BB4754">
            <w:pPr>
              <w:rPr>
                <w:rFonts w:eastAsiaTheme="minorEastAsia"/>
              </w:rPr>
            </w:pPr>
            <w:r>
              <w:rPr>
                <w:rFonts w:eastAsiaTheme="minorEastAsia"/>
              </w:rPr>
              <w:t>Option 1</w:t>
            </w:r>
          </w:p>
        </w:tc>
        <w:tc>
          <w:tcPr>
            <w:tcW w:w="6480" w:type="dxa"/>
          </w:tcPr>
          <w:p w14:paraId="0EB94D0F" w14:textId="1984EB7D" w:rsidR="00BB4754" w:rsidRDefault="00BB4754" w:rsidP="00BB4754">
            <w:pPr>
              <w:rPr>
                <w:rFonts w:eastAsiaTheme="minorEastAsia"/>
                <w:highlight w:val="yellow"/>
              </w:rPr>
            </w:pPr>
            <w:r w:rsidRPr="00DD07F8">
              <w:rPr>
                <w:rFonts w:eastAsiaTheme="minorEastAsia"/>
              </w:rPr>
              <w:t>For option2, we fail to see the need for NW to indicate in RAR.</w:t>
            </w: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Malgun Gothic"/>
                <w:lang w:eastAsia="ko-KR"/>
              </w:rPr>
            </w:pPr>
          </w:p>
        </w:tc>
        <w:tc>
          <w:tcPr>
            <w:tcW w:w="1739" w:type="dxa"/>
          </w:tcPr>
          <w:p w14:paraId="049E35AD" w14:textId="77777777" w:rsidR="0038511B" w:rsidRDefault="0038511B" w:rsidP="00AA1F96">
            <w:pPr>
              <w:rPr>
                <w:rFonts w:eastAsia="Malgun Gothic"/>
                <w:lang w:eastAsia="ko-KR"/>
              </w:rPr>
            </w:pPr>
          </w:p>
        </w:tc>
        <w:tc>
          <w:tcPr>
            <w:tcW w:w="6480" w:type="dxa"/>
          </w:tcPr>
          <w:p w14:paraId="447DEE5C" w14:textId="77777777" w:rsidR="0038511B" w:rsidRDefault="0038511B" w:rsidP="00AA1F96">
            <w:pPr>
              <w:rPr>
                <w:rFonts w:eastAsia="Malgun Gothic"/>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SimSun"/>
                <w:lang w:val="en-US"/>
              </w:rPr>
            </w:pPr>
          </w:p>
        </w:tc>
        <w:tc>
          <w:tcPr>
            <w:tcW w:w="1739" w:type="dxa"/>
          </w:tcPr>
          <w:p w14:paraId="14C02C76" w14:textId="77777777" w:rsidR="0038511B" w:rsidRDefault="0038511B" w:rsidP="00AA1F96">
            <w:pPr>
              <w:rPr>
                <w:rFonts w:eastAsia="SimSun"/>
                <w:lang w:val="en-US"/>
              </w:rPr>
            </w:pPr>
          </w:p>
        </w:tc>
        <w:tc>
          <w:tcPr>
            <w:tcW w:w="6480" w:type="dxa"/>
          </w:tcPr>
          <w:p w14:paraId="2B765A13" w14:textId="77777777" w:rsidR="0038511B" w:rsidRDefault="0038511B" w:rsidP="00AA1F96">
            <w:pPr>
              <w:rPr>
                <w:rFonts w:eastAsia="SimSun"/>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Heading2"/>
      </w:pPr>
      <w:r>
        <w:t>Other triggers for additional monioring</w:t>
      </w:r>
    </w:p>
    <w:p w14:paraId="4392452B" w14:textId="41153AD1" w:rsidR="00B868A1" w:rsidRDefault="00014FA0" w:rsidP="00B868A1">
      <w:r>
        <w:t xml:space="preserve"> </w:t>
      </w:r>
      <w:r w:rsidR="00B868A1">
        <w:t>[4]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5D745305" w14:textId="77777777" w:rsidR="00B868A1" w:rsidRDefault="00B868A1" w:rsidP="00B868A1">
      <w:r>
        <w:t>A UE which initated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BB4754" w14:paraId="5049B25F" w14:textId="77777777" w:rsidTr="00AA1F96">
        <w:tc>
          <w:tcPr>
            <w:tcW w:w="1496" w:type="dxa"/>
          </w:tcPr>
          <w:p w14:paraId="31920F57" w14:textId="7541F58A"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4B634343" w14:textId="7E75A3DE" w:rsidR="00BB4754" w:rsidRDefault="00BB4754" w:rsidP="00BB4754">
            <w:pPr>
              <w:rPr>
                <w:rFonts w:eastAsiaTheme="minorEastAsia"/>
              </w:rPr>
            </w:pPr>
            <w:r>
              <w:rPr>
                <w:rFonts w:eastAsiaTheme="minorEastAsia" w:hint="eastAsia"/>
              </w:rPr>
              <w:t>D</w:t>
            </w:r>
            <w:r>
              <w:rPr>
                <w:rFonts w:eastAsiaTheme="minorEastAsia"/>
              </w:rPr>
              <w:t>isagree</w:t>
            </w:r>
          </w:p>
        </w:tc>
        <w:tc>
          <w:tcPr>
            <w:tcW w:w="6480" w:type="dxa"/>
          </w:tcPr>
          <w:p w14:paraId="021C7BDB" w14:textId="77777777" w:rsidR="00BB4754" w:rsidRDefault="00BB4754" w:rsidP="00BB4754">
            <w:r>
              <w:t xml:space="preserve">UE would fall back from </w:t>
            </w:r>
            <w:r w:rsidRPr="00052964">
              <w:t>2-step to 4-step RACH</w:t>
            </w:r>
            <w:r>
              <w:t xml:space="preserve"> in the following cases:</w:t>
            </w:r>
          </w:p>
          <w:p w14:paraId="19C82BF2" w14:textId="77777777" w:rsidR="00BB4754" w:rsidRDefault="00BB4754" w:rsidP="00BB4754">
            <w:r>
              <w:t>Case 1: upon reception of a RAR instead of MsgB;</w:t>
            </w:r>
          </w:p>
          <w:p w14:paraId="2F4A9CEA" w14:textId="77777777" w:rsidR="00BB4754" w:rsidRDefault="00BB4754" w:rsidP="00BB4754">
            <w:r>
              <w:t xml:space="preserve">Case 2: the attempt number of MsgA reaches the maximum attempt number </w:t>
            </w:r>
          </w:p>
          <w:p w14:paraId="5C7277C0" w14:textId="77777777" w:rsidR="00BB4754" w:rsidRDefault="00BB4754" w:rsidP="00BB4754">
            <w:r>
              <w:t xml:space="preserve">For case 1, UE shall send Msg3 based on the UL grant indicated in RAR and continue to monitor PDCCH. </w:t>
            </w:r>
            <w:r w:rsidRPr="0069524A">
              <w:t>As we discussed in Q3,</w:t>
            </w:r>
            <w:r>
              <w:t xml:space="preserve"> UE needs to request blind Msg3 retransmission by using separate RO/preamble, otherwise network could not be aware of whether UE monitors for blind Msg3 retransmission after Msg3 initial transmission. Obviously, upon reception of a RAR instead of MsgB, UE has no way to inform network whether it would monitor for blind Msg3 retransmission or not. So triggering additional monitoring may have inter-operability issue.</w:t>
            </w:r>
          </w:p>
          <w:p w14:paraId="2E68EA2D" w14:textId="77777777" w:rsidR="00BB4754" w:rsidRDefault="00BB4754" w:rsidP="00BB4754">
            <w:r>
              <w:t xml:space="preserve">For case 2, based on the current spec, UE would not perform </w:t>
            </w:r>
            <w:r>
              <w:rPr>
                <w:rFonts w:eastAsia="Malgun Gothic"/>
                <w:lang w:eastAsia="ko-KR"/>
              </w:rPr>
              <w:t>s</w:t>
            </w:r>
            <w:r w:rsidRPr="001B1744">
              <w:rPr>
                <w:rFonts w:eastAsia="Malgun Gothic"/>
                <w:lang w:eastAsia="ko-KR"/>
              </w:rPr>
              <w:t xml:space="preserve">election of the set of </w:t>
            </w:r>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 resources</w:t>
            </w:r>
            <w:r>
              <w:rPr>
                <w:rFonts w:eastAsia="Malgun Gothic"/>
                <w:lang w:eastAsia="ko-KR"/>
              </w:rPr>
              <w:t xml:space="preserve">. That is, for Msg3 repetition feaure, if UE firsly selects 2-step RACH, and then falls back to 4-step RACH due to </w:t>
            </w:r>
            <w:r>
              <w:t xml:space="preserve">the attempt number of MsgA reaching the maximum attempt number, the UE would not select the </w:t>
            </w:r>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 resources</w:t>
            </w:r>
            <w:r>
              <w:rPr>
                <w:rFonts w:eastAsia="Malgun Gothic"/>
                <w:lang w:eastAsia="ko-KR"/>
              </w:rPr>
              <w:t xml:space="preserve"> indicating Msg3 repetition. We think that for </w:t>
            </w:r>
            <w:r>
              <w:t>blind Msg3 retransmission for Msg3 initial transmission, it should work in the same manner as the feature as Msg3 repetition.</w:t>
            </w:r>
          </w:p>
          <w:p w14:paraId="3A184632" w14:textId="77777777" w:rsidR="00BB4754" w:rsidRDefault="00BB4754" w:rsidP="00BB4754">
            <w:pPr>
              <w:rPr>
                <w:rFonts w:eastAsiaTheme="minorEastAsia"/>
                <w:highlight w:val="yellow"/>
              </w:rPr>
            </w:pPr>
          </w:p>
        </w:tc>
      </w:tr>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Malgun Gothic"/>
                <w:lang w:eastAsia="ko-KR"/>
              </w:rPr>
            </w:pPr>
          </w:p>
        </w:tc>
        <w:tc>
          <w:tcPr>
            <w:tcW w:w="1739" w:type="dxa"/>
          </w:tcPr>
          <w:p w14:paraId="273085E1" w14:textId="77777777" w:rsidR="00616BBE" w:rsidRDefault="00616BBE" w:rsidP="00AA1F96">
            <w:pPr>
              <w:rPr>
                <w:rFonts w:eastAsia="Malgun Gothic"/>
                <w:lang w:eastAsia="ko-KR"/>
              </w:rPr>
            </w:pPr>
          </w:p>
        </w:tc>
        <w:tc>
          <w:tcPr>
            <w:tcW w:w="6480" w:type="dxa"/>
          </w:tcPr>
          <w:p w14:paraId="0B8CC0A3" w14:textId="77777777" w:rsidR="00616BBE" w:rsidRDefault="00616BBE" w:rsidP="00AA1F96">
            <w:pPr>
              <w:rPr>
                <w:rFonts w:eastAsia="Malgun Gothic"/>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SimSun"/>
                <w:lang w:val="en-US"/>
              </w:rPr>
            </w:pPr>
          </w:p>
        </w:tc>
        <w:tc>
          <w:tcPr>
            <w:tcW w:w="1739" w:type="dxa"/>
          </w:tcPr>
          <w:p w14:paraId="5BEC7D3A" w14:textId="77777777" w:rsidR="00616BBE" w:rsidRDefault="00616BBE" w:rsidP="00AA1F96">
            <w:pPr>
              <w:rPr>
                <w:rFonts w:eastAsia="SimSun"/>
                <w:lang w:val="en-US"/>
              </w:rPr>
            </w:pPr>
          </w:p>
        </w:tc>
        <w:tc>
          <w:tcPr>
            <w:tcW w:w="6480" w:type="dxa"/>
          </w:tcPr>
          <w:p w14:paraId="1A8D0BBE" w14:textId="77777777" w:rsidR="00616BBE" w:rsidRDefault="00616BBE" w:rsidP="00AA1F96">
            <w:pPr>
              <w:rPr>
                <w:rFonts w:eastAsia="SimSun"/>
                <w:lang w:val="en-US"/>
              </w:rPr>
            </w:pPr>
          </w:p>
        </w:tc>
      </w:tr>
    </w:tbl>
    <w:p w14:paraId="691DC3B7" w14:textId="3CF8F277" w:rsidR="00922529" w:rsidRDefault="00922529" w:rsidP="00922529"/>
    <w:p w14:paraId="13E81789" w14:textId="77777777" w:rsidR="00185682" w:rsidRDefault="00185682" w:rsidP="00185682">
      <w:pPr>
        <w:pStyle w:val="Heading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SimSun"/>
                <w:lang w:val="en-US"/>
              </w:rPr>
            </w:pPr>
          </w:p>
        </w:tc>
        <w:tc>
          <w:tcPr>
            <w:tcW w:w="8219" w:type="dxa"/>
          </w:tcPr>
          <w:p w14:paraId="662D3051" w14:textId="77777777" w:rsidR="00656CEF" w:rsidRDefault="00656CEF" w:rsidP="00AA1F96">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Heading1"/>
      </w:pPr>
      <w:r w:rsidRPr="00BC3176">
        <w:t>References</w:t>
      </w:r>
    </w:p>
    <w:p w14:paraId="04267441" w14:textId="65BA04C2" w:rsidR="007F0C67" w:rsidRDefault="00000000" w:rsidP="007F0C67">
      <w:pPr>
        <w:pStyle w:val="Reference"/>
      </w:pPr>
      <w:hyperlink r:id="rId11" w:history="1">
        <w:r w:rsidR="007F0C67" w:rsidRPr="001C2F56">
          <w:rPr>
            <w:rStyle w:val="Hyperlink"/>
          </w:rPr>
          <w:t>R2-2302536</w:t>
        </w:r>
      </w:hyperlink>
      <w:r w:rsidR="007F0C67">
        <w:tab/>
        <w:t>Discussion on initial blind Msg3 retransmission for NTN</w:t>
      </w:r>
      <w:r w:rsidR="007F0C67">
        <w:tab/>
        <w:t>OPPO</w:t>
      </w:r>
    </w:p>
    <w:p w14:paraId="524692FE" w14:textId="181E1F04" w:rsidR="007F0C67" w:rsidRDefault="00000000" w:rsidP="007F0C67">
      <w:pPr>
        <w:pStyle w:val="Reference"/>
      </w:pPr>
      <w:hyperlink r:id="rId12" w:history="1">
        <w:r w:rsidR="007F0C67" w:rsidRPr="00E43F31">
          <w:rPr>
            <w:rStyle w:val="Hyperlink"/>
          </w:rPr>
          <w:t>R2-2302798</w:t>
        </w:r>
      </w:hyperlink>
      <w:r w:rsidR="007F0C67">
        <w:tab/>
        <w:t>Discussion on blind Msg3 retransmission</w:t>
      </w:r>
      <w:r w:rsidR="007F0C67">
        <w:tab/>
        <w:t>Huawei, HiSilicon</w:t>
      </w:r>
    </w:p>
    <w:p w14:paraId="7881E8A5" w14:textId="6F1C521D" w:rsidR="007F0C67" w:rsidRDefault="00000000" w:rsidP="007F0C67">
      <w:pPr>
        <w:pStyle w:val="Reference"/>
      </w:pPr>
      <w:hyperlink r:id="rId13" w:history="1">
        <w:r w:rsidR="007F0C67" w:rsidRPr="00E43F31">
          <w:rPr>
            <w:rStyle w:val="Hyperlink"/>
          </w:rPr>
          <w:t>R2-2303326</w:t>
        </w:r>
      </w:hyperlink>
      <w:r w:rsidR="007F0C67">
        <w:tab/>
        <w:t>Discussion on coverage enhancement for R18 NTN</w:t>
      </w:r>
      <w:r w:rsidR="007F0C67">
        <w:tab/>
        <w:t>vivo</w:t>
      </w:r>
    </w:p>
    <w:p w14:paraId="2AC701FF" w14:textId="78B6D457" w:rsidR="007F0C67" w:rsidRDefault="00000000" w:rsidP="007F0C67">
      <w:pPr>
        <w:pStyle w:val="Reference"/>
      </w:pPr>
      <w:hyperlink r:id="rId14" w:history="1">
        <w:r w:rsidR="007F0C67" w:rsidRPr="00C31796">
          <w:rPr>
            <w:rStyle w:val="Hyperlink"/>
          </w:rPr>
          <w:t>R2-2303727</w:t>
        </w:r>
      </w:hyperlink>
      <w:r w:rsidR="007F0C67">
        <w:tab/>
        <w:t>Blind Msg3 retransmission in Rel-18 NTN</w:t>
      </w:r>
      <w:r w:rsidR="007F0C67">
        <w:tab/>
        <w:t>InterDigital</w:t>
      </w:r>
    </w:p>
    <w:p w14:paraId="2FA45773" w14:textId="6860BA92" w:rsidR="007F0C67" w:rsidRDefault="00000000" w:rsidP="007F0C67">
      <w:pPr>
        <w:pStyle w:val="Reference"/>
      </w:pPr>
      <w:hyperlink r:id="rId15" w:history="1">
        <w:r w:rsidR="007F0C67" w:rsidRPr="00C31796">
          <w:rPr>
            <w:rStyle w:val="Hyperlink"/>
          </w:rPr>
          <w:t>R2-2303834</w:t>
        </w:r>
      </w:hyperlink>
      <w:r w:rsidR="007F0C67">
        <w:tab/>
        <w:t>R18 NR NTN Coverage enhancements</w:t>
      </w:r>
      <w:r w:rsidR="007F0C67">
        <w:tab/>
        <w:t>Ericsson</w:t>
      </w:r>
    </w:p>
    <w:p w14:paraId="0F5FF4B3" w14:textId="7089C0E4" w:rsidR="001B3A0D" w:rsidRDefault="00000000" w:rsidP="007F0C67">
      <w:pPr>
        <w:pStyle w:val="Reference"/>
      </w:pPr>
      <w:hyperlink r:id="rId16" w:history="1">
        <w:r w:rsidR="007F0C67" w:rsidRPr="00F9660C">
          <w:rPr>
            <w:rStyle w:val="Hyperlink"/>
          </w:rPr>
          <w:t>R2-2303997</w:t>
        </w:r>
      </w:hyperlink>
      <w:r w:rsidR="007F0C67">
        <w:tab/>
        <w:t>Discussion on inital blind Msg3 retransmssion</w:t>
      </w:r>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Heading1"/>
      </w:pPr>
      <w:r>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TableGrid"/>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NoSpacing"/>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7" w:history="1">
              <w:r w:rsidR="00353F03" w:rsidRPr="00353F03">
                <w:rPr>
                  <w:rStyle w:val="Hyperlink"/>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NoSpacing"/>
              <w:rPr>
                <w:sz w:val="18"/>
                <w:szCs w:val="18"/>
              </w:rPr>
            </w:pPr>
            <w:r>
              <w:rPr>
                <w:sz w:val="18"/>
                <w:szCs w:val="18"/>
              </w:rPr>
              <w:t>Huawei, HiSilicon</w:t>
            </w:r>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8" w:history="1">
              <w:r w:rsidR="00353F03" w:rsidRPr="00353F03">
                <w:rPr>
                  <w:rStyle w:val="Hyperlink"/>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NoSpacing"/>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19" w:history="1">
              <w:r w:rsidR="006E450F" w:rsidRPr="00CE6FFB">
                <w:rPr>
                  <w:rStyle w:val="Hyperlink"/>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ra-RespondWindow in order to receive the initial blind Msg3 retransmission grant (No specification change is needed).</w:t>
            </w:r>
          </w:p>
        </w:tc>
        <w:tc>
          <w:tcPr>
            <w:tcW w:w="1354" w:type="dxa"/>
          </w:tcPr>
          <w:p w14:paraId="5E47BE92" w14:textId="77777777" w:rsidR="00CB3006" w:rsidRDefault="00CB3006" w:rsidP="00AA1F96">
            <w:pPr>
              <w:pStyle w:val="NoSpacing"/>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NoSpacing"/>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0" w:history="1">
              <w:r w:rsidRPr="00353F03">
                <w:rPr>
                  <w:rStyle w:val="Hyperlink"/>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NoSpacing"/>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TableGrid"/>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NoSpacing"/>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1" w:history="1">
              <w:r w:rsidR="00353F03" w:rsidRPr="00353F03">
                <w:rPr>
                  <w:rStyle w:val="Hyperlink"/>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To enable blind retransmission for initial Msg3 transmission, UE starts ra-ContentionResolutionTimer immediately after the end of initial Msg3 transmission.</w:t>
            </w:r>
          </w:p>
        </w:tc>
        <w:tc>
          <w:tcPr>
            <w:tcW w:w="1354" w:type="dxa"/>
          </w:tcPr>
          <w:p w14:paraId="63AA046A" w14:textId="77777777" w:rsidR="00CB3006" w:rsidRDefault="00CB3006" w:rsidP="00AA1F96">
            <w:pPr>
              <w:pStyle w:val="NoSpacing"/>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2" w:history="1">
              <w:r w:rsidR="00353F03" w:rsidRPr="00353F03">
                <w:rPr>
                  <w:rStyle w:val="Hyperlink"/>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NoSpacing"/>
              <w:rPr>
                <w:sz w:val="18"/>
                <w:szCs w:val="18"/>
              </w:rPr>
            </w:pPr>
            <w:r>
              <w:rPr>
                <w:sz w:val="18"/>
                <w:szCs w:val="18"/>
              </w:rPr>
              <w:t>InterDigital</w:t>
            </w:r>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3" w:history="1">
              <w:r w:rsidR="00CE6FFB" w:rsidRPr="00CE6FFB">
                <w:rPr>
                  <w:rStyle w:val="Hyperlink"/>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A new timer initialBlindRetxTimer is started by the UE after successful reception of a Random Access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Monitor the PDCCH while the initialBlindRetxTimer is running regardless of the possible occurrence of a measurement gap</w:t>
            </w:r>
          </w:p>
        </w:tc>
        <w:tc>
          <w:tcPr>
            <w:tcW w:w="1354" w:type="dxa"/>
          </w:tcPr>
          <w:p w14:paraId="67757C0E" w14:textId="77777777" w:rsidR="00CB3006" w:rsidRDefault="00CB3006" w:rsidP="00AA1F96">
            <w:pPr>
              <w:pStyle w:val="NoSpacing"/>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4" w:history="1">
              <w:r w:rsidR="00CE6FFB" w:rsidRPr="00CE6FFB">
                <w:rPr>
                  <w:rStyle w:val="Hyperlink"/>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ra-RespondWindow in order to receive the initial blind Msg3 retransmission grant (No specification change is needed).</w:t>
            </w:r>
          </w:p>
        </w:tc>
        <w:tc>
          <w:tcPr>
            <w:tcW w:w="1354" w:type="dxa"/>
          </w:tcPr>
          <w:p w14:paraId="42633F85" w14:textId="77777777" w:rsidR="00CB3006" w:rsidRDefault="00CB3006" w:rsidP="00AA1F96">
            <w:pPr>
              <w:pStyle w:val="NoSpacing"/>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TableGrid"/>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NoSpacing"/>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5" w:history="1">
              <w:r w:rsidR="00353F03" w:rsidRPr="00353F03">
                <w:rPr>
                  <w:rStyle w:val="Hyperlink"/>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NoSpacing"/>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6" w:history="1">
              <w:r w:rsidR="00353F03" w:rsidRPr="00353F03">
                <w:rPr>
                  <w:rStyle w:val="Hyperlink"/>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Similar to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NoSpacing"/>
              <w:rPr>
                <w:sz w:val="18"/>
                <w:szCs w:val="18"/>
              </w:rPr>
            </w:pPr>
            <w:r>
              <w:rPr>
                <w:sz w:val="18"/>
                <w:szCs w:val="18"/>
              </w:rPr>
              <w:t>InterDigital</w:t>
            </w:r>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TableGrid"/>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NoSpacing"/>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7" w:history="1">
              <w:r w:rsidR="00353F03" w:rsidRPr="00353F03">
                <w:rPr>
                  <w:rStyle w:val="Hyperlink"/>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NoSpacing"/>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8" w:history="1">
              <w:r w:rsidR="00353F03" w:rsidRPr="00353F03">
                <w:rPr>
                  <w:rStyle w:val="Hyperlink"/>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Similar to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NoSpacing"/>
              <w:rPr>
                <w:sz w:val="18"/>
                <w:szCs w:val="18"/>
              </w:rPr>
            </w:pPr>
            <w:r>
              <w:rPr>
                <w:sz w:val="18"/>
                <w:szCs w:val="18"/>
              </w:rPr>
              <w:t>InterDigital</w:t>
            </w:r>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TableGrid"/>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NoSpacing"/>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29" w:history="1">
              <w:r w:rsidRPr="00353F03">
                <w:rPr>
                  <w:rStyle w:val="Hyperlink"/>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NoSpacing"/>
              <w:rPr>
                <w:sz w:val="18"/>
                <w:szCs w:val="18"/>
              </w:rPr>
            </w:pPr>
            <w:r>
              <w:rPr>
                <w:sz w:val="18"/>
                <w:szCs w:val="18"/>
              </w:rPr>
              <w:t>InterDigital</w:t>
            </w:r>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TableGrid"/>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NoSpacing"/>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0" w:history="1">
              <w:r w:rsidR="00353F03" w:rsidRPr="00353F03">
                <w:rPr>
                  <w:rStyle w:val="Hyperlink"/>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Upon fallback from 2-step to 4-step RACH, UE performs additional PDCCH monitoring for blind MSG3 retransmission grant in NTN</w:t>
            </w:r>
          </w:p>
        </w:tc>
        <w:tc>
          <w:tcPr>
            <w:tcW w:w="1354" w:type="dxa"/>
          </w:tcPr>
          <w:p w14:paraId="7CB124E3" w14:textId="77777777" w:rsidR="00CB3006" w:rsidRDefault="00CB3006" w:rsidP="00AA1F96">
            <w:pPr>
              <w:pStyle w:val="NoSpacing"/>
              <w:rPr>
                <w:sz w:val="18"/>
                <w:szCs w:val="18"/>
              </w:rPr>
            </w:pPr>
            <w:r>
              <w:rPr>
                <w:sz w:val="18"/>
                <w:szCs w:val="18"/>
              </w:rPr>
              <w:t>InterDigital</w:t>
            </w:r>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BB46" w14:textId="77777777" w:rsidR="00BE4DD9" w:rsidRDefault="00BE4DD9">
      <w:pPr>
        <w:spacing w:after="0"/>
      </w:pPr>
      <w:r>
        <w:separator/>
      </w:r>
    </w:p>
  </w:endnote>
  <w:endnote w:type="continuationSeparator" w:id="0">
    <w:p w14:paraId="2D0F6A15" w14:textId="77777777" w:rsidR="00BE4DD9" w:rsidRDefault="00BE4D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2ABBBEF6"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F426A">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426A">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EB85" w14:textId="77777777" w:rsidR="00BE4DD9" w:rsidRDefault="00BE4DD9">
      <w:pPr>
        <w:spacing w:after="0"/>
      </w:pPr>
      <w:r>
        <w:separator/>
      </w:r>
    </w:p>
  </w:footnote>
  <w:footnote w:type="continuationSeparator" w:id="0">
    <w:p w14:paraId="7E9F3C70" w14:textId="77777777" w:rsidR="00BE4DD9" w:rsidRDefault="00BE4D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7356975">
    <w:abstractNumId w:val="0"/>
  </w:num>
  <w:num w:numId="2" w16cid:durableId="2087267872">
    <w:abstractNumId w:val="5"/>
  </w:num>
  <w:num w:numId="3" w16cid:durableId="1800418508">
    <w:abstractNumId w:val="8"/>
  </w:num>
  <w:num w:numId="4" w16cid:durableId="1624113319">
    <w:abstractNumId w:val="2"/>
  </w:num>
  <w:num w:numId="5" w16cid:durableId="768962173">
    <w:abstractNumId w:val="7"/>
  </w:num>
  <w:num w:numId="6" w16cid:durableId="1365331462">
    <w:abstractNumId w:val="10"/>
  </w:num>
  <w:num w:numId="7" w16cid:durableId="545142946">
    <w:abstractNumId w:val="11"/>
  </w:num>
  <w:num w:numId="8" w16cid:durableId="1398438224">
    <w:abstractNumId w:val="7"/>
  </w:num>
  <w:num w:numId="9" w16cid:durableId="104351138">
    <w:abstractNumId w:val="12"/>
  </w:num>
  <w:num w:numId="10" w16cid:durableId="1887182316">
    <w:abstractNumId w:val="6"/>
  </w:num>
  <w:num w:numId="11" w16cid:durableId="866020083">
    <w:abstractNumId w:val="9"/>
  </w:num>
  <w:num w:numId="12" w16cid:durableId="161430910">
    <w:abstractNumId w:val="4"/>
  </w:num>
  <w:num w:numId="13" w16cid:durableId="1820996955">
    <w:abstractNumId w:val="1"/>
  </w:num>
  <w:num w:numId="14" w16cid:durableId="38603173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oNotDisplayPageBoundaries/>
  <w:bordersDoNotSurroundHeader/>
  <w:bordersDoNotSurroundFooter/>
  <w:hideSpellingErrors/>
  <w:hideGrammatical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95E2295C-DE0F-4B24-A5F7-27A1E43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326.zip" TargetMode="External"/><Relationship Id="rId18" Type="http://schemas.openxmlformats.org/officeDocument/2006/relationships/hyperlink" Target="https://www.3gpp.org/ftp/tsg_ran/WG2_RL2/TSGR2_121bis-e/Docs/R2-2303326.zip" TargetMode="External"/><Relationship Id="rId26" Type="http://schemas.openxmlformats.org/officeDocument/2006/relationships/hyperlink" Target="https://www.3gpp.org/ftp/tsg_ran/WG2_RL2/TSGR2_121bis-e/Docs/R2-230372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798.zip" TargetMode="External"/><Relationship Id="rId17" Type="http://schemas.openxmlformats.org/officeDocument/2006/relationships/hyperlink" Target="https://www.3gpp.org/ftp/tsg_ran/WG2_RL2/TSGR2_121bis-e/Docs/R2-2302798.zip" TargetMode="External"/><Relationship Id="rId25" Type="http://schemas.openxmlformats.org/officeDocument/2006/relationships/hyperlink" Target="https://www.3gpp.org/ftp/tsg_ran/WG2_RL2/TSGR2_121bis-e/Docs/R2-23025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997.zip" TargetMode="External"/><Relationship Id="rId20" Type="http://schemas.openxmlformats.org/officeDocument/2006/relationships/hyperlink" Target="https://www.3gpp.org/ftp/tsg_ran/WG2_RL2/TSGR2_121bis-e/Docs/R2-2302536.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1bis-e/Docs/R2-2302536.zip" TargetMode="External"/><Relationship Id="rId24" Type="http://schemas.openxmlformats.org/officeDocument/2006/relationships/hyperlink" Target="https://www.3gpp.org/ftp/tsg_ran/WG2_RL2/TSGR2_121bis-e/Docs/R2-2303997.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3834.zip" TargetMode="External"/><Relationship Id="rId23" Type="http://schemas.openxmlformats.org/officeDocument/2006/relationships/hyperlink" Target="https://www.3gpp.org/ftp/tsg_ran/WG2_RL2/TSGR2_121bis-e/Docs/R2-2303834.zip" TargetMode="External"/><Relationship Id="rId28" Type="http://schemas.openxmlformats.org/officeDocument/2006/relationships/hyperlink" Target="https://www.3gpp.org/ftp/tsg_ran/WG2_RL2/TSGR2_121bis-e/Docs/R2-2303727.zip" TargetMode="External"/><Relationship Id="rId10" Type="http://schemas.openxmlformats.org/officeDocument/2006/relationships/image" Target="media/image1.png"/><Relationship Id="rId19" Type="http://schemas.openxmlformats.org/officeDocument/2006/relationships/hyperlink" Target="https://www.3gpp.org/ftp/tsg_ran/WG2_RL2/TSGR2_121bis-e/Docs/R2-2303997.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727.zip" TargetMode="External"/><Relationship Id="rId22" Type="http://schemas.openxmlformats.org/officeDocument/2006/relationships/hyperlink" Target="https://www.3gpp.org/ftp/tsg_ran/WG2_RL2/TSGR2_121bis-e/Docs/R2-2303727.zip" TargetMode="External"/><Relationship Id="rId27" Type="http://schemas.openxmlformats.org/officeDocument/2006/relationships/hyperlink" Target="https://www.3gpp.org/ftp/tsg_ran/WG2_RL2/TSGR2_121bis-e/Docs/R2-2302536.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3317</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Apple - Fangli</cp:lastModifiedBy>
  <cp:revision>5</cp:revision>
  <dcterms:created xsi:type="dcterms:W3CDTF">2023-04-20T07:50:00Z</dcterms:created>
  <dcterms:modified xsi:type="dcterms:W3CDTF">2023-04-20T11:43:00Z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ies>
</file>