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A17695">
            <w:pPr>
              <w:spacing w:line="276" w:lineRule="auto"/>
              <w:rPr>
                <w:rFonts w:eastAsiaTheme="minorEastAsia"/>
                <w:lang w:val="en-US" w:eastAsia="zh-CN"/>
              </w:rPr>
            </w:pPr>
            <w:hyperlink r:id="rId12" w:history="1">
              <w:r w:rsidR="00454FF7" w:rsidRPr="00485843">
                <w:rPr>
                  <w:rStyle w:val="aff1"/>
                  <w:rFonts w:eastAsiaTheme="minorEastAsia" w:hint="eastAsia"/>
                  <w:lang w:val="en-US" w:eastAsia="zh-CN"/>
                </w:rPr>
                <w:t>l</w:t>
              </w:r>
              <w:r w:rsidR="00454FF7" w:rsidRPr="00485843">
                <w:rPr>
                  <w:rStyle w:val="aff1"/>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A17695" w:rsidP="00B11C70">
            <w:pPr>
              <w:spacing w:line="276" w:lineRule="auto"/>
              <w:rPr>
                <w:rFonts w:eastAsiaTheme="minorEastAsia"/>
                <w:lang w:eastAsia="zh-CN"/>
              </w:rPr>
            </w:pPr>
            <w:hyperlink r:id="rId13" w:history="1">
              <w:r w:rsidR="00B35022" w:rsidRPr="00172B89">
                <w:rPr>
                  <w:rStyle w:val="aff1"/>
                  <w:rFonts w:eastAsiaTheme="minorEastAsia" w:hint="eastAsia"/>
                  <w:lang w:eastAsia="zh-CN"/>
                </w:rPr>
                <w:t>z</w:t>
              </w:r>
              <w:r w:rsidR="00B35022" w:rsidRPr="00172B89">
                <w:rPr>
                  <w:rStyle w:val="aff1"/>
                  <w:rFonts w:eastAsiaTheme="minorEastAsia"/>
                  <w:lang w:eastAsia="zh-CN"/>
                </w:rPr>
                <w:t>hangbufang</w:t>
              </w:r>
              <w:r w:rsidR="00B35022" w:rsidRPr="00172B89">
                <w:rPr>
                  <w:rStyle w:val="aff1"/>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新細明體" w:hint="eastAsia"/>
                <w:lang w:eastAsia="zh-TW"/>
              </w:rPr>
            </w:pPr>
            <w:r>
              <w:rPr>
                <w:rFonts w:eastAsia="新細明體" w:hint="eastAsia"/>
                <w:lang w:eastAsia="zh-TW"/>
              </w:rPr>
              <w:t>M</w:t>
            </w:r>
            <w:r>
              <w:rPr>
                <w:rFonts w:eastAsia="新細明體"/>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新細明體" w:hint="eastAsia"/>
                <w:lang w:eastAsia="zh-TW"/>
              </w:rPr>
            </w:pPr>
            <w:r>
              <w:rPr>
                <w:rFonts w:eastAsia="新細明體"/>
                <w:lang w:eastAsia="zh-TW"/>
              </w:rPr>
              <w:t>morton.lin@mediatek.com</w:t>
            </w:r>
          </w:p>
        </w:tc>
      </w:tr>
    </w:tbl>
    <w:p w14:paraId="568F9911" w14:textId="77777777" w:rsidR="006D3274" w:rsidRDefault="004B34C8">
      <w:pPr>
        <w:pStyle w:val="1"/>
        <w:numPr>
          <w:ilvl w:val="0"/>
          <w:numId w:val="14"/>
        </w:numPr>
      </w:pPr>
      <w:r>
        <w:lastRenderedPageBreak/>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A17695">
      <w:pPr>
        <w:pStyle w:val="Doc-title"/>
      </w:pPr>
      <w:hyperlink r:id="rId14" w:tooltip="C:Usersmtk65284Documents3GPPtsg_ranWG2_RL2TSGR2_121bis-eDocsR2-2302437.zip" w:history="1">
        <w:r w:rsidR="004B34C8">
          <w:rPr>
            <w:rStyle w:val="aff1"/>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09E03FE7" w14:textId="77777777" w:rsidR="006D3274" w:rsidRDefault="004B34C8">
      <w:pPr>
        <w:pStyle w:val="Doc-comment"/>
      </w:pPr>
      <w:r>
        <w:t>RAN2 is CCed.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an proposed to be noted immediately for that RAN2 is CCed.</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c"/>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新細明體" w:hAnsi="Arial" w:cs="Arial" w:hint="eastAsia"/>
                <w:lang w:eastAsia="zh-TW"/>
              </w:rPr>
            </w:pPr>
            <w:r>
              <w:rPr>
                <w:rFonts w:ascii="Arial" w:eastAsia="新細明體"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A17695">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c"/>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A17695">
            <w:pPr>
              <w:pStyle w:val="af9"/>
              <w:tabs>
                <w:tab w:val="right" w:leader="dot" w:pos="9629"/>
              </w:tabs>
              <w:rPr>
                <w:rFonts w:asciiTheme="minorHAnsi" w:eastAsiaTheme="minorEastAsia" w:hAnsiTheme="minorHAnsi" w:cstheme="minorBidi"/>
                <w:b w:val="0"/>
                <w:sz w:val="18"/>
                <w:szCs w:val="18"/>
              </w:rPr>
            </w:pPr>
            <w:hyperlink w:anchor="_Toc131702722" w:history="1">
              <w:r w:rsidR="004B34C8">
                <w:rPr>
                  <w:rStyle w:val="aff1"/>
                  <w:b w:val="0"/>
                  <w:sz w:val="18"/>
                  <w:szCs w:val="18"/>
                </w:rPr>
                <w:t>Proposal 1</w:t>
              </w:r>
              <w:r w:rsidR="004B34C8">
                <w:rPr>
                  <w:rFonts w:asciiTheme="minorHAnsi" w:eastAsiaTheme="minorEastAsia" w:hAnsiTheme="minorHAnsi" w:cstheme="minorBidi"/>
                  <w:b w:val="0"/>
                  <w:sz w:val="18"/>
                  <w:szCs w:val="18"/>
                </w:rPr>
                <w:tab/>
              </w:r>
              <w:r w:rsidR="004B34C8">
                <w:rPr>
                  <w:rStyle w:val="aff1"/>
                  <w:b w:val="0"/>
                  <w:sz w:val="18"/>
                  <w:szCs w:val="18"/>
                </w:rPr>
                <w:t xml:space="preserve">RAN2 to confirm the following behaviour for the parameters </w:t>
              </w:r>
              <w:r w:rsidR="004B34C8">
                <w:rPr>
                  <w:rStyle w:val="aff1"/>
                  <w:b w:val="0"/>
                  <w:i/>
                  <w:iCs/>
                  <w:sz w:val="18"/>
                  <w:szCs w:val="18"/>
                </w:rPr>
                <w:t>txSwitchImpactToRx</w:t>
              </w:r>
              <w:r w:rsidR="004B34C8">
                <w:rPr>
                  <w:rStyle w:val="aff1"/>
                  <w:b w:val="0"/>
                  <w:sz w:val="18"/>
                  <w:szCs w:val="18"/>
                </w:rPr>
                <w:t xml:space="preserve"> and </w:t>
              </w:r>
              <w:r w:rsidR="004B34C8">
                <w:rPr>
                  <w:rStyle w:val="aff1"/>
                  <w:b w:val="0"/>
                  <w:i/>
                  <w:iCs/>
                  <w:sz w:val="18"/>
                  <w:szCs w:val="18"/>
                </w:rPr>
                <w:t>txSwitchWithAnotherBand</w:t>
              </w:r>
              <w:r w:rsidR="004B34C8">
                <w:rPr>
                  <w:rStyle w:val="aff1"/>
                  <w:b w:val="0"/>
                  <w:sz w:val="18"/>
                  <w:szCs w:val="18"/>
                </w:rPr>
                <w:t xml:space="preserve"> in </w:t>
              </w:r>
              <w:r w:rsidR="004B34C8">
                <w:rPr>
                  <w:rStyle w:val="aff1"/>
                  <w:b w:val="0"/>
                  <w:i/>
                  <w:iCs/>
                  <w:sz w:val="18"/>
                  <w:szCs w:val="18"/>
                </w:rPr>
                <w:t>srs-TxSwitch</w:t>
              </w:r>
              <w:r w:rsidR="004B34C8">
                <w:rPr>
                  <w:rStyle w:val="aff1"/>
                  <w:b w:val="0"/>
                  <w:sz w:val="18"/>
                  <w:szCs w:val="18"/>
                </w:rPr>
                <w:t>:</w:t>
              </w:r>
            </w:hyperlink>
          </w:p>
          <w:p w14:paraId="60F589BC" w14:textId="77777777" w:rsidR="006D3274" w:rsidRDefault="00A17695">
            <w:pPr>
              <w:pStyle w:val="af9"/>
              <w:tabs>
                <w:tab w:val="right" w:leader="dot" w:pos="9629"/>
              </w:tabs>
              <w:rPr>
                <w:rFonts w:asciiTheme="minorHAnsi" w:eastAsiaTheme="minorEastAsia" w:hAnsiTheme="minorHAnsi" w:cstheme="minorBidi"/>
                <w:b w:val="0"/>
                <w:sz w:val="18"/>
                <w:szCs w:val="18"/>
              </w:rPr>
            </w:pPr>
            <w:hyperlink w:anchor="_Toc131702723" w:history="1">
              <w:r w:rsidR="004B34C8">
                <w:rPr>
                  <w:rStyle w:val="aff1"/>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f1"/>
                  <w:b w:val="0"/>
                  <w:i/>
                  <w:sz w:val="18"/>
                  <w:szCs w:val="18"/>
                </w:rPr>
                <w:t>txSwitchWithAnotherBand</w:t>
              </w:r>
              <w:r w:rsidR="004B34C8">
                <w:rPr>
                  <w:rStyle w:val="aff1"/>
                  <w:b w:val="0"/>
                  <w:sz w:val="18"/>
                  <w:szCs w:val="18"/>
                </w:rPr>
                <w:t xml:space="preserve">. The first-listed band entry number in the group shall be used as identifier for the group. An UL group with only one band entry is not signaled in </w:t>
              </w:r>
              <w:r w:rsidR="004B34C8">
                <w:rPr>
                  <w:rStyle w:val="aff1"/>
                  <w:b w:val="0"/>
                  <w:i/>
                  <w:sz w:val="18"/>
                  <w:szCs w:val="18"/>
                </w:rPr>
                <w:t>txSwitchWithAnotherBand</w:t>
              </w:r>
              <w:r w:rsidR="004B34C8">
                <w:rPr>
                  <w:rStyle w:val="aff1"/>
                  <w:b w:val="0"/>
                  <w:sz w:val="18"/>
                  <w:szCs w:val="18"/>
                </w:rPr>
                <w:t>.</w:t>
              </w:r>
            </w:hyperlink>
          </w:p>
          <w:p w14:paraId="46B1D5DA" w14:textId="77777777" w:rsidR="006D3274" w:rsidRDefault="00A17695">
            <w:pPr>
              <w:pStyle w:val="af9"/>
              <w:tabs>
                <w:tab w:val="right" w:leader="dot" w:pos="9629"/>
              </w:tabs>
              <w:rPr>
                <w:rFonts w:asciiTheme="minorHAnsi" w:eastAsiaTheme="minorEastAsia" w:hAnsiTheme="minorHAnsi" w:cstheme="minorBidi"/>
                <w:b w:val="0"/>
                <w:sz w:val="18"/>
                <w:szCs w:val="18"/>
              </w:rPr>
            </w:pPr>
            <w:hyperlink w:anchor="_Toc131702724" w:history="1">
              <w:r w:rsidR="004B34C8">
                <w:rPr>
                  <w:rStyle w:val="aff1"/>
                  <w:b w:val="0"/>
                  <w:sz w:val="18"/>
                  <w:szCs w:val="18"/>
                </w:rPr>
                <w:t xml:space="preserve">For bands where the DL is impacted by an UL group with a single band entry, </w:t>
              </w:r>
              <w:r w:rsidR="004B34C8">
                <w:rPr>
                  <w:rStyle w:val="aff1"/>
                  <w:b w:val="0"/>
                  <w:i/>
                  <w:sz w:val="18"/>
                  <w:szCs w:val="18"/>
                </w:rPr>
                <w:t>txSwitchImpactToRx</w:t>
              </w:r>
              <w:r w:rsidR="004B34C8">
                <w:rPr>
                  <w:rStyle w:val="aff1"/>
                  <w:b w:val="0"/>
                  <w:sz w:val="18"/>
                  <w:szCs w:val="18"/>
                </w:rPr>
                <w:t xml:space="preserve"> shall indicate the band entry number of that UL band. For bands where the DL is impacted by an UL group with more than one band entry, </w:t>
              </w:r>
              <w:r w:rsidR="004B34C8">
                <w:rPr>
                  <w:rStyle w:val="aff1"/>
                  <w:b w:val="0"/>
                  <w:i/>
                  <w:sz w:val="18"/>
                  <w:szCs w:val="18"/>
                </w:rPr>
                <w:t>txSwitchImpactToRx</w:t>
              </w:r>
              <w:r w:rsidR="004B34C8">
                <w:rPr>
                  <w:rStyle w:val="aff1"/>
                  <w:b w:val="0"/>
                  <w:sz w:val="18"/>
                  <w:szCs w:val="18"/>
                </w:rPr>
                <w:t xml:space="preserve"> shall point to the UL group using the group identifier number (as defined by </w:t>
              </w:r>
              <w:r w:rsidR="004B34C8">
                <w:rPr>
                  <w:rStyle w:val="aff1"/>
                  <w:b w:val="0"/>
                  <w:i/>
                  <w:sz w:val="18"/>
                  <w:szCs w:val="18"/>
                </w:rPr>
                <w:t>txSwitchWithAnotherBand</w:t>
              </w:r>
              <w:r w:rsidR="004B34C8">
                <w:rPr>
                  <w:rStyle w:val="aff1"/>
                  <w:b w:val="0"/>
                  <w:sz w:val="18"/>
                  <w:szCs w:val="18"/>
                </w:rPr>
                <w:t>).</w:t>
              </w:r>
            </w:hyperlink>
          </w:p>
          <w:p w14:paraId="2F65DCE5" w14:textId="77777777" w:rsidR="006D3274" w:rsidRDefault="00A17695">
            <w:pPr>
              <w:pStyle w:val="af9"/>
              <w:tabs>
                <w:tab w:val="right" w:leader="dot" w:pos="9629"/>
              </w:tabs>
              <w:rPr>
                <w:rFonts w:asciiTheme="minorHAnsi" w:eastAsiaTheme="minorEastAsia" w:hAnsiTheme="minorHAnsi" w:cstheme="minorBidi"/>
                <w:b w:val="0"/>
                <w:sz w:val="18"/>
                <w:szCs w:val="18"/>
              </w:rPr>
            </w:pPr>
            <w:hyperlink w:anchor="_Toc131702725" w:history="1">
              <w:r w:rsidR="004B34C8">
                <w:rPr>
                  <w:rStyle w:val="aff1"/>
                  <w:b w:val="0"/>
                  <w:sz w:val="18"/>
                  <w:szCs w:val="18"/>
                </w:rPr>
                <w:t>Proposal 2</w:t>
              </w:r>
              <w:r w:rsidR="004B34C8">
                <w:rPr>
                  <w:rFonts w:asciiTheme="minorHAnsi" w:eastAsiaTheme="minorEastAsia" w:hAnsiTheme="minorHAnsi" w:cstheme="minorBidi"/>
                  <w:b w:val="0"/>
                  <w:sz w:val="18"/>
                  <w:szCs w:val="18"/>
                </w:rPr>
                <w:tab/>
              </w:r>
              <w:r w:rsidR="004B34C8">
                <w:rPr>
                  <w:rStyle w:val="aff1"/>
                  <w:b w:val="0"/>
                  <w:sz w:val="18"/>
                  <w:szCs w:val="18"/>
                </w:rPr>
                <w:t xml:space="preserve">The behaviour of </w:t>
              </w:r>
              <w:r w:rsidR="004B34C8">
                <w:rPr>
                  <w:rStyle w:val="aff1"/>
                  <w:b w:val="0"/>
                  <w:i/>
                  <w:sz w:val="18"/>
                  <w:szCs w:val="18"/>
                </w:rPr>
                <w:t>txSwitchImpactToRx</w:t>
              </w:r>
              <w:r w:rsidR="004B34C8">
                <w:rPr>
                  <w:rStyle w:val="aff1"/>
                  <w:b w:val="0"/>
                  <w:sz w:val="18"/>
                  <w:szCs w:val="18"/>
                </w:rPr>
                <w:t xml:space="preserve"> and </w:t>
              </w:r>
              <w:r w:rsidR="004B34C8">
                <w:rPr>
                  <w:rStyle w:val="aff1"/>
                  <w:b w:val="0"/>
                  <w:i/>
                  <w:sz w:val="18"/>
                  <w:szCs w:val="18"/>
                </w:rPr>
                <w:t>txSwitchWithAnotherBand</w:t>
              </w:r>
              <w:r w:rsidR="004B34C8">
                <w:rPr>
                  <w:rStyle w:val="aff1"/>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c"/>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txSwitchImpactToRx, we would like to further confirm the understanding is the impact to DL band is brought by the srs tx switching behavior of the UL band with srs-TxSwitch capability, because the </w:t>
            </w:r>
            <w:r w:rsidRPr="00C40E31">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may point to a first-listed UL band without srs tx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r w:rsidRPr="0026592B">
              <w:rPr>
                <w:rFonts w:ascii="Arial" w:eastAsiaTheme="minorEastAsia" w:hAnsi="Arial" w:cs="Arial"/>
                <w:color w:val="000000" w:themeColor="text1"/>
                <w:lang w:val="en-US" w:eastAsia="zh-CN" w:bidi="ar"/>
              </w:rPr>
              <w:t>txSwitchImpactToRx</w:t>
            </w:r>
            <w:r>
              <w:rPr>
                <w:rFonts w:ascii="Arial" w:eastAsiaTheme="minorEastAsia" w:hAnsi="Arial" w:cs="Arial"/>
                <w:color w:val="000000" w:themeColor="text1"/>
                <w:lang w:val="en-US" w:eastAsia="zh-CN" w:bidi="ar"/>
              </w:rPr>
              <w:t xml:space="preserve"> is set as “-” under band B is because band A doesn’t support SRS switch, then why should </w:t>
            </w:r>
            <w:r w:rsidRPr="0026592B">
              <w:rPr>
                <w:rFonts w:ascii="Arial" w:eastAsiaTheme="minorEastAsia" w:hAnsi="Arial" w:cs="Arial"/>
                <w:color w:val="000000" w:themeColor="text1"/>
                <w:lang w:val="en-US" w:eastAsia="zh-CN" w:bidi="ar"/>
              </w:rPr>
              <w:t>txSwitchWithAnotherBand</w:t>
            </w:r>
            <w:r>
              <w:rPr>
                <w:rFonts w:ascii="Arial" w:eastAsiaTheme="minorEastAsia" w:hAnsi="Arial" w:cs="Arial"/>
                <w:color w:val="000000" w:themeColor="text1"/>
                <w:lang w:val="en-US" w:eastAsia="zh-CN" w:bidi="ar"/>
              </w:rPr>
              <w:t xml:space="preserve"> of band B is “1” ?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07120F02" w14:textId="5B34E82D"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2B2496BC" w14:textId="787067F5" w:rsidR="00ED1D60" w:rsidRP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新細明體" w:hAnsi="Arial" w:cs="Arial" w:hint="eastAsia"/>
                <w:lang w:eastAsia="zh-TW"/>
              </w:rPr>
            </w:pPr>
            <w:r>
              <w:rPr>
                <w:rFonts w:ascii="Arial" w:eastAsia="新細明體"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 with comments</w:t>
            </w:r>
          </w:p>
        </w:tc>
        <w:tc>
          <w:tcPr>
            <w:tcW w:w="5982" w:type="dxa"/>
          </w:tcPr>
          <w:p w14:paraId="6CABED4A" w14:textId="51A8964C" w:rsidR="00F64AF4" w:rsidRDefault="00F64AF4" w:rsidP="00C47A8A">
            <w:pPr>
              <w:jc w:val="both"/>
              <w:rPr>
                <w:rFonts w:ascii="Arial" w:eastAsia="新細明體" w:hAnsi="Arial" w:cs="Arial"/>
                <w:lang w:val="en-US" w:eastAsia="zh-TW"/>
              </w:rPr>
            </w:pPr>
            <w:r>
              <w:rPr>
                <w:rFonts w:ascii="Arial" w:eastAsia="新細明體" w:hAnsi="Arial" w:cs="Arial"/>
                <w:lang w:val="en-US" w:eastAsia="zh-TW"/>
              </w:rPr>
              <w:t>In our understanding, f</w:t>
            </w:r>
            <w:r w:rsidRPr="00F64AF4">
              <w:rPr>
                <w:rFonts w:ascii="Arial" w:eastAsia="新細明體" w:hAnsi="Arial" w:cs="Arial"/>
                <w:lang w:val="en-US" w:eastAsia="zh-TW"/>
              </w:rPr>
              <w:t xml:space="preserve">or the </w:t>
            </w:r>
            <w:r w:rsidRPr="00F64AF4">
              <w:rPr>
                <w:rFonts w:ascii="Arial" w:hAnsi="Arial" w:cs="Arial"/>
                <w:i/>
                <w:iCs/>
                <w:lang w:val="en-US" w:eastAsia="zh-CN"/>
              </w:rPr>
              <w:t>txSwitchImpactToRx</w:t>
            </w:r>
            <w:r w:rsidRPr="00F64AF4">
              <w:rPr>
                <w:rFonts w:ascii="Arial" w:eastAsia="新細明體" w:hAnsi="Arial" w:cs="Arial"/>
                <w:lang w:val="en-US" w:eastAsia="zh-TW"/>
              </w:rPr>
              <w:t>,</w:t>
            </w:r>
            <w:r>
              <w:rPr>
                <w:rFonts w:ascii="Arial" w:eastAsia="新細明體" w:hAnsi="Arial" w:cs="Arial"/>
                <w:lang w:val="en-US" w:eastAsia="zh-TW"/>
              </w:rPr>
              <w:t xml:space="preserve"> the UE needs to indicate the entry number of aggressor band. However, the case when the aggressor band belongs to a certain “switch group” is not clearly specified.</w:t>
            </w:r>
          </w:p>
          <w:p w14:paraId="3E1F5CEB" w14:textId="5FE2F54C" w:rsidR="00F64AF4" w:rsidRPr="00F64AF4" w:rsidRDefault="00F64AF4" w:rsidP="00F64AF4">
            <w:pPr>
              <w:jc w:val="both"/>
              <w:rPr>
                <w:rFonts w:ascii="Arial" w:eastAsia="新細明體" w:hAnsi="Arial" w:cs="Arial" w:hint="eastAsia"/>
                <w:lang w:val="en-US" w:eastAsia="zh-TW"/>
              </w:rPr>
            </w:pPr>
            <w:r>
              <w:rPr>
                <w:rFonts w:ascii="Arial" w:eastAsia="新細明體" w:hAnsi="Arial" w:cs="Arial" w:hint="eastAsia"/>
                <w:lang w:val="en-US" w:eastAsia="zh-TW"/>
              </w:rPr>
              <w:t>W</w:t>
            </w:r>
            <w:r>
              <w:rPr>
                <w:rFonts w:ascii="Arial" w:eastAsia="新細明體" w:hAnsi="Arial" w:cs="Arial"/>
                <w:lang w:val="en-US" w:eastAsia="zh-TW"/>
              </w:rPr>
              <w:t>e think the proponent’s understanding is like how the UE reports SRS Tx switching capabilities in LTE and we support such clarification if it is majority consensus.</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lastRenderedPageBreak/>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c"/>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HiSlicon</w:t>
            </w:r>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新細明體" w:hAnsi="Arial" w:cs="Arial" w:hint="eastAsia"/>
                <w:lang w:eastAsia="zh-TW"/>
              </w:rPr>
            </w:pPr>
            <w:r w:rsidRPr="00F64AF4">
              <w:rPr>
                <w:rFonts w:ascii="Arial" w:eastAsia="新細明體" w:hAnsi="Arial" w:cs="Arial" w:hint="eastAsia"/>
                <w:lang w:eastAsia="zh-TW"/>
              </w:rPr>
              <w:t>M</w:t>
            </w:r>
            <w:r w:rsidRPr="00F64AF4">
              <w:rPr>
                <w:rFonts w:ascii="Arial" w:eastAsia="新細明體"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新細明體" w:hAnsi="Arial" w:cs="Arial" w:hint="eastAsia"/>
                <w:lang w:eastAsia="zh-TW"/>
              </w:rPr>
            </w:pPr>
            <w:r w:rsidRPr="00F64AF4">
              <w:rPr>
                <w:rFonts w:ascii="Arial" w:eastAsia="新細明體" w:hAnsi="Arial" w:cs="Arial" w:hint="eastAsia"/>
                <w:lang w:eastAsia="zh-TW"/>
              </w:rPr>
              <w:t>Y</w:t>
            </w:r>
            <w:r w:rsidRPr="00F64AF4">
              <w:rPr>
                <w:rFonts w:ascii="Arial" w:eastAsia="新細明體"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新細明體" w:hAnsi="Arial" w:cs="Arial" w:hint="eastAsia"/>
                <w:sz w:val="22"/>
                <w:szCs w:val="22"/>
                <w:lang w:eastAsia="zh-TW"/>
              </w:rPr>
            </w:pPr>
            <w:r>
              <w:rPr>
                <w:rStyle w:val="normaltextrun"/>
                <w:rFonts w:ascii="Arial" w:eastAsia="新細明體" w:hAnsi="Arial" w:cs="Arial" w:hint="eastAsia"/>
                <w:sz w:val="22"/>
                <w:szCs w:val="22"/>
                <w:lang w:eastAsia="zh-TW"/>
              </w:rPr>
              <w:t>W</w:t>
            </w:r>
            <w:r>
              <w:rPr>
                <w:rStyle w:val="normaltextrun"/>
                <w:rFonts w:ascii="Arial" w:eastAsia="新細明體"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新細明體" w:hAnsi="Arial" w:cs="Arial"/>
                <w:sz w:val="22"/>
                <w:szCs w:val="22"/>
                <w:lang w:eastAsia="zh-TW"/>
              </w:rPr>
            </w:pPr>
            <w:r>
              <w:rPr>
                <w:rStyle w:val="normaltextrun"/>
                <w:rFonts w:ascii="Arial" w:eastAsia="新細明體" w:hAnsi="Arial" w:cs="Arial"/>
                <w:sz w:val="22"/>
                <w:szCs w:val="22"/>
              </w:rPr>
              <w:t>W</w:t>
            </w:r>
            <w:r w:rsidR="00F64AF4" w:rsidRPr="00F64AF4">
              <w:rPr>
                <w:rStyle w:val="normaltextrun"/>
                <w:rFonts w:ascii="Arial" w:eastAsia="新細明體" w:hAnsi="Arial" w:cs="Arial"/>
                <w:sz w:val="22"/>
                <w:szCs w:val="22"/>
              </w:rPr>
              <w:t xml:space="preserve">e think </w:t>
            </w:r>
            <w:r w:rsidR="00F64AF4">
              <w:rPr>
                <w:rStyle w:val="normaltextrun"/>
                <w:rFonts w:ascii="Arial" w:eastAsia="新細明體"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新細明體"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signaled in </w:t>
            </w:r>
            <w:r w:rsidRPr="00F64AF4">
              <w:rPr>
                <w:rFonts w:ascii="Arial" w:hAnsi="Arial" w:cs="Arial"/>
                <w:b/>
                <w:bCs/>
                <w:i/>
                <w:iCs/>
                <w:sz w:val="22"/>
                <w:szCs w:val="22"/>
                <w:shd w:val="clear" w:color="auto" w:fill="00B0F0"/>
              </w:rPr>
              <w:t>txSwitchWithAnotherBand</w:t>
            </w:r>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新細明體" w:hAnsi="Arial" w:cs="Arial"/>
                <w:sz w:val="22"/>
                <w:szCs w:val="22"/>
                <w:lang w:eastAsia="zh-TW"/>
              </w:rPr>
            </w:pPr>
            <w:r w:rsidRPr="00F64AF4">
              <w:rPr>
                <w:rFonts w:ascii="Arial" w:hAnsi="Arial" w:cs="Arial"/>
                <w:b/>
                <w:bCs/>
                <w:sz w:val="22"/>
                <w:szCs w:val="22"/>
                <w:highlight w:val="magenta"/>
              </w:rPr>
              <w:t xml:space="preserve">For bands where the DL is impacted by an UL group with more than one band entry, </w:t>
            </w:r>
            <w:r w:rsidRPr="00F64AF4">
              <w:rPr>
                <w:rFonts w:ascii="Arial" w:hAnsi="Arial" w:cs="Arial"/>
                <w:b/>
                <w:bCs/>
                <w:i/>
                <w:iCs/>
                <w:sz w:val="22"/>
                <w:szCs w:val="22"/>
                <w:highlight w:val="magenta"/>
              </w:rPr>
              <w:t>txSwitchImpactToRx</w:t>
            </w:r>
            <w:r w:rsidRPr="00F64AF4">
              <w:rPr>
                <w:rFonts w:ascii="Arial" w:hAnsi="Arial" w:cs="Arial"/>
                <w:b/>
                <w:bCs/>
                <w:sz w:val="22"/>
                <w:szCs w:val="22"/>
                <w:highlight w:val="magenta"/>
              </w:rPr>
              <w:t xml:space="preserve"> shall point to the UL group using the group identifier number (as defined by </w:t>
            </w:r>
            <w:r w:rsidRPr="00F64AF4">
              <w:rPr>
                <w:rFonts w:ascii="Arial" w:hAnsi="Arial" w:cs="Arial"/>
                <w:b/>
                <w:bCs/>
                <w:i/>
                <w:iCs/>
                <w:sz w:val="22"/>
                <w:szCs w:val="22"/>
                <w:highlight w:val="magenta"/>
              </w:rPr>
              <w:t>txSwitchWithAnotherBand</w:t>
            </w:r>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新細明體" w:hAnsi="Arial" w:cs="Arial"/>
                <w:sz w:val="22"/>
                <w:szCs w:val="22"/>
                <w:lang w:eastAsia="zh-TW"/>
              </w:rPr>
            </w:pPr>
            <w:r>
              <w:rPr>
                <w:rStyle w:val="normaltextrun"/>
                <w:rFonts w:ascii="Arial" w:eastAsia="新細明體"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Fonts w:hint="eastAsia"/>
              </w:rPr>
            </w:pPr>
            <w:r>
              <w:rPr>
                <w:rFonts w:ascii="Arial" w:hAnsi="Arial" w:cs="Arial"/>
                <w:sz w:val="22"/>
                <w:szCs w:val="22"/>
              </w:rPr>
              <w:t>T</w:t>
            </w:r>
            <w:r w:rsidRPr="00F64AF4">
              <w:rPr>
                <w:rFonts w:ascii="Arial" w:hAnsi="Arial" w:cs="Arial"/>
                <w:sz w:val="22"/>
                <w:szCs w:val="22"/>
              </w:rPr>
              <w:t>here would be an additional restriction when scheduling UL of B and C but there is no such UE capability assumption, although the SRS Tx switching functionality still works.</w:t>
            </w:r>
            <w:r w:rsidRPr="00F64AF4">
              <w:rPr>
                <w:rFonts w:ascii="Arial" w:hAnsi="Arial" w:cs="Arial"/>
                <w:sz w:val="22"/>
                <w:szCs w:val="22"/>
              </w:rPr>
              <w:t xml:space="preserve">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lastRenderedPageBreak/>
        <w:t>Miscellaneous Correction on UE capability</w:t>
      </w:r>
    </w:p>
    <w:p w14:paraId="5194C33A" w14:textId="77777777" w:rsidR="006D3274" w:rsidRDefault="00A17695">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ZTE Corporation, Sanechips</w:t>
      </w:r>
      <w:r w:rsidR="004B34C8">
        <w:tab/>
        <w:t>CR</w:t>
      </w:r>
      <w:r w:rsidR="004B34C8">
        <w:tab/>
        <w:t>Rel-15</w:t>
      </w:r>
      <w:r w:rsidR="004B34C8">
        <w:tab/>
        <w:t>38.306</w:t>
      </w:r>
      <w:r w:rsidR="004B34C8">
        <w:tab/>
        <w:t>15.20.0</w:t>
      </w:r>
      <w:r w:rsidR="004B34C8">
        <w:tab/>
        <w:t>0895</w:t>
      </w:r>
      <w:r w:rsidR="004B34C8">
        <w:tab/>
        <w:t>-</w:t>
      </w:r>
      <w:r w:rsidR="004B34C8">
        <w:tab/>
        <w:t>F</w:t>
      </w:r>
      <w:r w:rsidR="004B34C8">
        <w:tab/>
        <w:t>NR_newRAT-Core</w:t>
      </w:r>
    </w:p>
    <w:p w14:paraId="53127B02" w14:textId="77777777" w:rsidR="006D3274" w:rsidRDefault="00A17695">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ZTE Corporation, Sanechips</w:t>
      </w:r>
      <w:r w:rsidR="004B34C8">
        <w:tab/>
        <w:t>CR</w:t>
      </w:r>
      <w:r w:rsidR="004B34C8">
        <w:tab/>
        <w:t>Rel-16</w:t>
      </w:r>
      <w:r w:rsidR="004B34C8">
        <w:tab/>
        <w:t>38.306</w:t>
      </w:r>
      <w:r w:rsidR="004B34C8">
        <w:tab/>
        <w:t>16.12.0</w:t>
      </w:r>
      <w:r w:rsidR="004B34C8">
        <w:tab/>
        <w:t>0896</w:t>
      </w:r>
      <w:r w:rsidR="004B34C8">
        <w:tab/>
        <w:t>-</w:t>
      </w:r>
      <w:r w:rsidR="004B34C8">
        <w:tab/>
        <w:t>A</w:t>
      </w:r>
      <w:r w:rsidR="004B34C8">
        <w:tab/>
        <w:t>NR_newRAT-Core</w:t>
      </w:r>
    </w:p>
    <w:p w14:paraId="0705EDFF" w14:textId="77777777" w:rsidR="006D3274" w:rsidRDefault="00A17695">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ZTE Corporation, Sanechips</w:t>
      </w:r>
      <w:r w:rsidR="004B34C8">
        <w:tab/>
        <w:t>CR</w:t>
      </w:r>
      <w:r w:rsidR="004B34C8">
        <w:tab/>
        <w:t>Rel-17</w:t>
      </w:r>
      <w:r w:rsidR="004B34C8">
        <w:tab/>
        <w:t>38.306</w:t>
      </w:r>
      <w:r w:rsidR="004B34C8">
        <w:tab/>
        <w:t>17.4.0</w:t>
      </w:r>
      <w:r w:rsidR="004B34C8">
        <w:tab/>
        <w:t>0897</w:t>
      </w:r>
      <w:r w:rsidR="004B34C8">
        <w:tab/>
        <w:t>-</w:t>
      </w:r>
      <w:r w:rsidR="004B34C8">
        <w:tab/>
        <w:t>A</w:t>
      </w:r>
      <w:r w:rsidR="004B34C8">
        <w:tab/>
        <w:t>NR_newRAT-Core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c"/>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pusch-TransCoherence</w:t>
            </w:r>
            <w:r>
              <w:rPr>
                <w:rFonts w:hint="eastAsia"/>
                <w:i/>
                <w:sz w:val="20"/>
                <w:lang w:val="en-US"/>
              </w:rPr>
              <w:t xml:space="preserve">) </w:t>
            </w:r>
            <w:r>
              <w:rPr>
                <w:rFonts w:cs="Arial" w:hint="eastAsia"/>
                <w:sz w:val="22"/>
                <w:lang w:val="en-US"/>
              </w:rPr>
              <w:t>only for the first sub-element (</w:t>
            </w:r>
            <w:r w:rsidRPr="00454FF7">
              <w:rPr>
                <w:color w:val="000000"/>
                <w:sz w:val="16"/>
                <w:szCs w:val="16"/>
                <w:lang w:val="en-US"/>
              </w:rPr>
              <w:t>maxNumberMIMO-LayersCB-PUSCH MIMO-LayersUL</w:t>
            </w:r>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r w:rsidRPr="00610E97">
              <w:rPr>
                <w:i/>
                <w:lang w:val="en-US"/>
              </w:rPr>
              <w:t>mimo-NonCB-PUSCH</w:t>
            </w:r>
            <w:r>
              <w:rPr>
                <w:i/>
                <w:lang w:val="en-US"/>
              </w:rPr>
              <w:t xml:space="preserve"> </w:t>
            </w:r>
            <w:r>
              <w:rPr>
                <w:lang w:val="en-US"/>
              </w:rPr>
              <w:t xml:space="preserve">covering </w:t>
            </w:r>
            <w:r w:rsidRPr="00610E97">
              <w:rPr>
                <w:i/>
                <w:lang w:val="en-US"/>
              </w:rPr>
              <w:t>maxNumberSRS-ResourcePerSet</w:t>
            </w:r>
            <w:r>
              <w:rPr>
                <w:i/>
                <w:lang w:val="en-US"/>
              </w:rPr>
              <w:t xml:space="preserve"> and </w:t>
            </w:r>
            <w:r w:rsidRPr="00610E97">
              <w:rPr>
                <w:i/>
                <w:lang w:val="en-US"/>
              </w:rPr>
              <w:t>maxNumberSimultaneousSRS-ResourceTx</w:t>
            </w:r>
            <w:r>
              <w:rPr>
                <w:lang w:val="en-US"/>
              </w:rPr>
              <w:t xml:space="preserve"> are referred in other two places. So I wondering whether we should put these two under </w:t>
            </w:r>
            <w:r w:rsidRPr="00610E97">
              <w:rPr>
                <w:i/>
                <w:lang w:val="en-US"/>
              </w:rPr>
              <w:t>mimo-NonCB-PUSCH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"mimo-NonCB-PUSCH"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"mimo-CB-PUSCH"?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新細明體" w:hAnsi="Arial" w:cs="Arial" w:hint="eastAsia"/>
                <w:lang w:eastAsia="zh-TW"/>
              </w:rPr>
            </w:pPr>
            <w:r w:rsidRPr="00F64AF4">
              <w:rPr>
                <w:rFonts w:ascii="Arial" w:eastAsia="新細明體" w:hAnsi="Arial" w:cs="Arial" w:hint="eastAsia"/>
                <w:lang w:eastAsia="zh-TW"/>
              </w:rPr>
              <w:lastRenderedPageBreak/>
              <w:t>M</w:t>
            </w:r>
            <w:r w:rsidRPr="00F64AF4">
              <w:rPr>
                <w:rFonts w:ascii="Arial" w:eastAsia="新細明體"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新細明體" w:hAnsi="Arial" w:cs="Arial" w:hint="eastAsia"/>
                <w:lang w:eastAsia="zh-TW"/>
              </w:rPr>
            </w:pPr>
            <w:r w:rsidRPr="00F64AF4">
              <w:rPr>
                <w:rFonts w:ascii="Arial" w:eastAsia="新細明體" w:hAnsi="Arial" w:cs="Arial" w:hint="eastAsia"/>
                <w:lang w:eastAsia="zh-TW"/>
              </w:rPr>
              <w:t>N</w:t>
            </w:r>
            <w:r w:rsidRPr="00F64AF4">
              <w:rPr>
                <w:rFonts w:ascii="Arial" w:eastAsia="新細明體"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新細明體"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新細明體" w:cs="Arial" w:hint="eastAsia"/>
                <w:sz w:val="22"/>
                <w:shd w:val="clear" w:color="auto" w:fill="FFFFFF"/>
                <w:lang w:val="en-US" w:eastAsia="zh-TW"/>
              </w:rPr>
            </w:pPr>
            <w:r w:rsidRPr="00F64AF4">
              <w:rPr>
                <w:rFonts w:cs="Arial"/>
                <w:sz w:val="22"/>
                <w:lang w:val="en-US"/>
              </w:rPr>
              <w:t xml:space="preserve">Based on the same reason in the coversheet, the IE </w:t>
            </w:r>
            <w:r w:rsidRPr="00F64AF4">
              <w:rPr>
                <w:rFonts w:cs="Arial"/>
                <w:i/>
                <w:iCs/>
                <w:sz w:val="22"/>
                <w:lang w:val="en-US"/>
              </w:rPr>
              <w:t>mimo-NonCB-PUSCH</w:t>
            </w:r>
            <w:r w:rsidRPr="00F64AF4">
              <w:rPr>
                <w:rFonts w:cs="Arial"/>
                <w:sz w:val="22"/>
                <w:lang w:val="en-US"/>
              </w:rPr>
              <w:t xml:space="preserve"> is also missed in TS 38.306, but proponent didn't capture the TP by the same way as they did for </w:t>
            </w:r>
            <w:r w:rsidRPr="00F64AF4">
              <w:rPr>
                <w:rFonts w:cs="Arial"/>
                <w:i/>
                <w:iCs/>
                <w:sz w:val="22"/>
                <w:lang w:val="en-US"/>
              </w:rPr>
              <w:t>mimo-CB-PUSCH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c"/>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r>
              <w:rPr>
                <w:rFonts w:ascii="Arial" w:hAnsi="Arial" w:cs="Arial"/>
                <w:i/>
                <w:lang w:val="en-US" w:eastAsia="zh-CN"/>
              </w:rPr>
              <w:t>rateMatchingResrcSetSemi-Static</w:t>
            </w:r>
            <w:r>
              <w:rPr>
                <w:rFonts w:ascii="Arial" w:hAnsi="Arial" w:cs="Arial"/>
                <w:lang w:val="en-US" w:eastAsia="zh-CN"/>
              </w:rPr>
              <w:t xml:space="preserve">  and the </w:t>
            </w:r>
            <w:r>
              <w:rPr>
                <w:rFonts w:ascii="Arial" w:hAnsi="Arial" w:cs="Arial"/>
                <w:i/>
                <w:lang w:val="en-US" w:eastAsia="zh-CN"/>
              </w:rPr>
              <w:t xml:space="preserve">rateMatchingResrcSetDynamic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r>
              <w:rPr>
                <w:rFonts w:ascii="Arial" w:hAnsi="Arial" w:cs="Arial"/>
                <w:i/>
                <w:lang w:val="en-US" w:eastAsia="zh-CN"/>
              </w:rPr>
              <w:t xml:space="preserve">rateMatchingResrcSetSemi-Static, rateMatchingResrcSetDynamic </w:t>
            </w:r>
            <w:r>
              <w:rPr>
                <w:rFonts w:ascii="Arial" w:hAnsi="Arial" w:cs="Arial"/>
                <w:lang w:val="en-US" w:eastAsia="zh-CN"/>
              </w:rPr>
              <w:t xml:space="preserve">and </w:t>
            </w:r>
            <w:r>
              <w:rPr>
                <w:rFonts w:ascii="Arial" w:hAnsi="Arial" w:cs="Arial"/>
                <w:color w:val="FF0000"/>
                <w:lang w:val="en-US" w:eastAsia="zh-CN"/>
              </w:rPr>
              <w:t xml:space="preserve">the </w:t>
            </w:r>
            <w:r>
              <w:rPr>
                <w:rFonts w:ascii="Arial" w:hAnsi="Arial" w:cs="Arial"/>
                <w:i/>
                <w:color w:val="FF0000"/>
                <w:lang w:val="en-US" w:eastAsia="zh-CN"/>
              </w:rPr>
              <w:t>rateMatchingCtrlResrcSetDynamic</w:t>
            </w:r>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 xml:space="preserve">Nokia, Nokia </w:t>
            </w:r>
            <w:r>
              <w:rPr>
                <w:rFonts w:ascii="Arial" w:hAnsi="Arial" w:cs="Arial"/>
                <w:sz w:val="20"/>
                <w:szCs w:val="20"/>
              </w:rPr>
              <w:lastRenderedPageBreak/>
              <w:t>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lastRenderedPageBreak/>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新細明體" w:hAnsi="Arial" w:cs="Arial" w:hint="eastAsia"/>
                <w:lang w:eastAsia="zh-TW"/>
              </w:rPr>
            </w:pPr>
            <w:r>
              <w:rPr>
                <w:rFonts w:ascii="Arial" w:eastAsia="新細明體"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新細明體" w:hAnsi="Arial" w:cs="Arial"/>
                <w:lang w:val="en-US" w:eastAsia="zh-TW"/>
              </w:rPr>
            </w:pPr>
            <w:r w:rsidRPr="004319B4">
              <w:rPr>
                <w:rFonts w:ascii="Arial" w:eastAsia="新細明體"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新細明體" w:hAnsi="Arial" w:cs="Arial" w:hint="eastAsia"/>
                <w:lang w:val="en-US" w:eastAsia="zh-TW"/>
              </w:rPr>
            </w:pPr>
            <w:r w:rsidRPr="004319B4">
              <w:rPr>
                <w:rFonts w:ascii="Arial" w:eastAsia="新細明體" w:hAnsi="Arial" w:cs="Arial"/>
                <w:lang w:val="en-US" w:eastAsia="zh-TW"/>
              </w:rPr>
              <w:t xml:space="preserve">NOTE: There're </w:t>
            </w:r>
            <w:r>
              <w:rPr>
                <w:rFonts w:ascii="Arial" w:eastAsia="新細明體" w:hAnsi="Arial" w:cs="Arial"/>
                <w:lang w:val="en-US" w:eastAsia="zh-TW"/>
              </w:rPr>
              <w:t xml:space="preserve">some </w:t>
            </w:r>
            <w:r w:rsidRPr="004319B4">
              <w:rPr>
                <w:rFonts w:ascii="Arial" w:eastAsia="新細明體" w:hAnsi="Arial" w:cs="Arial"/>
                <w:lang w:val="en-US" w:eastAsia="zh-TW"/>
              </w:rPr>
              <w:t>errors in the coversheet like meeting date or WI code</w:t>
            </w: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A17695">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ZTE Corporation, Sanechips</w:t>
      </w:r>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A17695">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ZTE Corporation, Sanechips</w:t>
      </w:r>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c"/>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新細明體" w:hAnsi="Arial" w:cs="Arial" w:hint="eastAsia"/>
                <w:lang w:eastAsia="zh-TW"/>
              </w:rPr>
            </w:pPr>
            <w:r>
              <w:rPr>
                <w:rFonts w:ascii="Arial" w:eastAsia="新細明體" w:hAnsi="Arial" w:cs="Arial" w:hint="eastAsia"/>
                <w:lang w:eastAsia="zh-TW"/>
              </w:rPr>
              <w:t>S</w:t>
            </w:r>
            <w:r>
              <w:rPr>
                <w:rFonts w:ascii="Arial" w:eastAsia="新細明體"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r>
        <w:t>Pusch Repetition TypeB</w:t>
      </w:r>
    </w:p>
    <w:p w14:paraId="41805CD4" w14:textId="77777777" w:rsidR="006D3274" w:rsidRDefault="006D3274">
      <w:pPr>
        <w:pStyle w:val="Doc-text2"/>
        <w:rPr>
          <w:lang w:val="en-GB" w:eastAsia="en-GB"/>
        </w:rPr>
      </w:pPr>
    </w:p>
    <w:p w14:paraId="74760156" w14:textId="77777777" w:rsidR="006D3274" w:rsidRDefault="00A17695">
      <w:pPr>
        <w:pStyle w:val="Doc-title"/>
        <w:ind w:left="0" w:firstLine="0"/>
      </w:pPr>
      <w:hyperlink r:id="rId25" w:tooltip="C:Usersmtk65284Documents3GPPtsg_ranWG2_RL2TSGR2_121bis-eDocsR2-2304163.zip" w:history="1">
        <w:r w:rsidR="004B34C8">
          <w:rPr>
            <w:rStyle w:val="16"/>
          </w:rPr>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A17695">
      <w:pPr>
        <w:pStyle w:val="Doc-title"/>
        <w:ind w:left="0" w:firstLine="0"/>
      </w:pPr>
      <w:hyperlink r:id="rId26" w:tooltip="C:Usersmtk65284Documents3GPPtsg_ranWG2_RL2TSGR2_121bis-eDocsR2-2304164.zip" w:history="1">
        <w:r w:rsidR="004B34C8">
          <w:rPr>
            <w:rStyle w:val="16"/>
          </w:rPr>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c"/>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w:t>
            </w:r>
            <w:r>
              <w:rPr>
                <w:lang w:val="en-US"/>
              </w:rPr>
              <w:lastRenderedPageBreak/>
              <w:t xml:space="preserve">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pusch-repetitionTypeB is a different capability with pusch processing capability. Pusch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Pusch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pusch-repetitionTypeB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aff4"/>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aff4"/>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aff4"/>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lastRenderedPageBreak/>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新細明體" w:hAnsi="Arial" w:cs="Arial" w:hint="eastAsia"/>
                <w:lang w:eastAsia="zh-TW"/>
              </w:rPr>
            </w:pPr>
            <w:r>
              <w:rPr>
                <w:rFonts w:ascii="Arial" w:eastAsia="新細明體"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bl>
    <w:p w14:paraId="117B1CF4" w14:textId="77777777" w:rsidR="006D3274" w:rsidRDefault="006D3274">
      <w:pPr>
        <w:rPr>
          <w:lang w:val="sv-SE" w:eastAsia="zh-CN"/>
        </w:rPr>
      </w:pPr>
    </w:p>
    <w:p w14:paraId="3B126B19" w14:textId="77777777" w:rsidR="006D3274" w:rsidRDefault="00A17695">
      <w:pPr>
        <w:pStyle w:val="Doc-title"/>
        <w:ind w:left="0" w:firstLine="0"/>
      </w:pPr>
      <w:hyperlink r:id="rId27" w:tooltip="C:Usersmtk65284Documents3GPPtsg_ranWG2_RL2TSGR2_121bis-eDocsR2-2304161.zip" w:history="1">
        <w:r w:rsidR="004B34C8">
          <w:rPr>
            <w:rStyle w:val="16"/>
          </w:rPr>
          <w:t>R2-2304161</w:t>
        </w:r>
      </w:hyperlink>
      <w:r w:rsidR="004B34C8">
        <w:tab/>
        <w:t>Correction on pusch-RepetitionTypeB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A17695">
      <w:pPr>
        <w:pStyle w:val="Doc-title"/>
        <w:ind w:left="0" w:firstLine="0"/>
      </w:pPr>
      <w:hyperlink r:id="rId28" w:tooltip="C:Usersmtk65284Documents3GPPtsg_ranWG2_RL2TSGR2_121bis-eDocsR2-2304162.zip" w:history="1">
        <w:r w:rsidR="004B34C8">
          <w:rPr>
            <w:rStyle w:val="16"/>
          </w:rPr>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c"/>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w:t>
            </w:r>
            <w:r w:rsidRPr="0061495E">
              <w:rPr>
                <w:rFonts w:ascii="Arial" w:hAnsi="Arial" w:cs="Arial"/>
              </w:rPr>
              <w:t>signalling</w:t>
            </w:r>
            <w:r w:rsidRPr="0061495E">
              <w:rPr>
                <w:rFonts w:ascii="Arial" w:hAnsi="Arial" w:cs="Arial"/>
              </w:rPr>
              <w:t xml:space="preserve"> according to RAN1 requirement.</w:t>
            </w: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lastRenderedPageBreak/>
        <w:t>NR-DC Capability</w:t>
      </w:r>
    </w:p>
    <w:p w14:paraId="7DBC3EF3" w14:textId="77777777" w:rsidR="006D3274" w:rsidRDefault="00A17695">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39C7F700" w14:textId="77777777" w:rsidR="006D3274" w:rsidRDefault="00A17695">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ca-parametersNRDC</w:t>
      </w:r>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c"/>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ca-ParametersNRDC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lastRenderedPageBreak/>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3619A72C" w14:textId="77777777" w:rsidR="00C47A8A" w:rsidRDefault="00C47A8A" w:rsidP="00C47A8A">
            <w:pPr>
              <w:jc w:val="both"/>
              <w:rPr>
                <w:rFonts w:ascii="Arial" w:eastAsia="SimSun"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ca-parametersNRDC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lastRenderedPageBreak/>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c"/>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5982" w:type="dxa"/>
          </w:tcPr>
          <w:p w14:paraId="2F802A40" w14:textId="0D40FE84" w:rsidR="0061495E" w:rsidRPr="0061495E" w:rsidRDefault="0061495E" w:rsidP="00352DE0">
            <w:pPr>
              <w:jc w:val="both"/>
              <w:rPr>
                <w:rFonts w:ascii="Arial" w:eastAsia="新細明體" w:hAnsi="Arial" w:cs="Arial" w:hint="eastAsia"/>
                <w:lang w:val="en-US" w:eastAsia="zh-TW"/>
              </w:rPr>
            </w:pPr>
            <w:r>
              <w:rPr>
                <w:rFonts w:ascii="Arial" w:eastAsia="新細明體" w:hAnsi="Arial" w:cs="Arial" w:hint="eastAsia"/>
                <w:lang w:val="en-US" w:eastAsia="zh-TW"/>
              </w:rPr>
              <w:t>S</w:t>
            </w:r>
            <w:r>
              <w:rPr>
                <w:rFonts w:ascii="Arial" w:eastAsia="新細明體" w:hAnsi="Arial" w:cs="Arial"/>
                <w:lang w:val="en-US" w:eastAsia="zh-TW"/>
              </w:rPr>
              <w:t>ame comment as Q8</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A17695">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t>NR_newRAT-Core</w:t>
      </w:r>
      <w:r w:rsidR="004B34C8">
        <w:tab/>
        <w:t>To:RAN1</w:t>
      </w:r>
      <w:r w:rsidR="004B34C8">
        <w:tab/>
        <w:t>Cc:RAN2</w:t>
      </w:r>
    </w:p>
    <w:p w14:paraId="4F9AE0F6" w14:textId="77777777" w:rsidR="006D3274" w:rsidRDefault="00A17695">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A17695">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ZTE Corporation, Sanechips</w:t>
      </w:r>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t>NR_newRAT-Core</w:t>
      </w:r>
    </w:p>
    <w:p w14:paraId="58F9D360" w14:textId="77777777" w:rsidR="006D3274" w:rsidRDefault="00A17695">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t>NR_newRAT-Core</w:t>
      </w:r>
    </w:p>
    <w:p w14:paraId="032EFC85" w14:textId="77777777" w:rsidR="006D3274" w:rsidRDefault="00A17695">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t>NR_newRAT-Core</w:t>
      </w:r>
    </w:p>
    <w:p w14:paraId="3C9A2A59" w14:textId="77777777" w:rsidR="006D3274" w:rsidRDefault="00A17695">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ZTE Corporation, Sanechips</w:t>
      </w:r>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A17695">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ZTE Corporation, Sanechips</w:t>
      </w:r>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Correction on pusch-RepetitionTypeB capability</w:t>
      </w:r>
      <w:r>
        <w:tab/>
        <w:t>Huawei, HiSilicon</w:t>
      </w:r>
      <w:r>
        <w:tab/>
        <w:t>CR</w:t>
      </w:r>
      <w:bookmarkEnd w:id="1"/>
      <w:r>
        <w:tab/>
        <w:t>Rel-16</w:t>
      </w:r>
      <w:r>
        <w:tab/>
        <w:t>38.306</w:t>
      </w:r>
      <w:r>
        <w:tab/>
        <w:t>16.12.0</w:t>
      </w:r>
      <w:r>
        <w:tab/>
        <w:t>0901</w:t>
      </w:r>
      <w:r>
        <w:tab/>
        <w:t>-</w:t>
      </w:r>
      <w:r>
        <w:tab/>
        <w:t>F</w:t>
      </w:r>
      <w:r>
        <w:tab/>
        <w:t>NR_L1enh_URLLC-Core</w:t>
      </w:r>
    </w:p>
    <w:p w14:paraId="2703C78A" w14:textId="77777777" w:rsidR="006D3274" w:rsidRDefault="00A17695">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Correction on pusch-RepetitionTypeB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A17695">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Correction on pusch-RepetitionTypeB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A17695">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Correction on pusch-RepetitionTypeB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A17695">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t>LTE_NR_DC_CA_enh-Core</w:t>
      </w:r>
    </w:p>
    <w:p w14:paraId="5F4C44EE" w14:textId="77777777" w:rsidR="006D3274" w:rsidRDefault="00A17695">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t>LTE_NR_DC_CA_enh-Core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46032" w14:textId="77777777" w:rsidR="00A17695" w:rsidRDefault="00A17695">
      <w:pPr>
        <w:spacing w:line="240" w:lineRule="auto"/>
      </w:pPr>
      <w:r>
        <w:separator/>
      </w:r>
    </w:p>
  </w:endnote>
  <w:endnote w:type="continuationSeparator" w:id="0">
    <w:p w14:paraId="05D43325" w14:textId="77777777" w:rsidR="00A17695" w:rsidRDefault="00A17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8AEAB" w14:textId="77777777" w:rsidR="00A17695" w:rsidRDefault="00A17695">
      <w:pPr>
        <w:spacing w:after="0"/>
      </w:pPr>
      <w:r>
        <w:separator/>
      </w:r>
    </w:p>
  </w:footnote>
  <w:footnote w:type="continuationSeparator" w:id="0">
    <w:p w14:paraId="3DA0E7CD" w14:textId="77777777" w:rsidR="00A17695" w:rsidRDefault="00A176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3"/>
  </w:num>
  <w:num w:numId="4">
    <w:abstractNumId w:val="5"/>
  </w:num>
  <w:num w:numId="5">
    <w:abstractNumId w:val="4"/>
  </w:num>
  <w:num w:numId="6">
    <w:abstractNumId w:val="16"/>
  </w:num>
  <w:num w:numId="7">
    <w:abstractNumId w:val="1"/>
  </w:num>
  <w:num w:numId="8">
    <w:abstractNumId w:val="19"/>
  </w:num>
  <w:num w:numId="9">
    <w:abstractNumId w:val="12"/>
  </w:num>
  <w:num w:numId="10">
    <w:abstractNumId w:val="8"/>
  </w:num>
  <w:num w:numId="11">
    <w:abstractNumId w:val="14"/>
  </w:num>
  <w:num w:numId="12">
    <w:abstractNumId w:val="15"/>
  </w:num>
  <w:num w:numId="13">
    <w:abstractNumId w:val="18"/>
  </w:num>
  <w:num w:numId="14">
    <w:abstractNumId w:val="11"/>
  </w:num>
  <w:num w:numId="15">
    <w:abstractNumId w:val="13"/>
  </w:num>
  <w:num w:numId="16">
    <w:abstractNumId w:val="0"/>
  </w:num>
  <w:num w:numId="17">
    <w:abstractNumId w:val="6"/>
  </w:num>
  <w:num w:numId="18">
    <w:abstractNumId w:val="9"/>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1D75"/>
    <w:rsid w:val="0016224A"/>
    <w:rsid w:val="00163A3C"/>
    <w:rsid w:val="0016480C"/>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76E"/>
    <w:rsid w:val="002F1DCD"/>
    <w:rsid w:val="002F2771"/>
    <w:rsid w:val="002F30C9"/>
    <w:rsid w:val="002F3669"/>
    <w:rsid w:val="002F36B5"/>
    <w:rsid w:val="002F37A9"/>
    <w:rsid w:val="002F4555"/>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F85"/>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310"/>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24A1"/>
    <w:rsid w:val="007F3216"/>
    <w:rsid w:val="007F3D5B"/>
    <w:rsid w:val="007F408F"/>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295"/>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300"/>
    <w:rsid w:val="00B21660"/>
    <w:rsid w:val="00B2218D"/>
    <w:rsid w:val="00B224FD"/>
    <w:rsid w:val="00B236A6"/>
    <w:rsid w:val="00B24959"/>
    <w:rsid w:val="00B2580B"/>
    <w:rsid w:val="00B2763F"/>
    <w:rsid w:val="00B27AAC"/>
    <w:rsid w:val="00B27B8C"/>
    <w:rsid w:val="00B27E0C"/>
    <w:rsid w:val="00B30929"/>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0DA1"/>
    <w:rsid w:val="00C21519"/>
    <w:rsid w:val="00C217D6"/>
    <w:rsid w:val="00C21A6F"/>
    <w:rsid w:val="00C22072"/>
    <w:rsid w:val="00C2238C"/>
    <w:rsid w:val="00C23840"/>
    <w:rsid w:val="00C279B5"/>
    <w:rsid w:val="00C27C45"/>
    <w:rsid w:val="00C318C0"/>
    <w:rsid w:val="00C3246F"/>
    <w:rsid w:val="00C327E1"/>
    <w:rsid w:val="00C329F3"/>
    <w:rsid w:val="00C345C8"/>
    <w:rsid w:val="00C34E21"/>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262A"/>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14">
    <w:name w:val="未处理的提及1"/>
    <w:basedOn w:val="a2"/>
    <w:uiPriority w:val="99"/>
    <w:semiHidden/>
    <w:unhideWhenUsed/>
    <w:rsid w:val="00454FF7"/>
    <w:rPr>
      <w:color w:val="605E5C"/>
      <w:shd w:val="clear" w:color="auto" w:fill="E1DFDD"/>
    </w:rPr>
  </w:style>
  <w:style w:type="character" w:styleId="aff6">
    <w:name w:val="Unresolved Mention"/>
    <w:basedOn w:val="a2"/>
    <w:uiPriority w:val="99"/>
    <w:semiHidden/>
    <w:unhideWhenUsed/>
    <w:rsid w:val="00B35022"/>
    <w:rPr>
      <w:color w:val="605E5C"/>
      <w:shd w:val="clear" w:color="auto" w:fill="E1DFDD"/>
    </w:rPr>
  </w:style>
  <w:style w:type="paragraph" w:customStyle="1" w:styleId="paragraph">
    <w:name w:val="paragraph"/>
    <w:basedOn w:val="a1"/>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74D10"/>
  </w:style>
  <w:style w:type="character" w:customStyle="1" w:styleId="eop">
    <w:name w:val="eop"/>
    <w:basedOn w:val="a2"/>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27F3B0-D1A4-45AE-B4D4-93734E643CE7}">
  <ds:schemaRefs>
    <ds:schemaRef ds:uri="http://schemas.openxmlformats.org/officeDocument/2006/bibliography"/>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14</Pages>
  <Words>4704</Words>
  <Characters>26819</Characters>
  <Application>Microsoft Office Word</Application>
  <DocSecurity>0</DocSecurity>
  <Lines>223</Lines>
  <Paragraphs>62</Paragraphs>
  <ScaleCrop>false</ScaleCrop>
  <Company>Ericsson</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Morton Lin (林牧台)</cp:lastModifiedBy>
  <cp:revision>10</cp:revision>
  <cp:lastPrinted>2008-02-01T05:09:00Z</cp:lastPrinted>
  <dcterms:created xsi:type="dcterms:W3CDTF">2023-04-19T02:28:00Z</dcterms:created>
  <dcterms:modified xsi:type="dcterms:W3CDTF">2023-04-19T03:41:00Z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2023-04-19T02:27:58Z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eaebb3de-1f6f-4bcf-9ba4-9fe59f2036bd</vt:lpwstr>
  </property>
  <property fmtid="{D5CDD505-2E9C-101B-9397-08002B2CF9AE}" pid="16" name="MSIP_Label_83bcef13-7cac-433f-ba1d-47a323951816_ContentBits">
    <vt:lpwstr>0</vt:lpwstr>
  </property>
</Properties>
</file>