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90FC" w14:textId="2C353356" w:rsidR="00E24A96" w:rsidRDefault="00E24A96" w:rsidP="00E24A96">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WG2#121</w:t>
      </w:r>
      <w:r>
        <w:rPr>
          <w:b/>
          <w:noProof/>
          <w:sz w:val="24"/>
          <w:szCs w:val="24"/>
        </w:rPr>
        <w:tab/>
      </w:r>
      <w:r w:rsidRPr="00240D49">
        <w:rPr>
          <w:b/>
          <w:noProof/>
          <w:sz w:val="24"/>
          <w:szCs w:val="24"/>
        </w:rPr>
        <w:t>R2-230</w:t>
      </w:r>
      <w:r w:rsidR="00747949">
        <w:rPr>
          <w:b/>
          <w:noProof/>
          <w:sz w:val="24"/>
          <w:szCs w:val="24"/>
        </w:rPr>
        <w:t>1549</w:t>
      </w:r>
    </w:p>
    <w:p w14:paraId="03160C43" w14:textId="6FA3BB63" w:rsidR="00E24A96" w:rsidRPr="001C138E" w:rsidRDefault="00E24A96" w:rsidP="00E24A96">
      <w:pPr>
        <w:pStyle w:val="Header"/>
        <w:tabs>
          <w:tab w:val="right" w:pos="9639"/>
        </w:tabs>
        <w:rPr>
          <w:sz w:val="22"/>
          <w:szCs w:val="22"/>
        </w:rPr>
      </w:pPr>
      <w:r w:rsidRPr="001C138E">
        <w:rPr>
          <w:sz w:val="22"/>
          <w:szCs w:val="22"/>
        </w:rPr>
        <w:t>Athens, Greece, February 27th – March 3rd, 2023</w:t>
      </w:r>
      <w:r>
        <w:rPr>
          <w:sz w:val="22"/>
          <w:szCs w:val="22"/>
        </w:rPr>
        <w:t xml:space="preserve">                           </w:t>
      </w:r>
      <w:r>
        <w:rPr>
          <w:sz w:val="16"/>
          <w:szCs w:val="16"/>
        </w:rPr>
        <w:t xml:space="preserve">(resubmission of </w:t>
      </w:r>
      <w:r w:rsidRPr="001C4BEF">
        <w:rPr>
          <w:sz w:val="16"/>
          <w:szCs w:val="16"/>
        </w:rPr>
        <w:t>R2-2211708</w:t>
      </w:r>
      <w:r>
        <w:rPr>
          <w:sz w:val="16"/>
          <w:szCs w:val="16"/>
        </w:rPr>
        <w:t>)</w:t>
      </w:r>
    </w:p>
    <w:p w14:paraId="4AD4B8C5" w14:textId="77777777" w:rsidR="000E43D2" w:rsidRPr="00B266B0" w:rsidRDefault="000E43D2" w:rsidP="000E43D2">
      <w:pPr>
        <w:pStyle w:val="Header"/>
        <w:tabs>
          <w:tab w:val="right" w:pos="9639"/>
        </w:tabs>
        <w:rPr>
          <w:bCs/>
          <w:noProof w:val="0"/>
          <w:sz w:val="24"/>
        </w:rPr>
      </w:pPr>
    </w:p>
    <w:p w14:paraId="5DC13515" w14:textId="2E9DE3A7"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B0BB5">
        <w:rPr>
          <w:rFonts w:cs="Arial"/>
          <w:b/>
          <w:bCs/>
          <w:sz w:val="24"/>
        </w:rPr>
        <w:t>8.4.2.</w:t>
      </w:r>
      <w:r w:rsidR="00A75850">
        <w:rPr>
          <w:rFonts w:cs="Arial"/>
          <w:b/>
          <w:bCs/>
          <w:sz w:val="24"/>
        </w:rPr>
        <w:t>1</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0704C4AE" w:rsidR="000E43D2" w:rsidRPr="001D1997" w:rsidRDefault="000E43D2" w:rsidP="001D1997">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2632C8">
        <w:rPr>
          <w:rFonts w:ascii="Arial" w:hAnsi="Arial" w:cs="Arial"/>
          <w:b/>
          <w:bCs/>
          <w:szCs w:val="22"/>
          <w:lang w:val="en-US"/>
        </w:rPr>
        <w:t>Conditional handover in</w:t>
      </w:r>
      <w:r w:rsidR="001D1997" w:rsidRPr="001D1997">
        <w:rPr>
          <w:rFonts w:ascii="Arial" w:hAnsi="Arial" w:cs="Arial"/>
          <w:b/>
          <w:bCs/>
          <w:szCs w:val="22"/>
          <w:lang w:val="en-US"/>
        </w:rPr>
        <w:t xml:space="preserve"> L2/L1 mobility</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C7F5BFC"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1D1997" w:rsidRPr="001D1997">
        <w:rPr>
          <w:rFonts w:ascii="Arial" w:hAnsi="Arial" w:cs="Arial"/>
          <w:b/>
          <w:bCs/>
          <w:sz w:val="24"/>
        </w:rPr>
        <w:t>NR_Mob_enh2-Core</w:t>
      </w:r>
    </w:p>
    <w:p w14:paraId="5A3A862F" w14:textId="77777777" w:rsidR="00DC290E" w:rsidRDefault="00DC290E" w:rsidP="00DC290E">
      <w:pPr>
        <w:pStyle w:val="Heading1"/>
      </w:pPr>
      <w:r>
        <w:t xml:space="preserve">Introduction </w:t>
      </w:r>
    </w:p>
    <w:p w14:paraId="6F041277" w14:textId="0A454390" w:rsidR="00D32B47" w:rsidRDefault="002632C8" w:rsidP="0040377C">
      <w:pPr>
        <w:rPr>
          <w:rFonts w:ascii="Arial" w:hAnsi="Arial" w:cs="Arial"/>
          <w:szCs w:val="22"/>
        </w:rPr>
      </w:pPr>
      <w:r>
        <w:rPr>
          <w:rFonts w:ascii="Arial" w:hAnsi="Arial" w:cs="Arial"/>
          <w:szCs w:val="22"/>
        </w:rPr>
        <w:t xml:space="preserve">In this paper we intend to confirm RAN2 understanding on the operation of conditional handover using L2/L1 mobility framework. </w:t>
      </w:r>
    </w:p>
    <w:p w14:paraId="1E3DA72F" w14:textId="0D3FF5AF" w:rsidR="00D32B47" w:rsidRDefault="00D32B47" w:rsidP="0040377C">
      <w:pPr>
        <w:rPr>
          <w:rFonts w:ascii="Arial" w:hAnsi="Arial" w:cs="Arial"/>
          <w:szCs w:val="22"/>
        </w:rPr>
      </w:pPr>
      <w:r>
        <w:rPr>
          <w:rFonts w:ascii="Arial" w:hAnsi="Arial" w:cs="Arial"/>
          <w:szCs w:val="22"/>
        </w:rPr>
        <w:t>RAN2 has been making progress in this direction, and in RAN2-119bis-e, the following agreements were made where the UE preserves the candidate LTM cells after a cell switch, which also lends to UE making cell switches since the config is also preserved.</w:t>
      </w:r>
    </w:p>
    <w:tbl>
      <w:tblPr>
        <w:tblStyle w:val="TableGrid"/>
        <w:tblW w:w="0" w:type="auto"/>
        <w:tblLook w:val="04A0" w:firstRow="1" w:lastRow="0" w:firstColumn="1" w:lastColumn="0" w:noHBand="0" w:noVBand="1"/>
      </w:tblPr>
      <w:tblGrid>
        <w:gridCol w:w="9016"/>
      </w:tblGrid>
      <w:tr w:rsidR="00D32B47" w14:paraId="416AC6A1" w14:textId="77777777" w:rsidTr="00D32B47">
        <w:tc>
          <w:tcPr>
            <w:tcW w:w="9016" w:type="dxa"/>
          </w:tcPr>
          <w:p w14:paraId="0D9CFFDE" w14:textId="77777777" w:rsidR="00D32B47" w:rsidRPr="00A2219A" w:rsidRDefault="00D32B47" w:rsidP="00D32B47">
            <w:pPr>
              <w:pStyle w:val="Agreement"/>
              <w:rPr>
                <w:lang w:val="en-US"/>
              </w:rPr>
            </w:pPr>
            <w:r>
              <w:rPr>
                <w:lang w:val="en-US"/>
              </w:rPr>
              <w:t xml:space="preserve">RAN2 assumes that sequential L1L2 cell change between Candidates without RRC reconfiguration can be supported. </w:t>
            </w:r>
          </w:p>
          <w:p w14:paraId="5B109AF9" w14:textId="77777777" w:rsidR="00D32B47" w:rsidRDefault="00D32B47" w:rsidP="00D32B47">
            <w:pPr>
              <w:pStyle w:val="Agreement"/>
              <w:rPr>
                <w:lang w:val="en-US"/>
              </w:rPr>
            </w:pPr>
            <w:r w:rsidRPr="00D32B47">
              <w:rPr>
                <w:highlight w:val="yellow"/>
                <w:lang w:val="en-US"/>
              </w:rPr>
              <w:t>RAN2 assumes that candidate cell configuration can only be modified / released by Network</w:t>
            </w:r>
            <w:r>
              <w:rPr>
                <w:lang w:val="en-US"/>
              </w:rPr>
              <w:t xml:space="preserve"> (FFS later whether some optimization should be applied </w:t>
            </w:r>
            <w:proofErr w:type="gramStart"/>
            <w:r>
              <w:rPr>
                <w:lang w:val="en-US"/>
              </w:rPr>
              <w:t>e.g.</w:t>
            </w:r>
            <w:proofErr w:type="gramEnd"/>
            <w:r>
              <w:rPr>
                <w:lang w:val="en-US"/>
              </w:rPr>
              <w:t xml:space="preserve"> for release). </w:t>
            </w:r>
          </w:p>
          <w:p w14:paraId="27162C8F" w14:textId="77777777" w:rsidR="00D32B47" w:rsidRPr="00E02D9B" w:rsidRDefault="00D32B47" w:rsidP="00D32B47">
            <w:pPr>
              <w:pStyle w:val="Agreement"/>
              <w:rPr>
                <w:lang w:val="en-US"/>
              </w:rPr>
            </w:pPr>
            <w:r>
              <w:rPr>
                <w:lang w:val="en-US"/>
              </w:rPr>
              <w:t xml:space="preserve">For L1L2 mobility will support that candidate configurations are delta configurations on top of a reference configuration. FFS if the reference configuration is a separate reference configuration or </w:t>
            </w:r>
            <w:proofErr w:type="gramStart"/>
            <w:r>
              <w:rPr>
                <w:lang w:val="en-US"/>
              </w:rPr>
              <w:t>e.g.</w:t>
            </w:r>
            <w:proofErr w:type="gramEnd"/>
            <w:r>
              <w:rPr>
                <w:lang w:val="en-US"/>
              </w:rPr>
              <w:t xml:space="preserve"> the current configuration. </w:t>
            </w:r>
          </w:p>
          <w:p w14:paraId="18B82538" w14:textId="77777777" w:rsidR="00D32B47" w:rsidRDefault="00D32B47" w:rsidP="00D32B47">
            <w:pPr>
              <w:pStyle w:val="Agreement"/>
            </w:pPr>
            <w:r>
              <w:t xml:space="preserve">For L1L2 mobility, </w:t>
            </w:r>
            <w:r w:rsidRPr="00A2219A">
              <w:rPr>
                <w:lang w:val="en-US"/>
              </w:rPr>
              <w:t xml:space="preserve">Target </w:t>
            </w:r>
            <w:proofErr w:type="spellStart"/>
            <w:r w:rsidRPr="00A2219A">
              <w:rPr>
                <w:lang w:val="en-US"/>
              </w:rPr>
              <w:t>Pcell</w:t>
            </w:r>
            <w:proofErr w:type="spellEnd"/>
            <w:r w:rsidRPr="00A2219A">
              <w:rPr>
                <w:lang w:val="en-US"/>
              </w:rPr>
              <w:t>/</w:t>
            </w:r>
            <w:proofErr w:type="spellStart"/>
            <w:r w:rsidRPr="00A2219A">
              <w:rPr>
                <w:lang w:val="en-US"/>
              </w:rPr>
              <w:t>SCell</w:t>
            </w:r>
            <w:proofErr w:type="spellEnd"/>
            <w:r w:rsidRPr="00A2219A">
              <w:rPr>
                <w:lang w:val="en-US"/>
              </w:rPr>
              <w:t xml:space="preserve"> can be current </w:t>
            </w:r>
            <w:proofErr w:type="spellStart"/>
            <w:r w:rsidRPr="00A2219A">
              <w:rPr>
                <w:lang w:val="en-US"/>
              </w:rPr>
              <w:t>SCell</w:t>
            </w:r>
            <w:proofErr w:type="spellEnd"/>
            <w:r w:rsidRPr="00A2219A">
              <w:rPr>
                <w:lang w:val="en-US"/>
              </w:rPr>
              <w:t>/</w:t>
            </w:r>
            <w:proofErr w:type="spellStart"/>
            <w:r w:rsidRPr="00A2219A">
              <w:rPr>
                <w:lang w:val="en-US"/>
              </w:rPr>
              <w:t>PCell</w:t>
            </w:r>
            <w:proofErr w:type="spellEnd"/>
            <w:r w:rsidRPr="00A2219A">
              <w:rPr>
                <w:lang w:val="en-US"/>
              </w:rPr>
              <w:t xml:space="preserve">, i.e., current </w:t>
            </w:r>
            <w:proofErr w:type="spellStart"/>
            <w:r w:rsidRPr="00A2219A">
              <w:rPr>
                <w:lang w:val="en-US"/>
              </w:rPr>
              <w:t>SCell</w:t>
            </w:r>
            <w:proofErr w:type="spellEnd"/>
            <w:r w:rsidRPr="00A2219A">
              <w:rPr>
                <w:lang w:val="en-US"/>
              </w:rPr>
              <w:t>/</w:t>
            </w:r>
            <w:proofErr w:type="spellStart"/>
            <w:r w:rsidRPr="00A2219A">
              <w:rPr>
                <w:lang w:val="en-US"/>
              </w:rPr>
              <w:t>PCell</w:t>
            </w:r>
            <w:proofErr w:type="spellEnd"/>
            <w:r w:rsidRPr="00A2219A">
              <w:rPr>
                <w:lang w:val="en-US"/>
              </w:rPr>
              <w:t xml:space="preserve"> can be configured as candidates.</w:t>
            </w:r>
          </w:p>
          <w:p w14:paraId="4E161D31" w14:textId="77777777" w:rsidR="00D32B47" w:rsidRDefault="00D32B47" w:rsidP="0040377C">
            <w:pPr>
              <w:rPr>
                <w:rFonts w:ascii="Arial" w:hAnsi="Arial" w:cs="Arial"/>
                <w:szCs w:val="22"/>
              </w:rPr>
            </w:pPr>
          </w:p>
        </w:tc>
      </w:tr>
    </w:tbl>
    <w:p w14:paraId="69C0F2C5" w14:textId="77777777" w:rsidR="00D32B47" w:rsidRDefault="00D32B47" w:rsidP="0040377C">
      <w:pPr>
        <w:rPr>
          <w:rFonts w:ascii="Arial" w:hAnsi="Arial" w:cs="Arial"/>
          <w:szCs w:val="22"/>
        </w:rPr>
      </w:pPr>
    </w:p>
    <w:p w14:paraId="3E362158" w14:textId="7CBCB8A2" w:rsidR="0040377C" w:rsidRDefault="002632C8" w:rsidP="0040377C">
      <w:pPr>
        <w:rPr>
          <w:rFonts w:ascii="Arial" w:hAnsi="Arial" w:cs="Arial"/>
          <w:szCs w:val="22"/>
        </w:rPr>
      </w:pPr>
      <w:r>
        <w:rPr>
          <w:rFonts w:ascii="Arial" w:hAnsi="Arial" w:cs="Arial"/>
          <w:szCs w:val="22"/>
        </w:rPr>
        <w:t xml:space="preserve">While the WID points to this direction, and several companies in [1] provided comments on the RRC framework to also include the signalling mechanism for CHO style of L2/L1 mobility, it appears that some company views are not fully </w:t>
      </w:r>
      <w:proofErr w:type="spellStart"/>
      <w:r>
        <w:rPr>
          <w:rFonts w:ascii="Arial" w:hAnsi="Arial" w:cs="Arial"/>
          <w:szCs w:val="22"/>
        </w:rPr>
        <w:t>inline</w:t>
      </w:r>
      <w:proofErr w:type="spellEnd"/>
      <w:r>
        <w:rPr>
          <w:rFonts w:ascii="Arial" w:hAnsi="Arial" w:cs="Arial"/>
          <w:szCs w:val="22"/>
        </w:rPr>
        <w:t xml:space="preserve"> with the CHO for L2/L1. </w:t>
      </w:r>
      <w:proofErr w:type="gramStart"/>
      <w:r>
        <w:rPr>
          <w:rFonts w:ascii="Arial" w:hAnsi="Arial" w:cs="Arial"/>
          <w:szCs w:val="22"/>
        </w:rPr>
        <w:t>So</w:t>
      </w:r>
      <w:proofErr w:type="gramEnd"/>
      <w:r>
        <w:rPr>
          <w:rFonts w:ascii="Arial" w:hAnsi="Arial" w:cs="Arial"/>
          <w:szCs w:val="22"/>
        </w:rPr>
        <w:t xml:space="preserve"> we think it is important to confirm (or not) on this operation early on in this WID.</w:t>
      </w:r>
    </w:p>
    <w:p w14:paraId="6035D194" w14:textId="6D263E46" w:rsidR="008F5B07" w:rsidRPr="008F5B07" w:rsidRDefault="003B2E54" w:rsidP="008F5B07">
      <w:pPr>
        <w:pStyle w:val="Heading1"/>
        <w:rPr>
          <w:rFonts w:eastAsia="MS Mincho"/>
          <w:sz w:val="32"/>
        </w:rPr>
      </w:pPr>
      <w:r>
        <w:rPr>
          <w:rStyle w:val="Heading2Char"/>
          <w:rFonts w:eastAsia="MS Mincho"/>
        </w:rPr>
        <w:t>On the usefulness of CHO for L2/L1</w:t>
      </w:r>
    </w:p>
    <w:p w14:paraId="2D2635E9" w14:textId="2DA9EC06" w:rsidR="00C61E9E" w:rsidRDefault="00C61E9E" w:rsidP="007F6D2D">
      <w:pPr>
        <w:rPr>
          <w:rFonts w:ascii="Arial" w:hAnsi="Arial" w:cs="Arial"/>
        </w:rPr>
      </w:pPr>
      <w:r>
        <w:rPr>
          <w:rFonts w:ascii="Arial" w:hAnsi="Arial" w:cs="Arial"/>
        </w:rPr>
        <w:t xml:space="preserve">Mobility of the UE and the associated dynamics of this mobility (UE measurement of cells and handover to target cell based on NW config etc..) do not necessarily change between L2/L1 mobility and the traditional L3 mobility. In similar vein, conditional triggering of a handover to a target cell (from a pool of potential target cells configured by the NW) does not necessarily change if the handover is being done using L3 or L2/L1. The UE would see the potential target cell(s) no differently, the signal conditions at the UE from these potential target cells do not change in a L2/L1 based mobility scenario. </w:t>
      </w:r>
    </w:p>
    <w:p w14:paraId="4493D1DE" w14:textId="43B3D0A6" w:rsidR="00C61E9E" w:rsidRDefault="00C61E9E" w:rsidP="007F6D2D">
      <w:pPr>
        <w:rPr>
          <w:rFonts w:ascii="Arial" w:hAnsi="Arial" w:cs="Arial"/>
        </w:rPr>
      </w:pPr>
      <w:r>
        <w:rPr>
          <w:rFonts w:ascii="Arial" w:hAnsi="Arial" w:cs="Arial"/>
        </w:rPr>
        <w:t xml:space="preserve">In other words, all the benefits that are associated with L3 based CHO (mobility robustness </w:t>
      </w:r>
      <w:proofErr w:type="gramStart"/>
      <w:r>
        <w:rPr>
          <w:rFonts w:ascii="Arial" w:hAnsi="Arial" w:cs="Arial"/>
        </w:rPr>
        <w:t>-  reduction</w:t>
      </w:r>
      <w:proofErr w:type="gramEnd"/>
      <w:r>
        <w:rPr>
          <w:rFonts w:ascii="Arial" w:hAnsi="Arial" w:cs="Arial"/>
        </w:rPr>
        <w:t xml:space="preserve"> in handover failures) do not disappear with L2/L1 based, and also the overhead (</w:t>
      </w:r>
      <w:proofErr w:type="spellStart"/>
      <w:r>
        <w:rPr>
          <w:rFonts w:ascii="Arial" w:hAnsi="Arial" w:cs="Arial"/>
        </w:rPr>
        <w:t>atleast</w:t>
      </w:r>
      <w:proofErr w:type="spellEnd"/>
      <w:r>
        <w:rPr>
          <w:rFonts w:ascii="Arial" w:hAnsi="Arial" w:cs="Arial"/>
        </w:rPr>
        <w:t xml:space="preserve"> from configuration perspective) is also present from L2/L1 mobility. </w:t>
      </w:r>
    </w:p>
    <w:p w14:paraId="64584F89" w14:textId="21D91EB4" w:rsidR="00637070" w:rsidRPr="00010F1C" w:rsidRDefault="00637070" w:rsidP="007F6D2D">
      <w:pPr>
        <w:rPr>
          <w:rFonts w:ascii="Arial" w:hAnsi="Arial" w:cs="Arial"/>
          <w:b/>
          <w:bCs/>
        </w:rPr>
      </w:pPr>
      <w:r w:rsidRPr="00010F1C">
        <w:rPr>
          <w:rFonts w:ascii="Arial" w:hAnsi="Arial" w:cs="Arial"/>
          <w:b/>
          <w:bCs/>
        </w:rPr>
        <w:lastRenderedPageBreak/>
        <w:t>Observation</w:t>
      </w:r>
      <w:r w:rsidR="00A5751C" w:rsidRPr="00010F1C">
        <w:rPr>
          <w:rFonts w:ascii="Arial" w:hAnsi="Arial" w:cs="Arial"/>
          <w:b/>
          <w:bCs/>
        </w:rPr>
        <w:t xml:space="preserve"> 1</w:t>
      </w:r>
      <w:r w:rsidRPr="00010F1C">
        <w:rPr>
          <w:rFonts w:ascii="Arial" w:hAnsi="Arial" w:cs="Arial"/>
          <w:b/>
          <w:bCs/>
        </w:rPr>
        <w:t xml:space="preserve">: The mobility dynamics (signal conditions etc..) that the UE sees during L3 CHO are also present in L2/L1 mobility and so the benefits of L3 CHO are also applicable when using in L2/L1 mobility. </w:t>
      </w:r>
    </w:p>
    <w:p w14:paraId="6AD07280" w14:textId="192A4C6D" w:rsidR="00C61E9E" w:rsidRDefault="00C61E9E" w:rsidP="007F6D2D">
      <w:pPr>
        <w:rPr>
          <w:rFonts w:ascii="Arial" w:hAnsi="Arial" w:cs="Arial"/>
        </w:rPr>
      </w:pPr>
      <w:r>
        <w:rPr>
          <w:rFonts w:ascii="Arial" w:hAnsi="Arial" w:cs="Arial"/>
        </w:rPr>
        <w:t xml:space="preserve">In Rel-16, RAN2 has developed the framework for CHO to solve mobility issues and since the same problems needs addressing in L2/L1 based mobility, we think L2/L1 based CHO should be an essential feature of Rel-18 </w:t>
      </w:r>
      <w:proofErr w:type="spellStart"/>
      <w:r>
        <w:rPr>
          <w:rFonts w:ascii="Arial" w:hAnsi="Arial" w:cs="Arial"/>
        </w:rPr>
        <w:t>FeMob</w:t>
      </w:r>
      <w:proofErr w:type="spellEnd"/>
      <w:r>
        <w:rPr>
          <w:rFonts w:ascii="Arial" w:hAnsi="Arial" w:cs="Arial"/>
        </w:rPr>
        <w:t>.</w:t>
      </w:r>
    </w:p>
    <w:p w14:paraId="06C2A8AC" w14:textId="18790AEE" w:rsidR="00C61E9E" w:rsidRDefault="00C61E9E" w:rsidP="007F6D2D">
      <w:pPr>
        <w:rPr>
          <w:rFonts w:ascii="Arial" w:hAnsi="Arial" w:cs="Arial"/>
        </w:rPr>
      </w:pPr>
      <w:r>
        <w:rPr>
          <w:rFonts w:ascii="Arial" w:hAnsi="Arial" w:cs="Arial"/>
        </w:rPr>
        <w:t>While the WID does have the wording in this direction, it is better to have a short discussion on this and agree to allow L2/L1 based CHO, early on in this WID, as this helps with other design aspects (</w:t>
      </w:r>
      <w:proofErr w:type="spellStart"/>
      <w:r>
        <w:rPr>
          <w:rFonts w:ascii="Arial" w:hAnsi="Arial" w:cs="Arial"/>
        </w:rPr>
        <w:t>esp</w:t>
      </w:r>
      <w:proofErr w:type="spellEnd"/>
      <w:r>
        <w:rPr>
          <w:rFonts w:ascii="Arial" w:hAnsi="Arial" w:cs="Arial"/>
        </w:rPr>
        <w:t xml:space="preserve"> in RRC config and in mobility latency chart </w:t>
      </w:r>
      <w:proofErr w:type="gramStart"/>
      <w:r>
        <w:rPr>
          <w:rFonts w:ascii="Arial" w:hAnsi="Arial" w:cs="Arial"/>
        </w:rPr>
        <w:t>discussions</w:t>
      </w:r>
      <w:r w:rsidR="00363D74">
        <w:rPr>
          <w:rFonts w:ascii="Arial" w:hAnsi="Arial" w:cs="Arial"/>
        </w:rPr>
        <w:t>[</w:t>
      </w:r>
      <w:proofErr w:type="gramEnd"/>
      <w:r w:rsidR="00363D74">
        <w:rPr>
          <w:rFonts w:ascii="Arial" w:hAnsi="Arial" w:cs="Arial"/>
        </w:rPr>
        <w:t>2]</w:t>
      </w:r>
      <w:r>
        <w:rPr>
          <w:rFonts w:ascii="Arial" w:hAnsi="Arial" w:cs="Arial"/>
        </w:rPr>
        <w:t>).</w:t>
      </w:r>
    </w:p>
    <w:p w14:paraId="4EC8B0B4" w14:textId="1D50B9BA" w:rsidR="00637070" w:rsidRPr="00010F1C" w:rsidRDefault="00637070" w:rsidP="007F6D2D">
      <w:pPr>
        <w:rPr>
          <w:rFonts w:ascii="Arial" w:hAnsi="Arial" w:cs="Arial"/>
          <w:b/>
          <w:bCs/>
        </w:rPr>
      </w:pPr>
      <w:r w:rsidRPr="00010F1C">
        <w:rPr>
          <w:rFonts w:ascii="Arial" w:hAnsi="Arial" w:cs="Arial"/>
          <w:b/>
          <w:bCs/>
        </w:rPr>
        <w:t>Observation</w:t>
      </w:r>
      <w:r w:rsidR="00A5751C" w:rsidRPr="00010F1C">
        <w:rPr>
          <w:rFonts w:ascii="Arial" w:hAnsi="Arial" w:cs="Arial"/>
          <w:b/>
          <w:bCs/>
        </w:rPr>
        <w:t xml:space="preserve"> 2</w:t>
      </w:r>
      <w:r w:rsidRPr="00010F1C">
        <w:rPr>
          <w:rFonts w:ascii="Arial" w:hAnsi="Arial" w:cs="Arial"/>
          <w:b/>
          <w:bCs/>
        </w:rPr>
        <w:t xml:space="preserve">: WID wording </w:t>
      </w:r>
      <w:r w:rsidRPr="00010F1C">
        <w:rPr>
          <w:b/>
          <w:bCs/>
          <w:i/>
          <w:iCs/>
          <w:lang w:val="en-US"/>
        </w:rPr>
        <w:t xml:space="preserve">Configuration and maintenance for multiple candidate cells to allow fast application of configurations for candidate cells [RAN2, RAN3] </w:t>
      </w:r>
      <w:r w:rsidRPr="00010F1C">
        <w:rPr>
          <w:rFonts w:ascii="Arial" w:hAnsi="Arial" w:cs="Arial"/>
          <w:b/>
          <w:bCs/>
        </w:rPr>
        <w:t>expects configuration of multiple candidates, and CHO – UE triggered selection of candidate target cells should be a natural extension, as part of mobility enhancements.</w:t>
      </w:r>
    </w:p>
    <w:p w14:paraId="5CC87F5E" w14:textId="7DB9A568" w:rsidR="00E84A07" w:rsidRDefault="0018595C" w:rsidP="007F6D2D">
      <w:pPr>
        <w:rPr>
          <w:rFonts w:ascii="Arial" w:hAnsi="Arial" w:cs="Arial"/>
        </w:rPr>
      </w:pPr>
      <w:r>
        <w:rPr>
          <w:rFonts w:ascii="Arial" w:hAnsi="Arial" w:cs="Arial"/>
        </w:rPr>
        <w:t xml:space="preserve">While many aspects of L3 CHO can be directly applicable to L2/L1 based on CHO, there are still some aspects (for </w:t>
      </w:r>
      <w:proofErr w:type="spellStart"/>
      <w:r>
        <w:rPr>
          <w:rFonts w:ascii="Arial" w:hAnsi="Arial" w:cs="Arial"/>
        </w:rPr>
        <w:t>eg.</w:t>
      </w:r>
      <w:proofErr w:type="spellEnd"/>
      <w:r>
        <w:rPr>
          <w:rFonts w:ascii="Arial" w:hAnsi="Arial" w:cs="Arial"/>
        </w:rPr>
        <w:t xml:space="preserve">, failure indication, target configuration </w:t>
      </w:r>
      <w:proofErr w:type="spellStart"/>
      <w:r>
        <w:rPr>
          <w:rFonts w:ascii="Arial" w:hAnsi="Arial" w:cs="Arial"/>
        </w:rPr>
        <w:t>incompatiability</w:t>
      </w:r>
      <w:proofErr w:type="spellEnd"/>
      <w:r>
        <w:rPr>
          <w:rFonts w:ascii="Arial" w:hAnsi="Arial" w:cs="Arial"/>
        </w:rPr>
        <w:t xml:space="preserve"> etc) that need to be “adapted” for L2/L1 based on CHO. We think we can discuss these in the coming meetings once the procedure is agreed to be included in Rel-18.</w:t>
      </w:r>
    </w:p>
    <w:p w14:paraId="7DF3F629" w14:textId="5C1F3687" w:rsidR="0018595C" w:rsidRPr="00010F1C" w:rsidRDefault="0018595C" w:rsidP="007F6D2D">
      <w:pPr>
        <w:rPr>
          <w:rFonts w:ascii="Arial" w:hAnsi="Arial" w:cs="Arial"/>
          <w:b/>
          <w:bCs/>
        </w:rPr>
      </w:pPr>
      <w:r w:rsidRPr="00010F1C">
        <w:rPr>
          <w:rFonts w:ascii="Arial" w:hAnsi="Arial" w:cs="Arial"/>
          <w:b/>
          <w:bCs/>
        </w:rPr>
        <w:t xml:space="preserve">Proposal 1: CHO based L2/L1 mobility is supported in Rel-18 </w:t>
      </w:r>
      <w:proofErr w:type="spellStart"/>
      <w:r w:rsidRPr="00010F1C">
        <w:rPr>
          <w:rFonts w:ascii="Arial" w:hAnsi="Arial" w:cs="Arial"/>
          <w:b/>
          <w:bCs/>
        </w:rPr>
        <w:t>FeMob</w:t>
      </w:r>
      <w:proofErr w:type="spellEnd"/>
    </w:p>
    <w:p w14:paraId="560B8D5B" w14:textId="4014EDCF" w:rsidR="0018595C" w:rsidRPr="00010F1C" w:rsidRDefault="0018595C" w:rsidP="007F6D2D">
      <w:pPr>
        <w:rPr>
          <w:rFonts w:ascii="Arial" w:hAnsi="Arial" w:cs="Arial"/>
          <w:b/>
          <w:bCs/>
        </w:rPr>
      </w:pPr>
      <w:r w:rsidRPr="00010F1C">
        <w:rPr>
          <w:rFonts w:ascii="Arial" w:hAnsi="Arial" w:cs="Arial"/>
          <w:b/>
          <w:bCs/>
        </w:rPr>
        <w:t>Proposal 2: FFS on any adaptation to make L3 CHO work for L2/L1.</w:t>
      </w:r>
    </w:p>
    <w:p w14:paraId="7DFC2BEB" w14:textId="77777777" w:rsidR="000C0AF6" w:rsidRPr="00495E19" w:rsidRDefault="000C0AF6" w:rsidP="007F6D2D">
      <w:pPr>
        <w:rPr>
          <w:rFonts w:ascii="Arial" w:hAnsi="Arial" w:cs="Arial"/>
        </w:rPr>
      </w:pPr>
    </w:p>
    <w:p w14:paraId="07388B9C" w14:textId="3B210159" w:rsidR="005C0434" w:rsidRDefault="005C0434" w:rsidP="005C0434">
      <w:pPr>
        <w:pStyle w:val="Heading1"/>
      </w:pPr>
      <w:r>
        <w:t>Conclusions</w:t>
      </w:r>
    </w:p>
    <w:p w14:paraId="12B107CE" w14:textId="77777777" w:rsidR="00A5751C" w:rsidRPr="00010F1C" w:rsidRDefault="00A5751C" w:rsidP="00A5751C">
      <w:pPr>
        <w:rPr>
          <w:rFonts w:ascii="Arial" w:hAnsi="Arial" w:cs="Arial"/>
          <w:b/>
          <w:bCs/>
        </w:rPr>
      </w:pPr>
      <w:r w:rsidRPr="00010F1C">
        <w:rPr>
          <w:rFonts w:ascii="Arial" w:hAnsi="Arial" w:cs="Arial"/>
          <w:b/>
          <w:bCs/>
        </w:rPr>
        <w:t xml:space="preserve">Observation 1: The mobility dynamics (signal conditions etc..) that the UE sees during L3 CHO are also present in L2/L1 mobility and so the benefits of L3 CHO are also applicable when using in L2/L1 mobility. </w:t>
      </w:r>
    </w:p>
    <w:p w14:paraId="46B3576C" w14:textId="5642C46B" w:rsidR="00A5751C" w:rsidRPr="00010F1C" w:rsidRDefault="00A5751C" w:rsidP="00A5751C">
      <w:pPr>
        <w:rPr>
          <w:rFonts w:ascii="Arial" w:hAnsi="Arial" w:cs="Arial"/>
          <w:b/>
          <w:bCs/>
        </w:rPr>
      </w:pPr>
      <w:r w:rsidRPr="00010F1C">
        <w:rPr>
          <w:rFonts w:ascii="Arial" w:hAnsi="Arial" w:cs="Arial"/>
          <w:b/>
          <w:bCs/>
        </w:rPr>
        <w:t xml:space="preserve">Observation 2: WID wording </w:t>
      </w:r>
      <w:r w:rsidRPr="00010F1C">
        <w:rPr>
          <w:b/>
          <w:bCs/>
          <w:i/>
          <w:iCs/>
          <w:lang w:val="en-US"/>
        </w:rPr>
        <w:t xml:space="preserve">Configuration and maintenance for multiple candidate cells to allow fast application of configurations for candidate cells [RAN2, RAN3] </w:t>
      </w:r>
      <w:r w:rsidRPr="00010F1C">
        <w:rPr>
          <w:rFonts w:ascii="Arial" w:hAnsi="Arial" w:cs="Arial"/>
          <w:b/>
          <w:bCs/>
        </w:rPr>
        <w:t>expects configuration of multiple candidates, and CHO – UE triggered selection of candidate target cells should be a natural extension, as part of mobility enhancements.</w:t>
      </w:r>
    </w:p>
    <w:p w14:paraId="692DB262" w14:textId="77777777" w:rsidR="00A5751C" w:rsidRPr="00010F1C" w:rsidRDefault="00A5751C" w:rsidP="00A5751C">
      <w:pPr>
        <w:rPr>
          <w:rFonts w:ascii="Arial" w:hAnsi="Arial" w:cs="Arial"/>
          <w:b/>
          <w:bCs/>
        </w:rPr>
      </w:pPr>
      <w:r w:rsidRPr="00010F1C">
        <w:rPr>
          <w:rFonts w:ascii="Arial" w:hAnsi="Arial" w:cs="Arial"/>
          <w:b/>
          <w:bCs/>
        </w:rPr>
        <w:t xml:space="preserve">Proposal 1: CHO based L2/L1 mobility is supported in Rel-18 </w:t>
      </w:r>
      <w:proofErr w:type="spellStart"/>
      <w:r w:rsidRPr="00010F1C">
        <w:rPr>
          <w:rFonts w:ascii="Arial" w:hAnsi="Arial" w:cs="Arial"/>
          <w:b/>
          <w:bCs/>
        </w:rPr>
        <w:t>FeMob</w:t>
      </w:r>
      <w:proofErr w:type="spellEnd"/>
    </w:p>
    <w:p w14:paraId="192145E0" w14:textId="77777777" w:rsidR="00A5751C" w:rsidRPr="00010F1C" w:rsidRDefault="00A5751C" w:rsidP="00A5751C">
      <w:pPr>
        <w:rPr>
          <w:rFonts w:ascii="Arial" w:hAnsi="Arial" w:cs="Arial"/>
          <w:b/>
          <w:bCs/>
        </w:rPr>
      </w:pPr>
      <w:r w:rsidRPr="00010F1C">
        <w:rPr>
          <w:rFonts w:ascii="Arial" w:hAnsi="Arial" w:cs="Arial"/>
          <w:b/>
          <w:bCs/>
        </w:rPr>
        <w:t>Proposal 2: FFS on any adaptation to make L3 CHO work for L2/L1.</w:t>
      </w:r>
    </w:p>
    <w:p w14:paraId="2B858577" w14:textId="77777777" w:rsidR="00856B0F" w:rsidRDefault="00856B0F" w:rsidP="00D07AF6"/>
    <w:p w14:paraId="0CF580AE" w14:textId="598B13FD" w:rsidR="00993914" w:rsidRDefault="00993914" w:rsidP="00993914">
      <w:pPr>
        <w:pStyle w:val="Heading1"/>
      </w:pPr>
      <w:r>
        <w:t>References</w:t>
      </w:r>
    </w:p>
    <w:p w14:paraId="3379E62C" w14:textId="0AE20341" w:rsidR="00363D74" w:rsidRDefault="00993914" w:rsidP="00437304">
      <w:pPr>
        <w:rPr>
          <w:rFonts w:ascii="Arial" w:hAnsi="Arial" w:cs="Arial"/>
        </w:rPr>
      </w:pPr>
      <w:r w:rsidRPr="0023168D">
        <w:rPr>
          <w:rFonts w:ascii="Arial" w:hAnsi="Arial" w:cs="Arial"/>
        </w:rPr>
        <w:t>[1]</w:t>
      </w:r>
      <w:r w:rsidR="00363D74">
        <w:rPr>
          <w:rFonts w:ascii="Arial" w:hAnsi="Arial" w:cs="Arial"/>
        </w:rPr>
        <w:tab/>
      </w:r>
      <w:r w:rsidR="00CB4770">
        <w:rPr>
          <w:rFonts w:ascii="Arial" w:hAnsi="Arial" w:cs="Arial"/>
        </w:rPr>
        <w:t xml:space="preserve">R2-220xxxx </w:t>
      </w:r>
      <w:r w:rsidR="00CB4770" w:rsidRPr="00CB4770">
        <w:rPr>
          <w:rFonts w:ascii="Arial" w:hAnsi="Arial" w:cs="Arial"/>
          <w:lang w:val="en-US"/>
        </w:rPr>
        <w:t>[Post119-e][</w:t>
      </w:r>
      <w:proofErr w:type="gramStart"/>
      <w:r w:rsidR="00CB4770" w:rsidRPr="00CB4770">
        <w:rPr>
          <w:rFonts w:ascii="Arial" w:hAnsi="Arial" w:cs="Arial"/>
          <w:lang w:val="en-US"/>
        </w:rPr>
        <w:t>048][</w:t>
      </w:r>
      <w:proofErr w:type="spellStart"/>
      <w:proofErr w:type="gramEnd"/>
      <w:r w:rsidR="00CB4770" w:rsidRPr="00CB4770">
        <w:rPr>
          <w:rFonts w:ascii="Arial" w:hAnsi="Arial" w:cs="Arial"/>
          <w:lang w:val="en-US"/>
        </w:rPr>
        <w:t>feMob</w:t>
      </w:r>
      <w:proofErr w:type="spellEnd"/>
      <w:r w:rsidR="00CB4770" w:rsidRPr="00CB4770">
        <w:rPr>
          <w:rFonts w:ascii="Arial" w:hAnsi="Arial" w:cs="Arial"/>
          <w:lang w:val="en-US"/>
        </w:rPr>
        <w:t>] Candidate target configurations for L1/L2 mobility (Ericsson)</w:t>
      </w:r>
    </w:p>
    <w:p w14:paraId="1EF3E06D" w14:textId="670033F2" w:rsidR="00437304" w:rsidRPr="00D07AF6" w:rsidRDefault="00363D74" w:rsidP="00437304">
      <w:r>
        <w:rPr>
          <w:rFonts w:ascii="Arial" w:hAnsi="Arial" w:cs="Arial"/>
        </w:rPr>
        <w:t>[2]</w:t>
      </w:r>
      <w:r>
        <w:rPr>
          <w:rFonts w:ascii="Arial" w:hAnsi="Arial" w:cs="Arial"/>
        </w:rPr>
        <w:tab/>
      </w:r>
      <w:r w:rsidR="003C135D" w:rsidRPr="003C135D">
        <w:rPr>
          <w:rFonts w:ascii="Arial" w:hAnsi="Arial" w:cs="Arial"/>
          <w:lang w:val="en-US"/>
        </w:rPr>
        <w:t>R2-2209256</w:t>
      </w:r>
      <w:r w:rsidR="003C135D">
        <w:rPr>
          <w:rFonts w:ascii="Arial" w:hAnsi="Arial" w:cs="Arial"/>
          <w:lang w:val="en-US"/>
        </w:rPr>
        <w:t xml:space="preserve"> </w:t>
      </w:r>
      <w:r w:rsidR="003C135D" w:rsidRPr="003C135D">
        <w:rPr>
          <w:rFonts w:ascii="Arial" w:hAnsi="Arial" w:cs="Arial"/>
          <w:bCs/>
        </w:rPr>
        <w:t>Report of [Post119-e][</w:t>
      </w:r>
      <w:proofErr w:type="gramStart"/>
      <w:r w:rsidR="003C135D" w:rsidRPr="003C135D">
        <w:rPr>
          <w:rFonts w:ascii="Arial" w:hAnsi="Arial" w:cs="Arial"/>
          <w:bCs/>
        </w:rPr>
        <w:t>036][</w:t>
      </w:r>
      <w:proofErr w:type="spellStart"/>
      <w:proofErr w:type="gramEnd"/>
      <w:r w:rsidR="003C135D" w:rsidRPr="003C135D">
        <w:rPr>
          <w:rFonts w:ascii="Arial" w:hAnsi="Arial" w:cs="Arial"/>
          <w:bCs/>
        </w:rPr>
        <w:t>feMob</w:t>
      </w:r>
      <w:proofErr w:type="spellEnd"/>
      <w:r w:rsidR="003C135D" w:rsidRPr="003C135D">
        <w:rPr>
          <w:rFonts w:ascii="Arial" w:hAnsi="Arial" w:cs="Arial"/>
          <w:bCs/>
        </w:rPr>
        <w:t>] Time Chart</w:t>
      </w:r>
    </w:p>
    <w:p w14:paraId="6F79AA7D" w14:textId="3AFE3C6A" w:rsidR="0023168D" w:rsidRPr="00D07AF6" w:rsidRDefault="0023168D" w:rsidP="00D07AF6"/>
    <w:sectPr w:rsidR="0023168D"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482A9" w14:textId="77777777" w:rsidR="006F7EA6" w:rsidRDefault="006F7EA6" w:rsidP="000E43D2">
      <w:pPr>
        <w:spacing w:after="0"/>
      </w:pPr>
      <w:r>
        <w:separator/>
      </w:r>
    </w:p>
  </w:endnote>
  <w:endnote w:type="continuationSeparator" w:id="0">
    <w:p w14:paraId="41C897CF" w14:textId="77777777" w:rsidR="006F7EA6" w:rsidRDefault="006F7EA6"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A192D" w14:textId="77777777" w:rsidR="006F7EA6" w:rsidRDefault="006F7EA6" w:rsidP="000E43D2">
      <w:pPr>
        <w:spacing w:after="0"/>
      </w:pPr>
      <w:r>
        <w:separator/>
      </w:r>
    </w:p>
  </w:footnote>
  <w:footnote w:type="continuationSeparator" w:id="0">
    <w:p w14:paraId="1D021B73" w14:textId="77777777" w:rsidR="006F7EA6" w:rsidRDefault="006F7EA6"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5"/>
  </w:num>
  <w:num w:numId="9" w16cid:durableId="302470555">
    <w:abstractNumId w:val="10"/>
  </w:num>
  <w:num w:numId="10" w16cid:durableId="55668815">
    <w:abstractNumId w:val="16"/>
  </w:num>
  <w:num w:numId="11" w16cid:durableId="1947928206">
    <w:abstractNumId w:val="8"/>
  </w:num>
  <w:num w:numId="12" w16cid:durableId="1695182576">
    <w:abstractNumId w:val="11"/>
  </w:num>
  <w:num w:numId="13" w16cid:durableId="249436846">
    <w:abstractNumId w:val="7"/>
  </w:num>
  <w:num w:numId="14" w16cid:durableId="1110050603">
    <w:abstractNumId w:val="13"/>
  </w:num>
  <w:num w:numId="15" w16cid:durableId="1611737473">
    <w:abstractNumId w:val="9"/>
  </w:num>
  <w:num w:numId="16" w16cid:durableId="18037699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2"/>
  </w:num>
  <w:num w:numId="20" w16cid:durableId="11602288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99E"/>
    <w:rsid w:val="0002147A"/>
    <w:rsid w:val="00032718"/>
    <w:rsid w:val="00034894"/>
    <w:rsid w:val="00066CF1"/>
    <w:rsid w:val="000671A4"/>
    <w:rsid w:val="000948F8"/>
    <w:rsid w:val="000B15B6"/>
    <w:rsid w:val="000B53D9"/>
    <w:rsid w:val="000B54B1"/>
    <w:rsid w:val="000C0AF6"/>
    <w:rsid w:val="000C3111"/>
    <w:rsid w:val="000D59A4"/>
    <w:rsid w:val="000E43D2"/>
    <w:rsid w:val="00102339"/>
    <w:rsid w:val="00102701"/>
    <w:rsid w:val="00106917"/>
    <w:rsid w:val="0011345C"/>
    <w:rsid w:val="00114533"/>
    <w:rsid w:val="00115010"/>
    <w:rsid w:val="00130151"/>
    <w:rsid w:val="00131DF0"/>
    <w:rsid w:val="001325C2"/>
    <w:rsid w:val="00135D53"/>
    <w:rsid w:val="00143A2A"/>
    <w:rsid w:val="00145881"/>
    <w:rsid w:val="00155758"/>
    <w:rsid w:val="0016652A"/>
    <w:rsid w:val="00175A3F"/>
    <w:rsid w:val="00177438"/>
    <w:rsid w:val="00181154"/>
    <w:rsid w:val="001817CD"/>
    <w:rsid w:val="0018595C"/>
    <w:rsid w:val="0019163F"/>
    <w:rsid w:val="001A410C"/>
    <w:rsid w:val="001B01FD"/>
    <w:rsid w:val="001C4BEF"/>
    <w:rsid w:val="001D1997"/>
    <w:rsid w:val="001E1868"/>
    <w:rsid w:val="001F0BF8"/>
    <w:rsid w:val="001F7FFD"/>
    <w:rsid w:val="00200B6F"/>
    <w:rsid w:val="00201AD1"/>
    <w:rsid w:val="00210B2D"/>
    <w:rsid w:val="002141C4"/>
    <w:rsid w:val="00215350"/>
    <w:rsid w:val="00216B1A"/>
    <w:rsid w:val="002209DF"/>
    <w:rsid w:val="00221950"/>
    <w:rsid w:val="0023168D"/>
    <w:rsid w:val="0023754E"/>
    <w:rsid w:val="002474E7"/>
    <w:rsid w:val="0026249B"/>
    <w:rsid w:val="002632C8"/>
    <w:rsid w:val="00266D9F"/>
    <w:rsid w:val="0027286D"/>
    <w:rsid w:val="00282C07"/>
    <w:rsid w:val="00283661"/>
    <w:rsid w:val="0028575D"/>
    <w:rsid w:val="00285D58"/>
    <w:rsid w:val="00292CDA"/>
    <w:rsid w:val="002A2374"/>
    <w:rsid w:val="002B47D7"/>
    <w:rsid w:val="002B5369"/>
    <w:rsid w:val="002C4289"/>
    <w:rsid w:val="002D3B10"/>
    <w:rsid w:val="002E0CBA"/>
    <w:rsid w:val="002E2212"/>
    <w:rsid w:val="002E4823"/>
    <w:rsid w:val="002F468F"/>
    <w:rsid w:val="00301024"/>
    <w:rsid w:val="00303CC1"/>
    <w:rsid w:val="00313E60"/>
    <w:rsid w:val="003161A9"/>
    <w:rsid w:val="00322937"/>
    <w:rsid w:val="0033267D"/>
    <w:rsid w:val="00334FFE"/>
    <w:rsid w:val="00335BCE"/>
    <w:rsid w:val="003439D1"/>
    <w:rsid w:val="00363D74"/>
    <w:rsid w:val="0036542B"/>
    <w:rsid w:val="00370BED"/>
    <w:rsid w:val="003739BF"/>
    <w:rsid w:val="003870BB"/>
    <w:rsid w:val="0038715A"/>
    <w:rsid w:val="003A0E5B"/>
    <w:rsid w:val="003B2E54"/>
    <w:rsid w:val="003B6738"/>
    <w:rsid w:val="003C135D"/>
    <w:rsid w:val="003C41A7"/>
    <w:rsid w:val="003C681D"/>
    <w:rsid w:val="003D4F59"/>
    <w:rsid w:val="003D597C"/>
    <w:rsid w:val="003D6AA9"/>
    <w:rsid w:val="003D6F3F"/>
    <w:rsid w:val="003E0AA3"/>
    <w:rsid w:val="003E4741"/>
    <w:rsid w:val="003F1A0A"/>
    <w:rsid w:val="0040377C"/>
    <w:rsid w:val="00413864"/>
    <w:rsid w:val="00414C30"/>
    <w:rsid w:val="00421897"/>
    <w:rsid w:val="00431D2D"/>
    <w:rsid w:val="00434CB8"/>
    <w:rsid w:val="00437304"/>
    <w:rsid w:val="00437F18"/>
    <w:rsid w:val="00457703"/>
    <w:rsid w:val="00461122"/>
    <w:rsid w:val="00464CCE"/>
    <w:rsid w:val="004738AD"/>
    <w:rsid w:val="00477A09"/>
    <w:rsid w:val="00495E19"/>
    <w:rsid w:val="00495E63"/>
    <w:rsid w:val="004967D6"/>
    <w:rsid w:val="004A40EC"/>
    <w:rsid w:val="004D38A3"/>
    <w:rsid w:val="004D5E2E"/>
    <w:rsid w:val="004E4636"/>
    <w:rsid w:val="004E4F93"/>
    <w:rsid w:val="004F275C"/>
    <w:rsid w:val="004F3398"/>
    <w:rsid w:val="004F353B"/>
    <w:rsid w:val="004F6631"/>
    <w:rsid w:val="004F6F22"/>
    <w:rsid w:val="00505606"/>
    <w:rsid w:val="00510832"/>
    <w:rsid w:val="0052091B"/>
    <w:rsid w:val="00521E8A"/>
    <w:rsid w:val="00524266"/>
    <w:rsid w:val="00572EAD"/>
    <w:rsid w:val="0058588B"/>
    <w:rsid w:val="005939D1"/>
    <w:rsid w:val="00596DB2"/>
    <w:rsid w:val="005A13B4"/>
    <w:rsid w:val="005B1CE9"/>
    <w:rsid w:val="005C0434"/>
    <w:rsid w:val="005D31B1"/>
    <w:rsid w:val="005E0F03"/>
    <w:rsid w:val="005F5334"/>
    <w:rsid w:val="0060350E"/>
    <w:rsid w:val="00605982"/>
    <w:rsid w:val="00633BA4"/>
    <w:rsid w:val="00637070"/>
    <w:rsid w:val="00637910"/>
    <w:rsid w:val="0064205B"/>
    <w:rsid w:val="00643F9A"/>
    <w:rsid w:val="00647C88"/>
    <w:rsid w:val="00655941"/>
    <w:rsid w:val="00672266"/>
    <w:rsid w:val="006A2D08"/>
    <w:rsid w:val="006C2518"/>
    <w:rsid w:val="006D0E83"/>
    <w:rsid w:val="006D2A6D"/>
    <w:rsid w:val="006E4962"/>
    <w:rsid w:val="006F3A06"/>
    <w:rsid w:val="006F7EA6"/>
    <w:rsid w:val="00707116"/>
    <w:rsid w:val="007129CD"/>
    <w:rsid w:val="00723AC7"/>
    <w:rsid w:val="00724CE7"/>
    <w:rsid w:val="00727592"/>
    <w:rsid w:val="00732B80"/>
    <w:rsid w:val="00747949"/>
    <w:rsid w:val="007501BB"/>
    <w:rsid w:val="00766693"/>
    <w:rsid w:val="00772626"/>
    <w:rsid w:val="007733A5"/>
    <w:rsid w:val="007827DD"/>
    <w:rsid w:val="007A0DBC"/>
    <w:rsid w:val="007A2F26"/>
    <w:rsid w:val="007A4847"/>
    <w:rsid w:val="007A6DF7"/>
    <w:rsid w:val="007A6F8D"/>
    <w:rsid w:val="007C422A"/>
    <w:rsid w:val="007C45E7"/>
    <w:rsid w:val="007D226E"/>
    <w:rsid w:val="007D2961"/>
    <w:rsid w:val="007E43E2"/>
    <w:rsid w:val="007E687E"/>
    <w:rsid w:val="007F056D"/>
    <w:rsid w:val="007F3862"/>
    <w:rsid w:val="007F6D2D"/>
    <w:rsid w:val="00801615"/>
    <w:rsid w:val="00806753"/>
    <w:rsid w:val="008105F8"/>
    <w:rsid w:val="0081231F"/>
    <w:rsid w:val="0082459F"/>
    <w:rsid w:val="00826C75"/>
    <w:rsid w:val="008378AF"/>
    <w:rsid w:val="00856B0F"/>
    <w:rsid w:val="0088227E"/>
    <w:rsid w:val="00887B70"/>
    <w:rsid w:val="008A0DF6"/>
    <w:rsid w:val="008B0BB5"/>
    <w:rsid w:val="008C3760"/>
    <w:rsid w:val="008C5FED"/>
    <w:rsid w:val="008C6DC1"/>
    <w:rsid w:val="008D4FB6"/>
    <w:rsid w:val="008D6E93"/>
    <w:rsid w:val="008E0C48"/>
    <w:rsid w:val="008E1B52"/>
    <w:rsid w:val="008F5B07"/>
    <w:rsid w:val="009062AD"/>
    <w:rsid w:val="00907F0D"/>
    <w:rsid w:val="00915CDF"/>
    <w:rsid w:val="00921135"/>
    <w:rsid w:val="009220BB"/>
    <w:rsid w:val="009538BD"/>
    <w:rsid w:val="00955F32"/>
    <w:rsid w:val="00957C54"/>
    <w:rsid w:val="0097271A"/>
    <w:rsid w:val="009864F5"/>
    <w:rsid w:val="00993914"/>
    <w:rsid w:val="0099547F"/>
    <w:rsid w:val="009A1903"/>
    <w:rsid w:val="009A24A4"/>
    <w:rsid w:val="009A3B6E"/>
    <w:rsid w:val="009A75F4"/>
    <w:rsid w:val="009C6AA7"/>
    <w:rsid w:val="009F76FA"/>
    <w:rsid w:val="00A17CEA"/>
    <w:rsid w:val="00A26261"/>
    <w:rsid w:val="00A4589F"/>
    <w:rsid w:val="00A460F3"/>
    <w:rsid w:val="00A52BC0"/>
    <w:rsid w:val="00A5717B"/>
    <w:rsid w:val="00A5751C"/>
    <w:rsid w:val="00A64DDC"/>
    <w:rsid w:val="00A7101D"/>
    <w:rsid w:val="00A75850"/>
    <w:rsid w:val="00A86D45"/>
    <w:rsid w:val="00AB5567"/>
    <w:rsid w:val="00AE1843"/>
    <w:rsid w:val="00AE3297"/>
    <w:rsid w:val="00AF2BE6"/>
    <w:rsid w:val="00AF6DC2"/>
    <w:rsid w:val="00B11EFB"/>
    <w:rsid w:val="00B138F9"/>
    <w:rsid w:val="00B27E57"/>
    <w:rsid w:val="00B30CB8"/>
    <w:rsid w:val="00B327EB"/>
    <w:rsid w:val="00B42AFE"/>
    <w:rsid w:val="00B44D3F"/>
    <w:rsid w:val="00B67DCE"/>
    <w:rsid w:val="00B83C4F"/>
    <w:rsid w:val="00B84BD8"/>
    <w:rsid w:val="00B86D0C"/>
    <w:rsid w:val="00B9289F"/>
    <w:rsid w:val="00BC76AE"/>
    <w:rsid w:val="00BE68D2"/>
    <w:rsid w:val="00BF3815"/>
    <w:rsid w:val="00BF6754"/>
    <w:rsid w:val="00C10DD5"/>
    <w:rsid w:val="00C27711"/>
    <w:rsid w:val="00C369CE"/>
    <w:rsid w:val="00C46E44"/>
    <w:rsid w:val="00C509E3"/>
    <w:rsid w:val="00C61E9E"/>
    <w:rsid w:val="00C65B6B"/>
    <w:rsid w:val="00C72CF1"/>
    <w:rsid w:val="00C75E91"/>
    <w:rsid w:val="00C81836"/>
    <w:rsid w:val="00C82B3E"/>
    <w:rsid w:val="00C906D3"/>
    <w:rsid w:val="00CA4524"/>
    <w:rsid w:val="00CA60C7"/>
    <w:rsid w:val="00CA630B"/>
    <w:rsid w:val="00CB4770"/>
    <w:rsid w:val="00CC6744"/>
    <w:rsid w:val="00CD027C"/>
    <w:rsid w:val="00CD444B"/>
    <w:rsid w:val="00CE18C2"/>
    <w:rsid w:val="00CE6F0C"/>
    <w:rsid w:val="00CF0560"/>
    <w:rsid w:val="00CF602D"/>
    <w:rsid w:val="00D07AF6"/>
    <w:rsid w:val="00D14F96"/>
    <w:rsid w:val="00D15C2E"/>
    <w:rsid w:val="00D201C6"/>
    <w:rsid w:val="00D24C6A"/>
    <w:rsid w:val="00D25F36"/>
    <w:rsid w:val="00D32B47"/>
    <w:rsid w:val="00D454BB"/>
    <w:rsid w:val="00D51CC8"/>
    <w:rsid w:val="00D55188"/>
    <w:rsid w:val="00D7439A"/>
    <w:rsid w:val="00D80926"/>
    <w:rsid w:val="00D80F25"/>
    <w:rsid w:val="00D845BD"/>
    <w:rsid w:val="00DA5623"/>
    <w:rsid w:val="00DB1657"/>
    <w:rsid w:val="00DC290E"/>
    <w:rsid w:val="00DC4E8A"/>
    <w:rsid w:val="00DD4466"/>
    <w:rsid w:val="00DE16AF"/>
    <w:rsid w:val="00DE5A88"/>
    <w:rsid w:val="00DF6AF2"/>
    <w:rsid w:val="00E017AB"/>
    <w:rsid w:val="00E06A25"/>
    <w:rsid w:val="00E24A96"/>
    <w:rsid w:val="00E31181"/>
    <w:rsid w:val="00E31EC0"/>
    <w:rsid w:val="00E51B4A"/>
    <w:rsid w:val="00E61A95"/>
    <w:rsid w:val="00E666CD"/>
    <w:rsid w:val="00E82928"/>
    <w:rsid w:val="00E83E98"/>
    <w:rsid w:val="00E84A07"/>
    <w:rsid w:val="00E9612C"/>
    <w:rsid w:val="00EB1661"/>
    <w:rsid w:val="00EB2EC6"/>
    <w:rsid w:val="00EB6433"/>
    <w:rsid w:val="00EB7ADF"/>
    <w:rsid w:val="00EC26B0"/>
    <w:rsid w:val="00ED578C"/>
    <w:rsid w:val="00EE0157"/>
    <w:rsid w:val="00EE2E37"/>
    <w:rsid w:val="00EE577A"/>
    <w:rsid w:val="00EF00AF"/>
    <w:rsid w:val="00EF137A"/>
    <w:rsid w:val="00EF461C"/>
    <w:rsid w:val="00F12CD1"/>
    <w:rsid w:val="00F176D9"/>
    <w:rsid w:val="00F20C61"/>
    <w:rsid w:val="00F20E48"/>
    <w:rsid w:val="00F24F2D"/>
    <w:rsid w:val="00F4118B"/>
    <w:rsid w:val="00F41430"/>
    <w:rsid w:val="00F45CD0"/>
    <w:rsid w:val="00F51A58"/>
    <w:rsid w:val="00F5744E"/>
    <w:rsid w:val="00F602EF"/>
    <w:rsid w:val="00F6125C"/>
    <w:rsid w:val="00F70EF8"/>
    <w:rsid w:val="00F76BFF"/>
    <w:rsid w:val="00F8434B"/>
    <w:rsid w:val="00F90655"/>
    <w:rsid w:val="00F94BB7"/>
    <w:rsid w:val="00FA0B09"/>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uiPriority w:val="99"/>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uiPriority w:val="99"/>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2.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DA7872-71E3-4B7F-9098-AA14D05B5D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0</TotalTime>
  <Pages>2</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2</cp:revision>
  <cp:lastPrinted>2020-07-28T11:49:00Z</cp:lastPrinted>
  <dcterms:created xsi:type="dcterms:W3CDTF">2023-02-17T01:04:00Z</dcterms:created>
  <dcterms:modified xsi:type="dcterms:W3CDTF">2023-02-17T01:04:00Z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