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ad"/>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ad"/>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ad"/>
        <w:rPr>
          <w:bCs/>
          <w:sz w:val="24"/>
        </w:rPr>
      </w:pPr>
    </w:p>
    <w:p w14:paraId="0089ACEE" w14:textId="77777777" w:rsidR="0056151D" w:rsidRDefault="0056151D">
      <w:pPr>
        <w:pStyle w:val="ad"/>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AT121][706][NCR]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NR_netcon_repeater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RRCRelease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1"/>
        <w:rPr>
          <w:lang w:eastAsia="zh-CN"/>
        </w:rPr>
      </w:pPr>
      <w:r>
        <w:t>2</w:t>
      </w:r>
      <w:r>
        <w:tab/>
      </w:r>
      <w:r>
        <w:rPr>
          <w:lang w:eastAsia="ko-KR"/>
        </w:rPr>
        <w:t>Contact Information</w:t>
      </w:r>
    </w:p>
    <w:p w14:paraId="0089AD01" w14:textId="77777777" w:rsidR="0056151D" w:rsidRDefault="0056151D"/>
    <w:tbl>
      <w:tblPr>
        <w:tblStyle w:val="af0"/>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986D00"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00429426" w:rsidR="00986D00" w:rsidRDefault="00986D00" w:rsidP="00986D00">
            <w:pPr>
              <w:pStyle w:val="TAC"/>
              <w:rPr>
                <w:rFonts w:ascii="Times New Roman" w:hAnsi="Times New Roman"/>
                <w:sz w:val="20"/>
                <w:szCs w:val="22"/>
                <w:lang w:val="en-US"/>
              </w:rPr>
            </w:pPr>
            <w:r>
              <w:rPr>
                <w:rFonts w:ascii="Times New Roman" w:hAnsi="Times New Roman"/>
                <w:sz w:val="20"/>
                <w:szCs w:val="22"/>
                <w:lang w:val="en-US"/>
              </w:rPr>
              <w:t>Kyocera</w:t>
            </w:r>
          </w:p>
        </w:tc>
        <w:tc>
          <w:tcPr>
            <w:tcW w:w="5794" w:type="dxa"/>
            <w:tcBorders>
              <w:top w:val="single" w:sz="4" w:space="0" w:color="auto"/>
              <w:left w:val="single" w:sz="4" w:space="0" w:color="auto"/>
              <w:bottom w:val="single" w:sz="4" w:space="0" w:color="auto"/>
              <w:right w:val="single" w:sz="4" w:space="0" w:color="auto"/>
            </w:tcBorders>
          </w:tcPr>
          <w:p w14:paraId="0089AD12" w14:textId="153A2BC2" w:rsidR="00986D00" w:rsidRDefault="00986D00" w:rsidP="00986D00">
            <w:pPr>
              <w:pStyle w:val="TAC"/>
              <w:rPr>
                <w:rFonts w:ascii="Times New Roman" w:hAnsi="Times New Roman"/>
                <w:sz w:val="20"/>
                <w:szCs w:val="22"/>
                <w:lang w:val="en-US"/>
              </w:rPr>
            </w:pPr>
            <w:r>
              <w:rPr>
                <w:rFonts w:ascii="Times New Roman" w:hAnsi="Times New Roman" w:hint="eastAsia"/>
                <w:sz w:val="20"/>
                <w:szCs w:val="22"/>
                <w:lang w:val="en-US" w:eastAsia="ja-JP"/>
              </w:rPr>
              <w:t>M</w:t>
            </w:r>
            <w:r>
              <w:rPr>
                <w:rFonts w:ascii="Times New Roman" w:hAnsi="Times New Roman"/>
                <w:sz w:val="20"/>
                <w:szCs w:val="22"/>
                <w:lang w:val="en-US" w:eastAsia="ja-JP"/>
              </w:rPr>
              <w:t>asato Fujishiro (masato.fujishiro.fj@kyocera.jp)</w:t>
            </w:r>
          </w:p>
        </w:tc>
      </w:tr>
      <w:tr w:rsidR="00986D00"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2A545880" w:rsidR="00986D00" w:rsidRDefault="00A64454" w:rsidP="00A64454">
            <w:pPr>
              <w:pStyle w:val="TAC"/>
              <w:rPr>
                <w:rFonts w:ascii="Times New Roman" w:hAnsi="Times New Roman"/>
                <w:sz w:val="20"/>
                <w:szCs w:val="22"/>
                <w:lang w:val="en-US"/>
              </w:rPr>
            </w:pPr>
            <w:r>
              <w:rPr>
                <w:rFonts w:ascii="Times New Roman" w:hAnsi="Times New Roman" w:hint="eastAsia"/>
                <w:sz w:val="20"/>
                <w:szCs w:val="22"/>
                <w:lang w:val="en-US" w:eastAsia="ja-JP"/>
              </w:rPr>
              <w:t>Fujitsu</w:t>
            </w:r>
          </w:p>
        </w:tc>
        <w:tc>
          <w:tcPr>
            <w:tcW w:w="5794" w:type="dxa"/>
            <w:tcBorders>
              <w:top w:val="single" w:sz="4" w:space="0" w:color="auto"/>
              <w:left w:val="single" w:sz="4" w:space="0" w:color="auto"/>
              <w:bottom w:val="single" w:sz="4" w:space="0" w:color="auto"/>
              <w:right w:val="single" w:sz="4" w:space="0" w:color="auto"/>
            </w:tcBorders>
          </w:tcPr>
          <w:p w14:paraId="0089AD15" w14:textId="320BC97D" w:rsidR="00986D00" w:rsidRDefault="00A64454" w:rsidP="00A64454">
            <w:pPr>
              <w:pStyle w:val="TAC"/>
              <w:rPr>
                <w:rFonts w:ascii="Times New Roman" w:hAnsi="Times New Roman" w:hint="eastAsia"/>
                <w:sz w:val="20"/>
                <w:szCs w:val="22"/>
                <w:lang w:val="en-US" w:eastAsia="ja-JP"/>
              </w:rPr>
            </w:pPr>
            <w:r>
              <w:rPr>
                <w:rFonts w:ascii="Times New Roman" w:hAnsi="Times New Roman" w:hint="eastAsia"/>
                <w:sz w:val="20"/>
                <w:szCs w:val="22"/>
                <w:lang w:val="en-US" w:eastAsia="ja-JP"/>
              </w:rPr>
              <w:t>T</w:t>
            </w:r>
            <w:r>
              <w:rPr>
                <w:rFonts w:ascii="Times New Roman" w:hAnsi="Times New Roman"/>
                <w:sz w:val="20"/>
                <w:szCs w:val="22"/>
                <w:lang w:val="en-US" w:eastAsia="ja-JP"/>
              </w:rPr>
              <w:t>akako Sanda (sanda.takako@fujitsu.com)</w:t>
            </w:r>
          </w:p>
        </w:tc>
      </w:tr>
      <w:tr w:rsidR="00986D00"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18" w14:textId="77777777" w:rsidR="00986D00" w:rsidRDefault="00986D00" w:rsidP="00986D00">
            <w:pPr>
              <w:pStyle w:val="TAC"/>
              <w:jc w:val="left"/>
              <w:rPr>
                <w:rFonts w:ascii="Times New Roman" w:hAnsi="Times New Roman"/>
                <w:sz w:val="20"/>
                <w:szCs w:val="22"/>
                <w:lang w:val="en-US" w:eastAsia="ko-KR"/>
              </w:rPr>
            </w:pPr>
          </w:p>
        </w:tc>
      </w:tr>
      <w:tr w:rsidR="00986D00"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986D00" w:rsidRDefault="00986D00" w:rsidP="00986D00">
            <w:pPr>
              <w:pStyle w:val="TAC"/>
              <w:jc w:val="left"/>
              <w:rPr>
                <w:rFonts w:ascii="Times New Roman" w:hAnsi="Times New Roman"/>
                <w:sz w:val="20"/>
                <w:szCs w:val="22"/>
                <w:lang w:val="en-US"/>
              </w:rPr>
            </w:pPr>
          </w:p>
        </w:tc>
      </w:tr>
      <w:tr w:rsidR="00986D00"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986D00" w:rsidRDefault="00986D00" w:rsidP="00986D00">
            <w:pPr>
              <w:pStyle w:val="TAC"/>
              <w:jc w:val="left"/>
              <w:rPr>
                <w:rFonts w:ascii="Times New Roman" w:hAnsi="Times New Roman"/>
                <w:sz w:val="20"/>
                <w:szCs w:val="22"/>
                <w:lang w:val="en-US"/>
              </w:rPr>
            </w:pPr>
          </w:p>
        </w:tc>
      </w:tr>
      <w:tr w:rsidR="00986D00"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986D00" w:rsidRDefault="00986D00" w:rsidP="00986D00">
            <w:pPr>
              <w:pStyle w:val="TAC"/>
              <w:jc w:val="left"/>
              <w:rPr>
                <w:rFonts w:ascii="Times New Roman" w:hAnsi="Times New Roman"/>
                <w:sz w:val="20"/>
                <w:szCs w:val="22"/>
                <w:lang w:val="en-US" w:eastAsia="ko-KR"/>
              </w:rPr>
            </w:pPr>
          </w:p>
        </w:tc>
      </w:tr>
      <w:tr w:rsidR="00986D00"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986D00" w:rsidRDefault="00986D00" w:rsidP="00986D00">
            <w:pPr>
              <w:pStyle w:val="TAC"/>
              <w:jc w:val="left"/>
              <w:rPr>
                <w:rFonts w:ascii="Times New Roman" w:hAnsi="Times New Roman"/>
                <w:sz w:val="20"/>
                <w:szCs w:val="22"/>
                <w:lang w:val="en-US" w:eastAsia="ko-KR"/>
              </w:rPr>
            </w:pPr>
          </w:p>
        </w:tc>
      </w:tr>
      <w:tr w:rsidR="00986D00"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986D00" w:rsidRDefault="00986D00" w:rsidP="00986D00">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986D00" w:rsidRDefault="00986D00" w:rsidP="00986D00">
            <w:pPr>
              <w:pStyle w:val="TAC"/>
              <w:jc w:val="left"/>
              <w:rPr>
                <w:rFonts w:ascii="Times New Roman" w:hAnsi="Times New Roman"/>
                <w:sz w:val="20"/>
                <w:szCs w:val="22"/>
                <w:lang w:val="en-US" w:eastAsia="ko-KR"/>
              </w:rPr>
            </w:pPr>
          </w:p>
        </w:tc>
      </w:tr>
      <w:tr w:rsidR="00986D00"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986D00" w:rsidRDefault="00986D00" w:rsidP="00986D00">
            <w:pPr>
              <w:pStyle w:val="TAC"/>
              <w:jc w:val="left"/>
              <w:rPr>
                <w:rFonts w:ascii="Times New Roman" w:hAnsi="Times New Roman"/>
                <w:sz w:val="20"/>
                <w:szCs w:val="22"/>
                <w:lang w:val="en-US" w:eastAsia="ko-KR"/>
              </w:rPr>
            </w:pPr>
          </w:p>
        </w:tc>
      </w:tr>
      <w:tr w:rsidR="00986D00"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986D00" w:rsidRDefault="00986D00" w:rsidP="00986D00">
            <w:pPr>
              <w:pStyle w:val="TAC"/>
              <w:jc w:val="left"/>
              <w:rPr>
                <w:rFonts w:ascii="Times New Roman" w:hAnsi="Times New Roman"/>
                <w:sz w:val="20"/>
                <w:szCs w:val="22"/>
                <w:lang w:val="en-US" w:eastAsia="ko-KR"/>
              </w:rPr>
            </w:pPr>
          </w:p>
        </w:tc>
      </w:tr>
      <w:tr w:rsidR="00986D00"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986D00" w:rsidRDefault="00986D00" w:rsidP="00986D00">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986D00" w:rsidRDefault="00986D00" w:rsidP="00986D00">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1"/>
      </w:pPr>
      <w:r>
        <w:lastRenderedPageBreak/>
        <w:t>3</w:t>
      </w:r>
      <w:r>
        <w:tab/>
        <w:t>Discussion</w:t>
      </w:r>
    </w:p>
    <w:p w14:paraId="0089AD34" w14:textId="77777777" w:rsidR="0056151D" w:rsidRDefault="002C2D01">
      <w:pPr>
        <w:pStyle w:val="2"/>
      </w:pPr>
      <w:r>
        <w:t>3.1</w:t>
      </w:r>
      <w:r>
        <w:tab/>
        <w:t>RRC side control signalling for NCR-Fwd access beam configuration</w:t>
      </w:r>
    </w:p>
    <w:p w14:paraId="0089AD35" w14:textId="77777777" w:rsidR="0056151D" w:rsidRDefault="002C2D01">
      <w:r>
        <w:t>RRC signalling related to configuring (a)periodic beam indications for the NCR-Fwd was discussed based on Nokia’s paper R2-2300303. It was proposed that the relevant RRC configurations for periodic and aperiodic beam indications should be provided in ServingCellConfig; however, companies had different views based on the assumption that NCR-MT does not need to receive the NCR-Fwd access beam configuration on a per-cell basis (e.g. some companies believe that NCR-MT should not support DC or CA, hence RRC-based side control signalling messages could be provided either directly within RRCReconfiguration or in an NCR-specific container within RRCReconfiguration).</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af1"/>
        <w:numPr>
          <w:ilvl w:val="0"/>
          <w:numId w:val="4"/>
        </w:numPr>
        <w:rPr>
          <w:b/>
          <w:bCs/>
        </w:rPr>
      </w:pPr>
      <w:r>
        <w:rPr>
          <w:b/>
          <w:bCs/>
        </w:rPr>
        <w:t>Option 1: Side control configuration for the NCR-Fwd is provided within ServingCellConfig</w:t>
      </w:r>
    </w:p>
    <w:p w14:paraId="0089AD38" w14:textId="77777777" w:rsidR="0056151D" w:rsidRDefault="002C2D01">
      <w:pPr>
        <w:pStyle w:val="af1"/>
        <w:numPr>
          <w:ilvl w:val="0"/>
          <w:numId w:val="4"/>
        </w:numPr>
        <w:rPr>
          <w:b/>
          <w:bCs/>
        </w:rPr>
      </w:pPr>
      <w:r>
        <w:rPr>
          <w:b/>
          <w:bCs/>
        </w:rPr>
        <w:t>Option 2: Side control configuration for the NCR-Fwd is not provided within ServingCellConfig, but some other/new message.</w:t>
      </w:r>
    </w:p>
    <w:p w14:paraId="0089AD39" w14:textId="77777777" w:rsidR="0056151D" w:rsidRDefault="002C2D01">
      <w:pPr>
        <w:pStyle w:val="af1"/>
        <w:numPr>
          <w:ilvl w:val="0"/>
          <w:numId w:val="4"/>
        </w:numPr>
        <w:rPr>
          <w:b/>
          <w:bCs/>
        </w:rPr>
      </w:pPr>
      <w:r>
        <w:rPr>
          <w:b/>
          <w:bCs/>
        </w:rPr>
        <w:t>Option 3: RAN2 should wait to decide until we have more details from RAN1.</w:t>
      </w:r>
    </w:p>
    <w:tbl>
      <w:tblPr>
        <w:tblStyle w:val="af0"/>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a6"/>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NCR-Fwd must belong to the same cell. In fact, RAN1 has agreed to support separate beam indications for backhaul link and control link, which that NCR-MT and NCR-Fwd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r w:rsidRPr="00C245F3">
              <w:rPr>
                <w:lang w:eastAsia="zh-CN"/>
              </w:rPr>
              <w:t>ServingCellConfig</w:t>
            </w:r>
            <w:r>
              <w:rPr>
                <w:lang w:eastAsia="zh-CN"/>
              </w:rPr>
              <w:t xml:space="preserve"> itself is not a message, but a per-cell configuration. If reusing existing message, it should be </w:t>
            </w:r>
            <w:r>
              <w:t>RRCReconfiguration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NCR-fwd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 xml:space="preserve">Side control information is only used by NCR-Fwd for access link beam configuration. This is not related to NCR-MT (or UE)  servingCellConfig.  We prefer to keep the sidelink configuration sepearate to the UE configuration and not mix it up.  Including this in servingCellConfig implies that everytime an update to the sidelink is provided, we have to consider the Need codes for the  UE configuration and provide appropriate configuration where needed.  Our preference is hence to keep them separate and not have to mix up the two unrelated configurations.  </w:t>
            </w:r>
          </w:p>
        </w:tc>
      </w:tr>
      <w:tr w:rsidR="009A5633" w14:paraId="0089AD52" w14:textId="77777777">
        <w:tc>
          <w:tcPr>
            <w:tcW w:w="1838" w:type="dxa"/>
          </w:tcPr>
          <w:p w14:paraId="0089AD4F" w14:textId="7395F8BF" w:rsidR="009A5633" w:rsidRDefault="009A5633" w:rsidP="009A5633">
            <w:r>
              <w:rPr>
                <w:rFonts w:hint="eastAsia"/>
                <w:lang w:eastAsia="ja-JP"/>
              </w:rPr>
              <w:t>K</w:t>
            </w:r>
            <w:r>
              <w:rPr>
                <w:lang w:eastAsia="ja-JP"/>
              </w:rPr>
              <w:t>yocera</w:t>
            </w:r>
          </w:p>
        </w:tc>
        <w:tc>
          <w:tcPr>
            <w:tcW w:w="1701" w:type="dxa"/>
          </w:tcPr>
          <w:p w14:paraId="0089AD50" w14:textId="5B74B51D" w:rsidR="009A5633" w:rsidRDefault="009A5633" w:rsidP="009A5633">
            <w:r>
              <w:rPr>
                <w:lang w:eastAsia="ja-JP"/>
              </w:rPr>
              <w:t xml:space="preserve"> </w:t>
            </w:r>
            <w:r>
              <w:rPr>
                <w:rFonts w:hint="eastAsia"/>
                <w:lang w:eastAsia="ja-JP"/>
              </w:rPr>
              <w:t>O</w:t>
            </w:r>
            <w:r>
              <w:rPr>
                <w:lang w:eastAsia="ja-JP"/>
              </w:rPr>
              <w:t>ption 2</w:t>
            </w:r>
          </w:p>
        </w:tc>
        <w:tc>
          <w:tcPr>
            <w:tcW w:w="6092" w:type="dxa"/>
          </w:tcPr>
          <w:p w14:paraId="275511F2" w14:textId="77777777" w:rsidR="009A5633" w:rsidRDefault="009A5633" w:rsidP="009A5633">
            <w:pPr>
              <w:rPr>
                <w:lang w:eastAsia="ja-JP"/>
              </w:rPr>
            </w:pPr>
            <w:r>
              <w:rPr>
                <w:lang w:eastAsia="ja-JP"/>
              </w:rPr>
              <w:t xml:space="preserve">We think RRC Reconfiguration message should be used for Side control configuration, so we assume Option 2 can be interpreted as using some other/new IE rather than some other/new message. We think it’s also good from forward compatibility perspective as well. </w:t>
            </w:r>
          </w:p>
          <w:p w14:paraId="0089AD51" w14:textId="059E46C9" w:rsidR="009A5633" w:rsidRDefault="009A5633" w:rsidP="009A5633">
            <w:r>
              <w:rPr>
                <w:rFonts w:hint="eastAsia"/>
                <w:lang w:eastAsia="ja-JP"/>
              </w:rPr>
              <w:t>W</w:t>
            </w:r>
            <w:r>
              <w:rPr>
                <w:lang w:eastAsia="ja-JP"/>
              </w:rPr>
              <w:t>e assume either option can work; but “</w:t>
            </w:r>
            <w:r w:rsidRPr="001D1114">
              <w:rPr>
                <w:i/>
                <w:iCs/>
                <w:lang w:eastAsia="ja-JP"/>
              </w:rPr>
              <w:t>The IE ServingCellConfig is used to configure (add or modify) the UE with a serving cell</w:t>
            </w:r>
            <w:r>
              <w:rPr>
                <w:lang w:eastAsia="ja-JP"/>
              </w:rPr>
              <w:t xml:space="preserve">” as stated in TS38.331, which is different from Side control configuration.  In addition, in IAB, the IAB configuration is provided outside of </w:t>
            </w:r>
            <w:r w:rsidRPr="003C63F4">
              <w:rPr>
                <w:i/>
                <w:iCs/>
                <w:lang w:eastAsia="ja-JP"/>
              </w:rPr>
              <w:t>ServingCellConfig</w:t>
            </w:r>
            <w:r>
              <w:rPr>
                <w:lang w:eastAsia="ja-JP"/>
              </w:rPr>
              <w:t>, i.e.,</w:t>
            </w:r>
            <w:r w:rsidRPr="003C63F4">
              <w:rPr>
                <w:i/>
                <w:iCs/>
                <w:lang w:eastAsia="ja-JP"/>
              </w:rPr>
              <w:t xml:space="preserve"> bap-Config</w:t>
            </w:r>
            <w:r>
              <w:rPr>
                <w:lang w:eastAsia="ja-JP"/>
              </w:rPr>
              <w:t xml:space="preserve"> and </w:t>
            </w:r>
            <w:r w:rsidRPr="003C63F4">
              <w:rPr>
                <w:i/>
                <w:iCs/>
                <w:lang w:eastAsia="ja-JP"/>
              </w:rPr>
              <w:t>iab-IP-</w:t>
            </w:r>
            <w:r w:rsidRPr="003C63F4">
              <w:rPr>
                <w:i/>
                <w:iCs/>
                <w:lang w:eastAsia="ja-JP"/>
              </w:rPr>
              <w:lastRenderedPageBreak/>
              <w:t>AddressConfigurationList</w:t>
            </w:r>
            <w:r>
              <w:rPr>
                <w:lang w:eastAsia="ja-JP"/>
              </w:rPr>
              <w:t xml:space="preserve">.  In this sense, we slightly prefer Option 2 with a new IE within the existing RRC Reconfiguration message. </w:t>
            </w:r>
          </w:p>
        </w:tc>
      </w:tr>
      <w:tr w:rsidR="00EA6A19" w14:paraId="0089AD56" w14:textId="77777777">
        <w:tc>
          <w:tcPr>
            <w:tcW w:w="1838" w:type="dxa"/>
          </w:tcPr>
          <w:p w14:paraId="0089AD53" w14:textId="53266C48" w:rsidR="00EA6A19" w:rsidRDefault="00EA6A19" w:rsidP="00EA6A19">
            <w:r>
              <w:lastRenderedPageBreak/>
              <w:t>Samsung</w:t>
            </w:r>
          </w:p>
        </w:tc>
        <w:tc>
          <w:tcPr>
            <w:tcW w:w="1701" w:type="dxa"/>
          </w:tcPr>
          <w:p w14:paraId="0089AD54" w14:textId="0414E89E" w:rsidR="00EA6A19" w:rsidRDefault="00EA6A19" w:rsidP="00EA6A19">
            <w:r>
              <w:t>Option 3</w:t>
            </w:r>
          </w:p>
        </w:tc>
        <w:tc>
          <w:tcPr>
            <w:tcW w:w="6092" w:type="dxa"/>
          </w:tcPr>
          <w:p w14:paraId="0089AD55" w14:textId="312C9C70" w:rsidR="00EA6A19" w:rsidRDefault="00EA6A19" w:rsidP="00EA6A19">
            <w:r>
              <w:t xml:space="preserve">RAN1 has made some related agreements that we should take into account. Thus we prefer to wait for RAN1 for more details. </w:t>
            </w:r>
          </w:p>
        </w:tc>
      </w:tr>
      <w:tr w:rsidR="00EA6A19" w14:paraId="0089AD5A" w14:textId="77777777">
        <w:tc>
          <w:tcPr>
            <w:tcW w:w="1838" w:type="dxa"/>
          </w:tcPr>
          <w:p w14:paraId="0089AD57" w14:textId="2C08864D" w:rsidR="00EA6A19" w:rsidRDefault="00A64454" w:rsidP="00EA6A19">
            <w:pPr>
              <w:rPr>
                <w:rFonts w:hint="eastAsia"/>
                <w:lang w:eastAsia="ja-JP"/>
              </w:rPr>
            </w:pPr>
            <w:r>
              <w:rPr>
                <w:rFonts w:hint="eastAsia"/>
                <w:lang w:eastAsia="ja-JP"/>
              </w:rPr>
              <w:t>F</w:t>
            </w:r>
            <w:r>
              <w:rPr>
                <w:lang w:eastAsia="ja-JP"/>
              </w:rPr>
              <w:t>ujitsu</w:t>
            </w:r>
          </w:p>
        </w:tc>
        <w:tc>
          <w:tcPr>
            <w:tcW w:w="1701" w:type="dxa"/>
          </w:tcPr>
          <w:p w14:paraId="0089AD58" w14:textId="4299C7F1" w:rsidR="00EA6A19" w:rsidRDefault="00A64454" w:rsidP="00EA6A19">
            <w:pPr>
              <w:rPr>
                <w:rFonts w:hint="eastAsia"/>
                <w:lang w:eastAsia="ja-JP"/>
              </w:rPr>
            </w:pPr>
            <w:r>
              <w:rPr>
                <w:rFonts w:hint="eastAsia"/>
                <w:lang w:eastAsia="ja-JP"/>
              </w:rPr>
              <w:t>O</w:t>
            </w:r>
            <w:r>
              <w:rPr>
                <w:lang w:eastAsia="ja-JP"/>
              </w:rPr>
              <w:t>ption 1</w:t>
            </w:r>
          </w:p>
        </w:tc>
        <w:tc>
          <w:tcPr>
            <w:tcW w:w="6092" w:type="dxa"/>
          </w:tcPr>
          <w:p w14:paraId="21C0A44C" w14:textId="77777777" w:rsidR="00A64454" w:rsidRDefault="00A64454" w:rsidP="00A64454">
            <w:pPr>
              <w:rPr>
                <w:lang w:eastAsia="ja-JP"/>
              </w:rPr>
            </w:pPr>
            <w:r>
              <w:rPr>
                <w:rFonts w:hint="eastAsia"/>
                <w:lang w:eastAsia="ja-JP"/>
              </w:rPr>
              <w:t>W</w:t>
            </w:r>
            <w:r>
              <w:rPr>
                <w:lang w:eastAsia="ja-JP"/>
              </w:rPr>
              <w:t>e think ServingCellConfig is the appropriate place.</w:t>
            </w:r>
          </w:p>
          <w:p w14:paraId="73C90E27" w14:textId="04D13FE2" w:rsidR="00A64454" w:rsidRDefault="00A64454" w:rsidP="00A64454">
            <w:pPr>
              <w:rPr>
                <w:lang w:eastAsia="ja-JP"/>
              </w:rPr>
            </w:pPr>
            <w:r>
              <w:rPr>
                <w:rFonts w:hint="eastAsia"/>
                <w:lang w:eastAsia="ja-JP"/>
              </w:rPr>
              <w:t>F</w:t>
            </w:r>
            <w:r>
              <w:rPr>
                <w:lang w:eastAsia="ja-JP"/>
              </w:rPr>
              <w:t>or concrete parameters, we need to wait for input from RAN1</w:t>
            </w:r>
            <w:r>
              <w:rPr>
                <w:rFonts w:hint="eastAsia"/>
                <w:lang w:eastAsia="ja-JP"/>
              </w:rPr>
              <w:t xml:space="preserve"> </w:t>
            </w:r>
            <w:r>
              <w:rPr>
                <w:rFonts w:hint="eastAsia"/>
                <w:lang w:eastAsia="ja-JP"/>
              </w:rPr>
              <w:t>W</w:t>
            </w:r>
            <w:r>
              <w:rPr>
                <w:lang w:eastAsia="ja-JP"/>
              </w:rPr>
              <w:t>e think ServingCellConfig is the appropriate place.</w:t>
            </w:r>
          </w:p>
          <w:p w14:paraId="0089AD59" w14:textId="0330DE6A" w:rsidR="00EA6A19" w:rsidRDefault="00A64454" w:rsidP="00A64454">
            <w:r>
              <w:rPr>
                <w:rFonts w:hint="eastAsia"/>
                <w:lang w:eastAsia="ja-JP"/>
              </w:rPr>
              <w:t>F</w:t>
            </w:r>
            <w:r>
              <w:rPr>
                <w:lang w:eastAsia="ja-JP"/>
              </w:rPr>
              <w:t>or concrete parameters, we need to wait for input from RAN1</w:t>
            </w:r>
          </w:p>
        </w:tc>
      </w:tr>
      <w:tr w:rsidR="00EA6A19" w14:paraId="0089AD5E" w14:textId="77777777">
        <w:tc>
          <w:tcPr>
            <w:tcW w:w="1838" w:type="dxa"/>
          </w:tcPr>
          <w:p w14:paraId="0089AD5B" w14:textId="77777777" w:rsidR="00EA6A19" w:rsidRDefault="00EA6A19" w:rsidP="00EA6A19"/>
        </w:tc>
        <w:tc>
          <w:tcPr>
            <w:tcW w:w="1701" w:type="dxa"/>
          </w:tcPr>
          <w:p w14:paraId="0089AD5C" w14:textId="77777777" w:rsidR="00EA6A19" w:rsidRDefault="00EA6A19" w:rsidP="00EA6A19"/>
        </w:tc>
        <w:tc>
          <w:tcPr>
            <w:tcW w:w="6092" w:type="dxa"/>
          </w:tcPr>
          <w:p w14:paraId="0089AD5D" w14:textId="77777777" w:rsidR="00EA6A19" w:rsidRDefault="00EA6A19" w:rsidP="00EA6A19"/>
        </w:tc>
      </w:tr>
      <w:tr w:rsidR="00EA6A19" w14:paraId="0089AD62" w14:textId="77777777">
        <w:tc>
          <w:tcPr>
            <w:tcW w:w="1838" w:type="dxa"/>
          </w:tcPr>
          <w:p w14:paraId="0089AD5F" w14:textId="77777777" w:rsidR="00EA6A19" w:rsidRDefault="00EA6A19" w:rsidP="00EA6A19"/>
        </w:tc>
        <w:tc>
          <w:tcPr>
            <w:tcW w:w="1701" w:type="dxa"/>
          </w:tcPr>
          <w:p w14:paraId="0089AD60" w14:textId="77777777" w:rsidR="00EA6A19" w:rsidRDefault="00EA6A19" w:rsidP="00EA6A19"/>
        </w:tc>
        <w:tc>
          <w:tcPr>
            <w:tcW w:w="6092" w:type="dxa"/>
          </w:tcPr>
          <w:p w14:paraId="0089AD61" w14:textId="77777777" w:rsidR="00EA6A19" w:rsidRDefault="00EA6A19" w:rsidP="00EA6A19"/>
        </w:tc>
      </w:tr>
      <w:tr w:rsidR="00EA6A19" w14:paraId="0089AD66" w14:textId="77777777">
        <w:tc>
          <w:tcPr>
            <w:tcW w:w="1838" w:type="dxa"/>
          </w:tcPr>
          <w:p w14:paraId="0089AD63" w14:textId="77777777" w:rsidR="00EA6A19" w:rsidRDefault="00EA6A19" w:rsidP="00EA6A19"/>
        </w:tc>
        <w:tc>
          <w:tcPr>
            <w:tcW w:w="1701" w:type="dxa"/>
          </w:tcPr>
          <w:p w14:paraId="0089AD64" w14:textId="77777777" w:rsidR="00EA6A19" w:rsidRDefault="00EA6A19" w:rsidP="00EA6A19"/>
        </w:tc>
        <w:tc>
          <w:tcPr>
            <w:tcW w:w="6092" w:type="dxa"/>
          </w:tcPr>
          <w:p w14:paraId="0089AD65" w14:textId="77777777" w:rsidR="00EA6A19" w:rsidRDefault="00EA6A19" w:rsidP="00EA6A19"/>
        </w:tc>
      </w:tr>
      <w:tr w:rsidR="00EA6A19" w14:paraId="0089AD6A" w14:textId="77777777">
        <w:tc>
          <w:tcPr>
            <w:tcW w:w="1838" w:type="dxa"/>
          </w:tcPr>
          <w:p w14:paraId="0089AD67" w14:textId="77777777" w:rsidR="00EA6A19" w:rsidRDefault="00EA6A19" w:rsidP="00EA6A19"/>
        </w:tc>
        <w:tc>
          <w:tcPr>
            <w:tcW w:w="1701" w:type="dxa"/>
          </w:tcPr>
          <w:p w14:paraId="0089AD68" w14:textId="77777777" w:rsidR="00EA6A19" w:rsidRDefault="00EA6A19" w:rsidP="00EA6A19"/>
        </w:tc>
        <w:tc>
          <w:tcPr>
            <w:tcW w:w="6092" w:type="dxa"/>
          </w:tcPr>
          <w:p w14:paraId="0089AD69" w14:textId="77777777" w:rsidR="00EA6A19" w:rsidRDefault="00EA6A19" w:rsidP="00EA6A19"/>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The proposed IEs include a number of constants which have dependencies on RAN1, however we wonder if RAN2 can at least discuss some basic features of the IEs based on the known agreements in RAN1, even if we may not be able to to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af1"/>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af1"/>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af1"/>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af1"/>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af1"/>
        <w:numPr>
          <w:ilvl w:val="0"/>
          <w:numId w:val="6"/>
        </w:numPr>
        <w:rPr>
          <w:b/>
          <w:bCs/>
        </w:rPr>
      </w:pPr>
      <w:r>
        <w:rPr>
          <w:b/>
          <w:bCs/>
        </w:rPr>
        <w:t>Option 3: Wait for RAN1.</w:t>
      </w:r>
    </w:p>
    <w:tbl>
      <w:tblPr>
        <w:tblStyle w:val="af0"/>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a6"/>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uawei, HiSilicon</w:t>
            </w:r>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lastRenderedPageBreak/>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Both options work, we could provide more flexibility of beam configuration of NCR considering dynamic changes of forwarding link.</w:t>
            </w:r>
          </w:p>
        </w:tc>
      </w:tr>
      <w:tr w:rsidR="00C35790" w14:paraId="0089AD8D" w14:textId="77777777">
        <w:tc>
          <w:tcPr>
            <w:tcW w:w="1838" w:type="dxa"/>
          </w:tcPr>
          <w:p w14:paraId="0089AD8A" w14:textId="6F3D76D4" w:rsidR="00C35790" w:rsidRDefault="00C35790" w:rsidP="00C35790">
            <w:r>
              <w:rPr>
                <w:rFonts w:hint="eastAsia"/>
                <w:lang w:eastAsia="ja-JP"/>
              </w:rPr>
              <w:t>K</w:t>
            </w:r>
            <w:r>
              <w:rPr>
                <w:lang w:eastAsia="ja-JP"/>
              </w:rPr>
              <w:t>yocera</w:t>
            </w:r>
          </w:p>
        </w:tc>
        <w:tc>
          <w:tcPr>
            <w:tcW w:w="1701" w:type="dxa"/>
          </w:tcPr>
          <w:p w14:paraId="0089AD8B" w14:textId="240493C9" w:rsidR="00C35790" w:rsidRDefault="00C35790" w:rsidP="00C35790">
            <w:r>
              <w:rPr>
                <w:rFonts w:hint="eastAsia"/>
                <w:lang w:eastAsia="ja-JP"/>
              </w:rPr>
              <w:t>O</w:t>
            </w:r>
            <w:r>
              <w:rPr>
                <w:lang w:eastAsia="ja-JP"/>
              </w:rPr>
              <w:t>ption 2</w:t>
            </w:r>
          </w:p>
        </w:tc>
        <w:tc>
          <w:tcPr>
            <w:tcW w:w="6092" w:type="dxa"/>
          </w:tcPr>
          <w:p w14:paraId="0089AD8C" w14:textId="5EA647BB" w:rsidR="00C35790" w:rsidRDefault="00C35790" w:rsidP="00C35790">
            <w:r>
              <w:rPr>
                <w:rFonts w:hint="eastAsia"/>
                <w:lang w:eastAsia="ja-JP"/>
              </w:rPr>
              <w:t>W</w:t>
            </w:r>
            <w:r>
              <w:rPr>
                <w:lang w:eastAsia="ja-JP"/>
              </w:rPr>
              <w:t xml:space="preserve">e think Option 2 has more forward compatibility. </w:t>
            </w:r>
          </w:p>
        </w:tc>
      </w:tr>
      <w:tr w:rsidR="00EA6A19" w14:paraId="0089AD91" w14:textId="77777777">
        <w:tc>
          <w:tcPr>
            <w:tcW w:w="1838" w:type="dxa"/>
          </w:tcPr>
          <w:p w14:paraId="0089AD8E" w14:textId="65F577B1" w:rsidR="00EA6A19" w:rsidRDefault="00EA6A19" w:rsidP="00EA6A19">
            <w:r>
              <w:t>Sasmung</w:t>
            </w:r>
          </w:p>
        </w:tc>
        <w:tc>
          <w:tcPr>
            <w:tcW w:w="1701" w:type="dxa"/>
          </w:tcPr>
          <w:p w14:paraId="0089AD8F" w14:textId="14FDA110" w:rsidR="00EA6A19" w:rsidRDefault="00EA6A19" w:rsidP="00EA6A19">
            <w:r>
              <w:t>Option 2</w:t>
            </w:r>
          </w:p>
        </w:tc>
        <w:tc>
          <w:tcPr>
            <w:tcW w:w="6092" w:type="dxa"/>
          </w:tcPr>
          <w:p w14:paraId="0089AD90" w14:textId="61189B88" w:rsidR="00EA6A19" w:rsidRDefault="00EA6A19" w:rsidP="00EA6A19">
            <w:r>
              <w:t xml:space="preserve">Option 2 is how we usually do it and we do not see any reason to do things differently.   </w:t>
            </w:r>
          </w:p>
        </w:tc>
      </w:tr>
      <w:tr w:rsidR="00EA6A19" w14:paraId="0089AD95" w14:textId="77777777">
        <w:tc>
          <w:tcPr>
            <w:tcW w:w="1838" w:type="dxa"/>
          </w:tcPr>
          <w:p w14:paraId="0089AD92" w14:textId="45D27318" w:rsidR="00EA6A19" w:rsidRDefault="00A64454" w:rsidP="00EA6A19">
            <w:pPr>
              <w:rPr>
                <w:rFonts w:hint="eastAsia"/>
                <w:lang w:eastAsia="ja-JP"/>
              </w:rPr>
            </w:pPr>
            <w:r>
              <w:rPr>
                <w:rFonts w:hint="eastAsia"/>
                <w:lang w:eastAsia="ja-JP"/>
              </w:rPr>
              <w:t>F</w:t>
            </w:r>
            <w:r>
              <w:rPr>
                <w:lang w:eastAsia="ja-JP"/>
              </w:rPr>
              <w:t>ujitsu</w:t>
            </w:r>
          </w:p>
        </w:tc>
        <w:tc>
          <w:tcPr>
            <w:tcW w:w="1701" w:type="dxa"/>
          </w:tcPr>
          <w:p w14:paraId="0089AD93" w14:textId="0190B54C" w:rsidR="00EA6A19" w:rsidRDefault="00A64454" w:rsidP="00EA6A19">
            <w:pPr>
              <w:rPr>
                <w:rFonts w:hint="eastAsia"/>
                <w:lang w:eastAsia="ja-JP"/>
              </w:rPr>
            </w:pPr>
            <w:r>
              <w:rPr>
                <w:rFonts w:hint="eastAsia"/>
                <w:lang w:eastAsia="ja-JP"/>
              </w:rPr>
              <w:t>O</w:t>
            </w:r>
            <w:r>
              <w:rPr>
                <w:lang w:eastAsia="ja-JP"/>
              </w:rPr>
              <w:t>ption 3</w:t>
            </w:r>
          </w:p>
        </w:tc>
        <w:tc>
          <w:tcPr>
            <w:tcW w:w="6092" w:type="dxa"/>
          </w:tcPr>
          <w:p w14:paraId="0089AD94" w14:textId="537D9C63" w:rsidR="00EA6A19" w:rsidRDefault="00A64454" w:rsidP="00EA6A19">
            <w:pPr>
              <w:rPr>
                <w:rFonts w:hint="eastAsia"/>
                <w:lang w:eastAsia="ja-JP"/>
              </w:rPr>
            </w:pPr>
            <w:r>
              <w:rPr>
                <w:rFonts w:hint="eastAsia"/>
                <w:lang w:eastAsia="ja-JP"/>
              </w:rPr>
              <w:t>R</w:t>
            </w:r>
            <w:r>
              <w:rPr>
                <w:lang w:eastAsia="ja-JP"/>
              </w:rPr>
              <w:t>AN1 already agreed to send LS to RAN2.</w:t>
            </w:r>
          </w:p>
        </w:tc>
      </w:tr>
      <w:tr w:rsidR="00EA6A19" w14:paraId="0089AD99" w14:textId="77777777">
        <w:tc>
          <w:tcPr>
            <w:tcW w:w="1838" w:type="dxa"/>
          </w:tcPr>
          <w:p w14:paraId="0089AD96" w14:textId="77777777" w:rsidR="00EA6A19" w:rsidRDefault="00EA6A19" w:rsidP="00EA6A19"/>
        </w:tc>
        <w:tc>
          <w:tcPr>
            <w:tcW w:w="1701" w:type="dxa"/>
          </w:tcPr>
          <w:p w14:paraId="0089AD97" w14:textId="77777777" w:rsidR="00EA6A19" w:rsidRDefault="00EA6A19" w:rsidP="00EA6A19"/>
        </w:tc>
        <w:tc>
          <w:tcPr>
            <w:tcW w:w="6092" w:type="dxa"/>
          </w:tcPr>
          <w:p w14:paraId="0089AD98" w14:textId="77777777" w:rsidR="00EA6A19" w:rsidRDefault="00EA6A19" w:rsidP="00EA6A19"/>
        </w:tc>
      </w:tr>
      <w:tr w:rsidR="00EA6A19" w14:paraId="0089AD9D" w14:textId="77777777">
        <w:tc>
          <w:tcPr>
            <w:tcW w:w="1838" w:type="dxa"/>
          </w:tcPr>
          <w:p w14:paraId="0089AD9A" w14:textId="77777777" w:rsidR="00EA6A19" w:rsidRDefault="00EA6A19" w:rsidP="00EA6A19"/>
        </w:tc>
        <w:tc>
          <w:tcPr>
            <w:tcW w:w="1701" w:type="dxa"/>
          </w:tcPr>
          <w:p w14:paraId="0089AD9B" w14:textId="77777777" w:rsidR="00EA6A19" w:rsidRDefault="00EA6A19" w:rsidP="00EA6A19"/>
        </w:tc>
        <w:tc>
          <w:tcPr>
            <w:tcW w:w="6092" w:type="dxa"/>
          </w:tcPr>
          <w:p w14:paraId="0089AD9C" w14:textId="77777777" w:rsidR="00EA6A19" w:rsidRDefault="00EA6A19" w:rsidP="00EA6A19"/>
        </w:tc>
      </w:tr>
      <w:tr w:rsidR="00EA6A19" w14:paraId="0089ADA1" w14:textId="77777777">
        <w:tc>
          <w:tcPr>
            <w:tcW w:w="1838" w:type="dxa"/>
          </w:tcPr>
          <w:p w14:paraId="0089AD9E" w14:textId="77777777" w:rsidR="00EA6A19" w:rsidRDefault="00EA6A19" w:rsidP="00EA6A19"/>
        </w:tc>
        <w:tc>
          <w:tcPr>
            <w:tcW w:w="1701" w:type="dxa"/>
          </w:tcPr>
          <w:p w14:paraId="0089AD9F" w14:textId="77777777" w:rsidR="00EA6A19" w:rsidRDefault="00EA6A19" w:rsidP="00EA6A19"/>
        </w:tc>
        <w:tc>
          <w:tcPr>
            <w:tcW w:w="6092" w:type="dxa"/>
          </w:tcPr>
          <w:p w14:paraId="0089ADA0" w14:textId="77777777" w:rsidR="00EA6A19" w:rsidRDefault="00EA6A19" w:rsidP="00EA6A19"/>
        </w:tc>
      </w:tr>
      <w:tr w:rsidR="00EA6A19" w14:paraId="0089ADA5" w14:textId="77777777">
        <w:tc>
          <w:tcPr>
            <w:tcW w:w="1838" w:type="dxa"/>
          </w:tcPr>
          <w:p w14:paraId="0089ADA2" w14:textId="77777777" w:rsidR="00EA6A19" w:rsidRDefault="00EA6A19" w:rsidP="00EA6A19"/>
        </w:tc>
        <w:tc>
          <w:tcPr>
            <w:tcW w:w="1701" w:type="dxa"/>
          </w:tcPr>
          <w:p w14:paraId="0089ADA3" w14:textId="77777777" w:rsidR="00EA6A19" w:rsidRDefault="00EA6A19" w:rsidP="00EA6A19"/>
        </w:tc>
        <w:tc>
          <w:tcPr>
            <w:tcW w:w="6092" w:type="dxa"/>
          </w:tcPr>
          <w:p w14:paraId="0089ADA4" w14:textId="77777777" w:rsidR="00EA6A19" w:rsidRDefault="00EA6A19" w:rsidP="00EA6A19"/>
        </w:tc>
      </w:tr>
    </w:tbl>
    <w:p w14:paraId="0089ADA6" w14:textId="77777777" w:rsidR="0056151D" w:rsidRDefault="0056151D"/>
    <w:p w14:paraId="0089ADA7" w14:textId="77777777" w:rsidR="0056151D" w:rsidRDefault="002C2D01">
      <w:pPr>
        <w:rPr>
          <w:b/>
          <w:bCs/>
        </w:rPr>
      </w:pPr>
      <w:r>
        <w:rPr>
          <w:b/>
          <w:bCs/>
        </w:rPr>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af0"/>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gNB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af1"/>
        <w:numPr>
          <w:ilvl w:val="0"/>
          <w:numId w:val="7"/>
        </w:numPr>
        <w:spacing w:after="0"/>
        <w:rPr>
          <w:b/>
          <w:bCs/>
          <w:color w:val="000000"/>
          <w:lang w:eastAsia="zh-CN"/>
        </w:rPr>
      </w:pPr>
      <w:r>
        <w:rPr>
          <w:b/>
          <w:bCs/>
        </w:rPr>
        <w:lastRenderedPageBreak/>
        <w:t xml:space="preserve">Option 1: </w:t>
      </w:r>
      <w:r>
        <w:rPr>
          <w:b/>
          <w:bCs/>
          <w:color w:val="000000"/>
          <w:lang w:eastAsia="zh-CN"/>
        </w:rPr>
        <w:t>NCR-support indication is included in SIB1 per PLMN and per NPN.</w:t>
      </w:r>
    </w:p>
    <w:p w14:paraId="0089ADD1" w14:textId="77777777" w:rsidR="0056151D" w:rsidRDefault="002C2D01">
      <w:pPr>
        <w:pStyle w:val="af1"/>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af1"/>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af0"/>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uawei, HiSilicon</w:t>
            </w:r>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t>We don’t see a need to differentiate PLMN and NPN.</w:t>
            </w:r>
          </w:p>
        </w:tc>
      </w:tr>
      <w:tr w:rsidR="00DE1A9D" w14:paraId="0089ADE7" w14:textId="77777777">
        <w:tc>
          <w:tcPr>
            <w:tcW w:w="1838" w:type="dxa"/>
          </w:tcPr>
          <w:p w14:paraId="0089ADE4" w14:textId="1A861C47" w:rsidR="00DE1A9D" w:rsidRPr="00B36453" w:rsidRDefault="00DE1A9D" w:rsidP="00DE1A9D">
            <w:r>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There doesn’t seem to be a strong motivation to indicate separate control bits per PLMN/NPN.  The sidecontrol is applicable for all the PLMNs/NPN.  The NCR-MT can only access the PLMN that it is its HPLMN and the operator has to ensure that the HPLMN supports NCR for NCR to work at all.  Hence we prefer not to have to provide unnecessary bits in SIB1.</w:t>
            </w:r>
          </w:p>
        </w:tc>
      </w:tr>
      <w:tr w:rsidR="003B7578" w14:paraId="0089ADEB" w14:textId="77777777">
        <w:tc>
          <w:tcPr>
            <w:tcW w:w="1838" w:type="dxa"/>
          </w:tcPr>
          <w:p w14:paraId="0089ADE8" w14:textId="252A69C6" w:rsidR="003B7578" w:rsidRDefault="003B7578" w:rsidP="003B7578">
            <w:r>
              <w:rPr>
                <w:rFonts w:hint="eastAsia"/>
                <w:lang w:eastAsia="ja-JP"/>
              </w:rPr>
              <w:t>K</w:t>
            </w:r>
            <w:r>
              <w:rPr>
                <w:lang w:eastAsia="ja-JP"/>
              </w:rPr>
              <w:t>yocera</w:t>
            </w:r>
          </w:p>
        </w:tc>
        <w:tc>
          <w:tcPr>
            <w:tcW w:w="1701" w:type="dxa"/>
          </w:tcPr>
          <w:p w14:paraId="0089ADE9" w14:textId="67289BC8" w:rsidR="003B7578" w:rsidRDefault="003B7578" w:rsidP="003B7578">
            <w:r>
              <w:rPr>
                <w:rFonts w:hint="eastAsia"/>
                <w:lang w:eastAsia="ja-JP"/>
              </w:rPr>
              <w:t>O</w:t>
            </w:r>
            <w:r>
              <w:rPr>
                <w:lang w:eastAsia="ja-JP"/>
              </w:rPr>
              <w:t>ption 3</w:t>
            </w:r>
          </w:p>
        </w:tc>
        <w:tc>
          <w:tcPr>
            <w:tcW w:w="6092" w:type="dxa"/>
          </w:tcPr>
          <w:p w14:paraId="1BED331B" w14:textId="77777777" w:rsidR="003B7578" w:rsidRDefault="003B7578" w:rsidP="003B7578">
            <w:pPr>
              <w:rPr>
                <w:lang w:eastAsia="ja-JP"/>
              </w:rPr>
            </w:pPr>
            <w:r>
              <w:rPr>
                <w:rFonts w:hint="eastAsia"/>
                <w:lang w:eastAsia="ja-JP"/>
              </w:rPr>
              <w:t>W</w:t>
            </w:r>
            <w:r>
              <w:rPr>
                <w:lang w:eastAsia="ja-JP"/>
              </w:rPr>
              <w:t xml:space="preserve">e’re fine with either Option 1 or Option 3, but we slightly prefer Option 3 since we share the comment from Huawei in the online discussion. </w:t>
            </w:r>
          </w:p>
          <w:p w14:paraId="0089ADEA" w14:textId="75CE586A" w:rsidR="003B7578" w:rsidRDefault="003B7578" w:rsidP="003B7578">
            <w:r>
              <w:rPr>
                <w:rFonts w:hint="eastAsia"/>
                <w:lang w:eastAsia="ja-JP"/>
              </w:rPr>
              <w:t>W</w:t>
            </w:r>
            <w:r>
              <w:rPr>
                <w:lang w:eastAsia="ja-JP"/>
              </w:rPr>
              <w:t xml:space="preserve">e don’t agree with Option 2. We don’t think such an artificial restriction is needed. </w:t>
            </w:r>
          </w:p>
        </w:tc>
      </w:tr>
      <w:tr w:rsidR="00EA6A19" w14:paraId="0089ADEF" w14:textId="77777777">
        <w:tc>
          <w:tcPr>
            <w:tcW w:w="1838" w:type="dxa"/>
          </w:tcPr>
          <w:p w14:paraId="0089ADEC" w14:textId="63C99289" w:rsidR="00EA6A19" w:rsidRDefault="00EA6A19" w:rsidP="00EA6A19">
            <w:r>
              <w:t>Sasmung</w:t>
            </w:r>
          </w:p>
        </w:tc>
        <w:tc>
          <w:tcPr>
            <w:tcW w:w="1701" w:type="dxa"/>
          </w:tcPr>
          <w:p w14:paraId="0089ADED" w14:textId="47076FCE" w:rsidR="00EA6A19" w:rsidRDefault="00EA6A19" w:rsidP="00EA6A19">
            <w:r>
              <w:t xml:space="preserve">Option 1 </w:t>
            </w:r>
          </w:p>
        </w:tc>
        <w:tc>
          <w:tcPr>
            <w:tcW w:w="6092" w:type="dxa"/>
          </w:tcPr>
          <w:p w14:paraId="0089ADEE" w14:textId="03590A1B" w:rsidR="00EA6A19" w:rsidRDefault="00EA6A19" w:rsidP="00EA6A19">
            <w:r>
              <w:t xml:space="preserve">We prefer to keep it the same as IAB. We do not see any problems with “SIB1” overload in this case. </w:t>
            </w:r>
          </w:p>
        </w:tc>
      </w:tr>
      <w:tr w:rsidR="00EA6A19" w14:paraId="0089ADF3" w14:textId="77777777">
        <w:tc>
          <w:tcPr>
            <w:tcW w:w="1838" w:type="dxa"/>
          </w:tcPr>
          <w:p w14:paraId="0089ADF0" w14:textId="4AE178B4" w:rsidR="00EA6A19" w:rsidRDefault="00A64454" w:rsidP="00EA6A19">
            <w:pPr>
              <w:rPr>
                <w:rFonts w:hint="eastAsia"/>
                <w:lang w:eastAsia="ja-JP"/>
              </w:rPr>
            </w:pPr>
            <w:r>
              <w:rPr>
                <w:rFonts w:hint="eastAsia"/>
                <w:lang w:eastAsia="ja-JP"/>
              </w:rPr>
              <w:t>F</w:t>
            </w:r>
            <w:r>
              <w:rPr>
                <w:lang w:eastAsia="ja-JP"/>
              </w:rPr>
              <w:t>ujitsu</w:t>
            </w:r>
          </w:p>
        </w:tc>
        <w:tc>
          <w:tcPr>
            <w:tcW w:w="1701" w:type="dxa"/>
          </w:tcPr>
          <w:p w14:paraId="0089ADF1" w14:textId="35BB35AF" w:rsidR="00EA6A19" w:rsidRDefault="00A64454" w:rsidP="00EA6A19">
            <w:pPr>
              <w:rPr>
                <w:rFonts w:hint="eastAsia"/>
                <w:lang w:eastAsia="ja-JP"/>
              </w:rPr>
            </w:pPr>
            <w:r>
              <w:rPr>
                <w:rFonts w:hint="eastAsia"/>
                <w:lang w:eastAsia="ja-JP"/>
              </w:rPr>
              <w:t>O</w:t>
            </w:r>
            <w:r>
              <w:rPr>
                <w:lang w:eastAsia="ja-JP"/>
              </w:rPr>
              <w:t>ption 3</w:t>
            </w:r>
          </w:p>
        </w:tc>
        <w:tc>
          <w:tcPr>
            <w:tcW w:w="6092" w:type="dxa"/>
          </w:tcPr>
          <w:p w14:paraId="0089ADF2" w14:textId="6A075C81" w:rsidR="00EA6A19" w:rsidRDefault="00A64454" w:rsidP="00EA6A19">
            <w:r>
              <w:rPr>
                <w:rFonts w:hint="eastAsia"/>
                <w:lang w:eastAsia="ja-JP"/>
              </w:rPr>
              <w:t xml:space="preserve">Not </w:t>
            </w:r>
            <w:r>
              <w:t>a strong view. But Option 3 seems simple.</w:t>
            </w:r>
          </w:p>
        </w:tc>
      </w:tr>
      <w:tr w:rsidR="00EA6A19" w14:paraId="0089ADF7" w14:textId="77777777">
        <w:tc>
          <w:tcPr>
            <w:tcW w:w="1838" w:type="dxa"/>
          </w:tcPr>
          <w:p w14:paraId="0089ADF4" w14:textId="77777777" w:rsidR="00EA6A19" w:rsidRDefault="00EA6A19" w:rsidP="00EA6A19"/>
        </w:tc>
        <w:tc>
          <w:tcPr>
            <w:tcW w:w="1701" w:type="dxa"/>
          </w:tcPr>
          <w:p w14:paraId="0089ADF5" w14:textId="77777777" w:rsidR="00EA6A19" w:rsidRDefault="00EA6A19" w:rsidP="00EA6A19"/>
        </w:tc>
        <w:tc>
          <w:tcPr>
            <w:tcW w:w="6092" w:type="dxa"/>
          </w:tcPr>
          <w:p w14:paraId="0089ADF6" w14:textId="77777777" w:rsidR="00EA6A19" w:rsidRDefault="00EA6A19" w:rsidP="00EA6A19"/>
        </w:tc>
      </w:tr>
      <w:tr w:rsidR="00EA6A19" w14:paraId="0089ADFB" w14:textId="77777777">
        <w:tc>
          <w:tcPr>
            <w:tcW w:w="1838" w:type="dxa"/>
          </w:tcPr>
          <w:p w14:paraId="0089ADF8" w14:textId="77777777" w:rsidR="00EA6A19" w:rsidRDefault="00EA6A19" w:rsidP="00EA6A19"/>
        </w:tc>
        <w:tc>
          <w:tcPr>
            <w:tcW w:w="1701" w:type="dxa"/>
          </w:tcPr>
          <w:p w14:paraId="0089ADF9" w14:textId="77777777" w:rsidR="00EA6A19" w:rsidRDefault="00EA6A19" w:rsidP="00EA6A19"/>
        </w:tc>
        <w:tc>
          <w:tcPr>
            <w:tcW w:w="6092" w:type="dxa"/>
          </w:tcPr>
          <w:p w14:paraId="0089ADFA" w14:textId="77777777" w:rsidR="00EA6A19" w:rsidRDefault="00EA6A19" w:rsidP="00EA6A19"/>
        </w:tc>
      </w:tr>
      <w:tr w:rsidR="00EA6A19" w14:paraId="0089ADFF" w14:textId="77777777">
        <w:tc>
          <w:tcPr>
            <w:tcW w:w="1838" w:type="dxa"/>
          </w:tcPr>
          <w:p w14:paraId="0089ADFC" w14:textId="77777777" w:rsidR="00EA6A19" w:rsidRDefault="00EA6A19" w:rsidP="00EA6A19"/>
        </w:tc>
        <w:tc>
          <w:tcPr>
            <w:tcW w:w="1701" w:type="dxa"/>
          </w:tcPr>
          <w:p w14:paraId="0089ADFD" w14:textId="77777777" w:rsidR="00EA6A19" w:rsidRDefault="00EA6A19" w:rsidP="00EA6A19"/>
        </w:tc>
        <w:tc>
          <w:tcPr>
            <w:tcW w:w="6092" w:type="dxa"/>
          </w:tcPr>
          <w:p w14:paraId="0089ADFE" w14:textId="77777777" w:rsidR="00EA6A19" w:rsidRDefault="00EA6A19" w:rsidP="00EA6A19"/>
        </w:tc>
      </w:tr>
      <w:tr w:rsidR="00EA6A19" w14:paraId="0089AE03" w14:textId="77777777">
        <w:tc>
          <w:tcPr>
            <w:tcW w:w="1838" w:type="dxa"/>
          </w:tcPr>
          <w:p w14:paraId="0089AE00" w14:textId="77777777" w:rsidR="00EA6A19" w:rsidRDefault="00EA6A19" w:rsidP="00EA6A19"/>
        </w:tc>
        <w:tc>
          <w:tcPr>
            <w:tcW w:w="1701" w:type="dxa"/>
          </w:tcPr>
          <w:p w14:paraId="0089AE01" w14:textId="77777777" w:rsidR="00EA6A19" w:rsidRDefault="00EA6A19" w:rsidP="00EA6A19"/>
        </w:tc>
        <w:tc>
          <w:tcPr>
            <w:tcW w:w="6092" w:type="dxa"/>
          </w:tcPr>
          <w:p w14:paraId="0089AE02" w14:textId="77777777" w:rsidR="00EA6A19" w:rsidRDefault="00EA6A19" w:rsidP="00EA6A19"/>
        </w:tc>
      </w:tr>
    </w:tbl>
    <w:p w14:paraId="0089AE04" w14:textId="77777777" w:rsidR="0056151D" w:rsidRDefault="0056151D"/>
    <w:p w14:paraId="0089AE05" w14:textId="77777777" w:rsidR="0056151D" w:rsidRDefault="002C2D01">
      <w:pPr>
        <w:pStyle w:val="2"/>
      </w:pPr>
      <w:r>
        <w:t>3.3</w:t>
      </w:r>
      <w:r>
        <w:tab/>
        <w:t>NCR-Fwd behaviour after NCR-MT cell reselection</w:t>
      </w:r>
    </w:p>
    <w:p w14:paraId="0089AE06" w14:textId="77777777" w:rsidR="0056151D" w:rsidRDefault="002C2D01">
      <w:r>
        <w:t>Qualcomm presented the following proposal related to NCR-Fwd behaviour from R2-2300639. The first proposal, relates to NCR-Fwd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The NCR-FWD follows the last side control configuration received from the gNB.</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lastRenderedPageBreak/>
        <w:t>Companies are encouraged to provide their view on the following options for NCR-MT cell reselection in RRC_INACTIVE. Other directly related comments can also be provided.</w:t>
      </w:r>
    </w:p>
    <w:p w14:paraId="0089AE0C" w14:textId="77777777" w:rsidR="0056151D" w:rsidRDefault="002C2D01">
      <w:pPr>
        <w:pStyle w:val="af1"/>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af1"/>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r>
              <w:rPr>
                <w:bCs/>
              </w:rPr>
              <w:t>gNB cell that NCR-Fwd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 xml:space="preserve">The NCR-Fwd is always expected to be “OFF” unless otherwise </w:t>
            </w:r>
            <w:r>
              <w:rPr>
                <w:iCs/>
              </w:rPr>
              <w:t xml:space="preserve">explicitly or implicitly indicated by gNB), </w:t>
            </w:r>
            <w:r>
              <w:rPr>
                <w:bCs/>
              </w:rPr>
              <w:t>the NCR-Fwd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 xml:space="preserve">Two issues may need to be resolved before answering this question: 1) whether NCR-MT and NCR-Fwd must belong to the same cell and 2) whether cell reselection by NCR-MT means that the original cell that the NCR-Fwd is working for is too bad. </w:t>
            </w:r>
          </w:p>
          <w:p w14:paraId="0089AE1B" w14:textId="77777777" w:rsidR="0056151D" w:rsidRDefault="002C2D01">
            <w:pPr>
              <w:rPr>
                <w:lang w:eastAsia="zh-CN"/>
              </w:rPr>
            </w:pPr>
            <w:r>
              <w:rPr>
                <w:lang w:eastAsia="zh-CN"/>
              </w:rPr>
              <w:t xml:space="preserve">The NCR-MT may reselect to a high priority cell meanwhile the original cell for which the NCR-Fwd is working could still be OK. If the NCR-Fwd turn OFF, the users served via may be impacted since the original cell still assume the NCR-Fwd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NCR-Fwd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uawei, HiSilicon</w:t>
            </w:r>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e may need to discuss together what would be MT’s behaviors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 xml:space="preserve">/useful after NCR-MT reselects another cell. Hence, we think NCR-Fwd can still be ON regardless of NCR-MT’s cell reselection.  If a new cell cannot provide side control for this NCR-MT, the network can configure the RANAC to be just one cell if needed to force the NCRMT to resume on reselecting another cell.  </w:t>
            </w:r>
          </w:p>
        </w:tc>
      </w:tr>
      <w:tr w:rsidR="00FC3C76" w14:paraId="0089AE29" w14:textId="77777777">
        <w:tc>
          <w:tcPr>
            <w:tcW w:w="1838" w:type="dxa"/>
          </w:tcPr>
          <w:p w14:paraId="0089AE26" w14:textId="416B6CC6" w:rsidR="00FC3C76" w:rsidRPr="00B36453" w:rsidRDefault="00FC3C76" w:rsidP="00FC3C76">
            <w:r>
              <w:rPr>
                <w:rFonts w:hint="eastAsia"/>
                <w:lang w:eastAsia="ja-JP"/>
              </w:rPr>
              <w:t>K</w:t>
            </w:r>
            <w:r>
              <w:rPr>
                <w:lang w:eastAsia="ja-JP"/>
              </w:rPr>
              <w:t>yocera</w:t>
            </w:r>
          </w:p>
        </w:tc>
        <w:tc>
          <w:tcPr>
            <w:tcW w:w="1701" w:type="dxa"/>
          </w:tcPr>
          <w:p w14:paraId="0089AE27" w14:textId="5138C8A9" w:rsidR="00FC3C76" w:rsidRDefault="00FC3C76" w:rsidP="00FC3C76">
            <w:r>
              <w:rPr>
                <w:rFonts w:hint="eastAsia"/>
                <w:lang w:eastAsia="ja-JP"/>
              </w:rPr>
              <w:t>O</w:t>
            </w:r>
            <w:r>
              <w:rPr>
                <w:lang w:eastAsia="ja-JP"/>
              </w:rPr>
              <w:t>ption 1</w:t>
            </w:r>
          </w:p>
        </w:tc>
        <w:tc>
          <w:tcPr>
            <w:tcW w:w="6092" w:type="dxa"/>
          </w:tcPr>
          <w:p w14:paraId="0089AE28" w14:textId="0A76E858" w:rsidR="00FC3C76" w:rsidRDefault="00FC3C76" w:rsidP="00FC3C76">
            <w:r>
              <w:rPr>
                <w:rFonts w:hint="eastAsia"/>
                <w:lang w:eastAsia="ja-JP"/>
              </w:rPr>
              <w:t>R</w:t>
            </w:r>
            <w:r>
              <w:rPr>
                <w:lang w:eastAsia="ja-JP"/>
              </w:rPr>
              <w:t>AN2 agreed that “</w:t>
            </w:r>
            <w:r w:rsidRPr="00E12297">
              <w:rPr>
                <w:i/>
                <w:iCs/>
                <w:lang w:eastAsia="ja-JP"/>
              </w:rPr>
              <w:t>gNB cell that NCR-Fwd is forwarding is the same cell the NCT-MT is connected to.</w:t>
            </w:r>
            <w:r>
              <w:rPr>
                <w:lang w:eastAsia="ja-JP"/>
              </w:rPr>
              <w:t xml:space="preserve">” We think this principle is also applied to NCR-MT in INACTIVE. The reselected cell is different from the original cell which provided the NCR configuration, which means the cells that the NCR-Fwd is forwarding and the NCR-MT is camping on are different. So, we think the NCR-Fwd should be switched OFF when the NCR-MT reselects a different cell. </w:t>
            </w:r>
          </w:p>
        </w:tc>
      </w:tr>
      <w:tr w:rsidR="00EA6A19" w14:paraId="0089AE2D" w14:textId="77777777">
        <w:tc>
          <w:tcPr>
            <w:tcW w:w="1838" w:type="dxa"/>
          </w:tcPr>
          <w:p w14:paraId="0089AE2A" w14:textId="6AC31F00" w:rsidR="00EA6A19" w:rsidRDefault="00EA6A19" w:rsidP="00EA6A19">
            <w:r>
              <w:t>Samsung</w:t>
            </w:r>
          </w:p>
        </w:tc>
        <w:tc>
          <w:tcPr>
            <w:tcW w:w="1701" w:type="dxa"/>
          </w:tcPr>
          <w:p w14:paraId="0089AE2B" w14:textId="5A89254E" w:rsidR="00EA6A19" w:rsidRDefault="00EA6A19" w:rsidP="00EA6A19">
            <w:r>
              <w:t>1</w:t>
            </w:r>
          </w:p>
        </w:tc>
        <w:tc>
          <w:tcPr>
            <w:tcW w:w="6092" w:type="dxa"/>
          </w:tcPr>
          <w:p w14:paraId="5A69072A" w14:textId="77777777" w:rsidR="00EA6A19" w:rsidRDefault="00EA6A19" w:rsidP="00EA6A19">
            <w:r>
              <w:t xml:space="preserve">If the NCR-MT selects another cell, then the donor gNB loses reachability to control the NCR-Fwd, so for us it is very clear that the NCR-Fwd should be switched OFF. Otherwise the network actions would not be well-controlled. </w:t>
            </w:r>
          </w:p>
          <w:p w14:paraId="0089AE2C" w14:textId="0A44AA55" w:rsidR="00EA6A19" w:rsidRDefault="00EA6A19" w:rsidP="00EA6A19">
            <w:r>
              <w:lastRenderedPageBreak/>
              <w:t xml:space="preserve">Agree with the others that NCR-MT should resume to the new cell after having selected a new cell. </w:t>
            </w:r>
          </w:p>
        </w:tc>
      </w:tr>
      <w:tr w:rsidR="00EA6A19" w14:paraId="0089AE31" w14:textId="77777777">
        <w:tc>
          <w:tcPr>
            <w:tcW w:w="1838" w:type="dxa"/>
          </w:tcPr>
          <w:p w14:paraId="0089AE2E" w14:textId="2C590A17" w:rsidR="00EA6A19" w:rsidRDefault="00A64454" w:rsidP="00EA6A19">
            <w:pPr>
              <w:rPr>
                <w:rFonts w:hint="eastAsia"/>
                <w:lang w:eastAsia="ja-JP"/>
              </w:rPr>
            </w:pPr>
            <w:r>
              <w:rPr>
                <w:rFonts w:hint="eastAsia"/>
                <w:lang w:eastAsia="ja-JP"/>
              </w:rPr>
              <w:lastRenderedPageBreak/>
              <w:t>F</w:t>
            </w:r>
            <w:r>
              <w:rPr>
                <w:lang w:eastAsia="ja-JP"/>
              </w:rPr>
              <w:t>ujitsu</w:t>
            </w:r>
          </w:p>
        </w:tc>
        <w:tc>
          <w:tcPr>
            <w:tcW w:w="1701" w:type="dxa"/>
          </w:tcPr>
          <w:p w14:paraId="0089AE2F" w14:textId="135FD0A0" w:rsidR="00EA6A19" w:rsidRDefault="00A64454" w:rsidP="00EA6A19">
            <w:pPr>
              <w:rPr>
                <w:rFonts w:hint="eastAsia"/>
                <w:lang w:eastAsia="ja-JP"/>
              </w:rPr>
            </w:pPr>
            <w:r>
              <w:rPr>
                <w:rFonts w:hint="eastAsia"/>
                <w:lang w:eastAsia="ja-JP"/>
              </w:rPr>
              <w:t>O</w:t>
            </w:r>
            <w:r>
              <w:rPr>
                <w:lang w:eastAsia="ja-JP"/>
              </w:rPr>
              <w:t>ption 1</w:t>
            </w:r>
          </w:p>
        </w:tc>
        <w:tc>
          <w:tcPr>
            <w:tcW w:w="6092" w:type="dxa"/>
          </w:tcPr>
          <w:p w14:paraId="0089AE30" w14:textId="2674B2E0" w:rsidR="00A64454" w:rsidRDefault="00A64454" w:rsidP="00A64454">
            <w:pPr>
              <w:pStyle w:val="a6"/>
            </w:pPr>
            <w:r>
              <w:t>W</w:t>
            </w:r>
            <w:r>
              <w:t>hen cell reselection happens, the NCR-Fwd could not work as gNB expected. It should be OFF.</w:t>
            </w:r>
          </w:p>
        </w:tc>
      </w:tr>
      <w:tr w:rsidR="00EA6A19" w14:paraId="0089AE35" w14:textId="77777777">
        <w:tc>
          <w:tcPr>
            <w:tcW w:w="1838" w:type="dxa"/>
          </w:tcPr>
          <w:p w14:paraId="0089AE32" w14:textId="77777777" w:rsidR="00EA6A19" w:rsidRDefault="00EA6A19" w:rsidP="00EA6A19"/>
        </w:tc>
        <w:tc>
          <w:tcPr>
            <w:tcW w:w="1701" w:type="dxa"/>
          </w:tcPr>
          <w:p w14:paraId="0089AE33" w14:textId="77777777" w:rsidR="00EA6A19" w:rsidRDefault="00EA6A19" w:rsidP="00EA6A19"/>
        </w:tc>
        <w:tc>
          <w:tcPr>
            <w:tcW w:w="6092" w:type="dxa"/>
          </w:tcPr>
          <w:p w14:paraId="0089AE34" w14:textId="77777777" w:rsidR="00EA6A19" w:rsidRDefault="00EA6A19" w:rsidP="00EA6A19"/>
        </w:tc>
      </w:tr>
      <w:tr w:rsidR="00EA6A19" w14:paraId="0089AE39" w14:textId="77777777">
        <w:tc>
          <w:tcPr>
            <w:tcW w:w="1838" w:type="dxa"/>
          </w:tcPr>
          <w:p w14:paraId="0089AE36" w14:textId="77777777" w:rsidR="00EA6A19" w:rsidRDefault="00EA6A19" w:rsidP="00EA6A19"/>
        </w:tc>
        <w:tc>
          <w:tcPr>
            <w:tcW w:w="1701" w:type="dxa"/>
          </w:tcPr>
          <w:p w14:paraId="0089AE37" w14:textId="77777777" w:rsidR="00EA6A19" w:rsidRDefault="00EA6A19" w:rsidP="00EA6A19"/>
        </w:tc>
        <w:tc>
          <w:tcPr>
            <w:tcW w:w="6092" w:type="dxa"/>
          </w:tcPr>
          <w:p w14:paraId="0089AE38" w14:textId="77777777" w:rsidR="00EA6A19" w:rsidRDefault="00EA6A19" w:rsidP="00EA6A19"/>
        </w:tc>
      </w:tr>
      <w:tr w:rsidR="00EA6A19" w14:paraId="0089AE3D" w14:textId="77777777">
        <w:tc>
          <w:tcPr>
            <w:tcW w:w="1838" w:type="dxa"/>
          </w:tcPr>
          <w:p w14:paraId="0089AE3A" w14:textId="77777777" w:rsidR="00EA6A19" w:rsidRDefault="00EA6A19" w:rsidP="00EA6A19"/>
        </w:tc>
        <w:tc>
          <w:tcPr>
            <w:tcW w:w="1701" w:type="dxa"/>
          </w:tcPr>
          <w:p w14:paraId="0089AE3B" w14:textId="77777777" w:rsidR="00EA6A19" w:rsidRDefault="00EA6A19" w:rsidP="00EA6A19"/>
        </w:tc>
        <w:tc>
          <w:tcPr>
            <w:tcW w:w="6092" w:type="dxa"/>
          </w:tcPr>
          <w:p w14:paraId="0089AE3C" w14:textId="77777777" w:rsidR="00EA6A19" w:rsidRDefault="00EA6A19" w:rsidP="00EA6A19"/>
        </w:tc>
      </w:tr>
      <w:tr w:rsidR="00EA6A19" w14:paraId="0089AE41" w14:textId="77777777">
        <w:tc>
          <w:tcPr>
            <w:tcW w:w="1838" w:type="dxa"/>
          </w:tcPr>
          <w:p w14:paraId="0089AE3E" w14:textId="77777777" w:rsidR="00EA6A19" w:rsidRDefault="00EA6A19" w:rsidP="00EA6A19"/>
        </w:tc>
        <w:tc>
          <w:tcPr>
            <w:tcW w:w="1701" w:type="dxa"/>
          </w:tcPr>
          <w:p w14:paraId="0089AE3F" w14:textId="77777777" w:rsidR="00EA6A19" w:rsidRDefault="00EA6A19" w:rsidP="00EA6A19"/>
        </w:tc>
        <w:tc>
          <w:tcPr>
            <w:tcW w:w="6092" w:type="dxa"/>
          </w:tcPr>
          <w:p w14:paraId="0089AE40" w14:textId="77777777" w:rsidR="00EA6A19" w:rsidRDefault="00EA6A19" w:rsidP="00EA6A19"/>
        </w:tc>
      </w:tr>
      <w:tr w:rsidR="00EA6A19" w14:paraId="0089AE45" w14:textId="77777777">
        <w:tc>
          <w:tcPr>
            <w:tcW w:w="1838" w:type="dxa"/>
          </w:tcPr>
          <w:p w14:paraId="0089AE42" w14:textId="77777777" w:rsidR="00EA6A19" w:rsidRDefault="00EA6A19" w:rsidP="00EA6A19"/>
        </w:tc>
        <w:tc>
          <w:tcPr>
            <w:tcW w:w="1701" w:type="dxa"/>
          </w:tcPr>
          <w:p w14:paraId="0089AE43" w14:textId="77777777" w:rsidR="00EA6A19" w:rsidRDefault="00EA6A19" w:rsidP="00EA6A19"/>
        </w:tc>
        <w:tc>
          <w:tcPr>
            <w:tcW w:w="6092" w:type="dxa"/>
          </w:tcPr>
          <w:p w14:paraId="0089AE44" w14:textId="77777777" w:rsidR="00EA6A19" w:rsidRDefault="00EA6A19" w:rsidP="00EA6A19"/>
        </w:tc>
      </w:tr>
    </w:tbl>
    <w:p w14:paraId="0089AE46" w14:textId="77777777" w:rsidR="0056151D" w:rsidRDefault="0056151D"/>
    <w:p w14:paraId="0089AE47" w14:textId="77777777" w:rsidR="0056151D" w:rsidRDefault="002C2D01">
      <w:pPr>
        <w:pStyle w:val="2"/>
      </w:pPr>
      <w:r>
        <w:t>3.4</w:t>
      </w:r>
      <w:r>
        <w:tab/>
        <w:t>NCR-MT and NCR-Fwd behaviour related to RRCRelease to RRC_IDLE</w:t>
      </w:r>
    </w:p>
    <w:p w14:paraId="0089AE48" w14:textId="77777777" w:rsidR="0056151D" w:rsidRDefault="002C2D01">
      <w:r>
        <w:t>NCR-Fwd behaviour during RRCRelease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RRCRelease (one example being if the NCR is powered down/sent to a low power mode via OAM, in which case the paging is not an issue).</w:t>
      </w:r>
    </w:p>
    <w:p w14:paraId="0089AE49" w14:textId="77777777" w:rsidR="0056151D" w:rsidRDefault="002C2D01">
      <w:r>
        <w:t>Assuming that the network can indeed release the NCR-MT to RRC_IDLE we have the following proposal from Qualcomm in R2-2300639 to discuss.</w:t>
      </w:r>
      <w:r>
        <w:rPr>
          <w:noProof/>
          <w:lang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The behavior of the NCR-FWD if the NCR-MT is released to RRC_IDLE still needs to be determined. Ideally, the NCR-FWD should have similar operation whether the NCR-MT is RRC_IDLE or RRC_INACTIVE. The only issue is when the gNB wants to update the side control configuration of the NCR:</w:t>
                            </w:r>
                          </w:p>
                          <w:p w14:paraId="0089AFC8" w14:textId="77777777" w:rsidR="0056151D" w:rsidRDefault="002C2D01">
                            <w:pPr>
                              <w:pStyle w:val="af1"/>
                              <w:numPr>
                                <w:ilvl w:val="0"/>
                                <w:numId w:val="9"/>
                              </w:numPr>
                            </w:pPr>
                            <w:r>
                              <w:t>If the NCR-MT is RRC_INACTIVE, the gNB can page the NCR-MT and provide new side control configuration.</w:t>
                            </w:r>
                          </w:p>
                          <w:p w14:paraId="0089AFC9" w14:textId="77777777" w:rsidR="0056151D" w:rsidRDefault="002C2D01">
                            <w:pPr>
                              <w:pStyle w:val="af1"/>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af1"/>
                              <w:numPr>
                                <w:ilvl w:val="0"/>
                                <w:numId w:val="9"/>
                              </w:numPr>
                              <w:rPr>
                                <w:b/>
                                <w:bCs/>
                              </w:rPr>
                            </w:pPr>
                            <w:r>
                              <w:rPr>
                                <w:b/>
                                <w:bCs/>
                              </w:rPr>
                              <w:t>Option 1: The gNB provides a wake-up timer to the NCR-MT when released to RRC_IDLE. The NCR-FWD follows the last side control configuration from the gNB until the timer expires. The NCR-MT may proactively reconnect to the network upon timer expiry to receive updated side control configuration.</w:t>
                            </w:r>
                          </w:p>
                          <w:p w14:paraId="0089AFCC" w14:textId="77777777" w:rsidR="0056151D" w:rsidRDefault="002C2D01">
                            <w:pPr>
                              <w:pStyle w:val="af1"/>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af0"/>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NCR-Fwd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The introduction of wake-up timer is to make the NCR-MT to reconnect the gNB (so as to conquer the defect that there is CN paging for NCR-MT). However, there seems no enough motivation to use it to restrict the NCR-Fwd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uawei, HiSilicon</w:t>
            </w:r>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Option-3: Assume that before gNB releases NCR-MT, the NCR-Fwd has already been switched off by OAM</w:t>
            </w:r>
          </w:p>
        </w:tc>
        <w:tc>
          <w:tcPr>
            <w:tcW w:w="6092" w:type="dxa"/>
          </w:tcPr>
          <w:p w14:paraId="0089AE5A" w14:textId="77777777" w:rsidR="00B36453" w:rsidRDefault="00B36453" w:rsidP="00FF3252">
            <w:pPr>
              <w:rPr>
                <w:lang w:eastAsia="zh-CN"/>
              </w:rPr>
            </w:pPr>
            <w:r>
              <w:rPr>
                <w:lang w:eastAsia="zh-CN"/>
              </w:rPr>
              <w:t>The case we assume the gNB may switch the NCR-MT to RRC_IDLE is that OAM has switched off the NCR-Fwd, and in this case for power saving, the gNB may release the NCR-MT.</w:t>
            </w:r>
          </w:p>
          <w:p w14:paraId="0089AE5B" w14:textId="77777777" w:rsidR="00B36453" w:rsidRDefault="00B36453" w:rsidP="00FF3252">
            <w:pPr>
              <w:rPr>
                <w:lang w:eastAsia="zh-CN"/>
              </w:rPr>
            </w:pPr>
            <w:r>
              <w:rPr>
                <w:lang w:eastAsia="zh-CN"/>
              </w:rPr>
              <w:t>We need to discuss the use case first why gNB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 xml:space="preserve">NCR-Fwd can be kept ON as per configuration (explicit or implicit) when NCR-MT is moved to IDLE. The NCR may also maintain a timer or have other implementation methods to wake up and start reconnection to the network. </w:t>
            </w:r>
          </w:p>
        </w:tc>
      </w:tr>
      <w:tr w:rsidR="005914C0" w14:paraId="0089AE64" w14:textId="77777777">
        <w:tc>
          <w:tcPr>
            <w:tcW w:w="1838" w:type="dxa"/>
          </w:tcPr>
          <w:p w14:paraId="0089AE61" w14:textId="1BF0C994" w:rsidR="005914C0" w:rsidRDefault="005914C0" w:rsidP="005914C0">
            <w:r>
              <w:rPr>
                <w:rFonts w:hint="eastAsia"/>
                <w:lang w:eastAsia="ja-JP"/>
              </w:rPr>
              <w:t>K</w:t>
            </w:r>
            <w:r>
              <w:rPr>
                <w:lang w:eastAsia="ja-JP"/>
              </w:rPr>
              <w:t>yocera</w:t>
            </w:r>
          </w:p>
        </w:tc>
        <w:tc>
          <w:tcPr>
            <w:tcW w:w="1701" w:type="dxa"/>
          </w:tcPr>
          <w:p w14:paraId="7F71EA95" w14:textId="77777777" w:rsidR="005914C0" w:rsidRDefault="005914C0" w:rsidP="005914C0">
            <w:pPr>
              <w:rPr>
                <w:lang w:eastAsia="ja-JP"/>
              </w:rPr>
            </w:pPr>
            <w:r>
              <w:rPr>
                <w:rFonts w:hint="eastAsia"/>
                <w:lang w:eastAsia="ja-JP"/>
              </w:rPr>
              <w:t>O</w:t>
            </w:r>
            <w:r>
              <w:rPr>
                <w:lang w:eastAsia="ja-JP"/>
              </w:rPr>
              <w:t xml:space="preserve">ption 1, </w:t>
            </w:r>
          </w:p>
          <w:p w14:paraId="0089AE62" w14:textId="504162B2" w:rsidR="005914C0" w:rsidRDefault="005914C0" w:rsidP="005914C0">
            <w:r>
              <w:rPr>
                <w:rFonts w:hint="eastAsia"/>
                <w:lang w:eastAsia="ja-JP"/>
              </w:rPr>
              <w:t>A</w:t>
            </w:r>
            <w:r>
              <w:rPr>
                <w:lang w:eastAsia="ja-JP"/>
              </w:rPr>
              <w:t>nd, Option 2 if the timer is not configured</w:t>
            </w:r>
          </w:p>
        </w:tc>
        <w:tc>
          <w:tcPr>
            <w:tcW w:w="6092" w:type="dxa"/>
          </w:tcPr>
          <w:p w14:paraId="77741735" w14:textId="77777777" w:rsidR="005914C0" w:rsidRDefault="005914C0" w:rsidP="005914C0">
            <w:pPr>
              <w:rPr>
                <w:lang w:eastAsia="ja-JP"/>
              </w:rPr>
            </w:pPr>
            <w:r>
              <w:rPr>
                <w:rFonts w:hint="eastAsia"/>
                <w:lang w:eastAsia="ja-JP"/>
              </w:rPr>
              <w:t>W</w:t>
            </w:r>
            <w:r>
              <w:rPr>
                <w:lang w:eastAsia="ja-JP"/>
              </w:rPr>
              <w:t xml:space="preserve">e see there are many/different reasons that the NCR-MT is released to IDLE, To support these cases, we think the flexibility of gNB configuration should be ensured. </w:t>
            </w:r>
          </w:p>
          <w:p w14:paraId="3BAB5692" w14:textId="77777777" w:rsidR="005914C0" w:rsidRDefault="005914C0" w:rsidP="005914C0">
            <w:pPr>
              <w:rPr>
                <w:lang w:eastAsia="ja-JP"/>
              </w:rPr>
            </w:pPr>
            <w:r>
              <w:rPr>
                <w:rFonts w:hint="eastAsia"/>
                <w:lang w:eastAsia="ja-JP"/>
              </w:rPr>
              <w:t>W</w:t>
            </w:r>
            <w:r>
              <w:rPr>
                <w:lang w:eastAsia="ja-JP"/>
              </w:rPr>
              <w:t xml:space="preserve">e think Option 1 can resolve the concern that is related to the paging. We think it’s not desirable that the gNB cannot manage the NCR-MT in IDLE, so the timer is useful for the controllability. </w:t>
            </w:r>
          </w:p>
          <w:p w14:paraId="0089AE63" w14:textId="372504DE" w:rsidR="005914C0" w:rsidRDefault="005914C0" w:rsidP="005914C0">
            <w:r>
              <w:rPr>
                <w:rFonts w:hint="eastAsia"/>
                <w:lang w:eastAsia="ja-JP"/>
              </w:rPr>
              <w:t>W</w:t>
            </w:r>
            <w:r>
              <w:rPr>
                <w:lang w:eastAsia="ja-JP"/>
              </w:rPr>
              <w:t xml:space="preserve">e think the timer is configured optionally, i.e., up to the gNB. So, the NCR behaviour when the timer is not configured should be considered. In this case, since the NCR-MT in IDLE is not reachable from the gNB, we think the NCR-MT should be switched OFF. Otherwise, the NCR may follow the outdated NCR configuration forever, in the worst case. </w:t>
            </w:r>
          </w:p>
        </w:tc>
      </w:tr>
      <w:tr w:rsidR="00EA6A19" w14:paraId="0089AE68" w14:textId="77777777">
        <w:tc>
          <w:tcPr>
            <w:tcW w:w="1838" w:type="dxa"/>
          </w:tcPr>
          <w:p w14:paraId="0089AE65" w14:textId="275A4525" w:rsidR="00EA6A19" w:rsidRDefault="00EA6A19" w:rsidP="00EA6A19">
            <w:r>
              <w:t>Samsung</w:t>
            </w:r>
          </w:p>
        </w:tc>
        <w:tc>
          <w:tcPr>
            <w:tcW w:w="1701" w:type="dxa"/>
          </w:tcPr>
          <w:p w14:paraId="0089AE66" w14:textId="4D1B59F5" w:rsidR="00EA6A19" w:rsidRDefault="00EA6A19" w:rsidP="00EA6A19">
            <w:r>
              <w:t>1</w:t>
            </w:r>
          </w:p>
        </w:tc>
        <w:tc>
          <w:tcPr>
            <w:tcW w:w="6092" w:type="dxa"/>
          </w:tcPr>
          <w:p w14:paraId="2D56EAB7" w14:textId="77777777" w:rsidR="00EA6A19" w:rsidRDefault="00EA6A19" w:rsidP="00EA6A19">
            <w:r>
              <w:t xml:space="preserve">For us, NCR should be a simple and easily reconfigurable repeater. In most of the cases, the NCR-MT should not be in connected state when NCR is forwarding as the reconfigurability is not required to be very often. </w:t>
            </w:r>
          </w:p>
          <w:p w14:paraId="7A7738BB" w14:textId="77777777" w:rsidR="00EA6A19" w:rsidRDefault="00EA6A19" w:rsidP="00EA6A19">
            <w:r>
              <w:t xml:space="preserve">We partly have RRC inactive to enable this behaviour, but the issue is that RRC inactive is optional for </w:t>
            </w:r>
            <w:r w:rsidRPr="0074052A">
              <w:rPr>
                <w:u w:val="single"/>
              </w:rPr>
              <w:t>both</w:t>
            </w:r>
            <w:r>
              <w:t xml:space="preserve"> NCR-MT </w:t>
            </w:r>
            <w:r w:rsidRPr="001D3DDF">
              <w:rPr>
                <w:u w:val="single"/>
              </w:rPr>
              <w:t>and</w:t>
            </w:r>
            <w:r>
              <w:t xml:space="preserve"> network. This means that if we can only rely on RRC inactive, this puts a much higher implementation threshold to enable the most likely way that an NCR is to be operated. </w:t>
            </w:r>
          </w:p>
          <w:p w14:paraId="0089AE67" w14:textId="4AC85E5C" w:rsidR="00EA6A19" w:rsidRDefault="00EA6A19" w:rsidP="00EA6A19">
            <w:r>
              <w:t xml:space="preserve">Regarding the timer, we in our paper suggested to enable RAN-based paging and we think that it is solvable, but given that we were the only company to suggest this, we suggest to go with Option 1. This timer could be quite coarse as we do not think that updates should happen very often. </w:t>
            </w:r>
          </w:p>
        </w:tc>
      </w:tr>
      <w:tr w:rsidR="00732800" w14:paraId="0089AE6C" w14:textId="77777777">
        <w:tc>
          <w:tcPr>
            <w:tcW w:w="1838" w:type="dxa"/>
          </w:tcPr>
          <w:p w14:paraId="0089AE69" w14:textId="399DCB4F" w:rsidR="00732800" w:rsidRDefault="00732800" w:rsidP="00732800">
            <w:r>
              <w:rPr>
                <w:rFonts w:hint="eastAsia"/>
                <w:lang w:eastAsia="ja-JP"/>
              </w:rPr>
              <w:t>F</w:t>
            </w:r>
            <w:r>
              <w:rPr>
                <w:lang w:eastAsia="ja-JP"/>
              </w:rPr>
              <w:t>ujitsu</w:t>
            </w:r>
          </w:p>
        </w:tc>
        <w:tc>
          <w:tcPr>
            <w:tcW w:w="1701" w:type="dxa"/>
          </w:tcPr>
          <w:p w14:paraId="0089AE6A" w14:textId="758D706F" w:rsidR="00732800" w:rsidRDefault="00732800" w:rsidP="00732800">
            <w:r>
              <w:rPr>
                <w:rFonts w:hint="eastAsia"/>
                <w:lang w:eastAsia="ja-JP"/>
              </w:rPr>
              <w:t>O</w:t>
            </w:r>
            <w:r>
              <w:rPr>
                <w:lang w:eastAsia="ja-JP"/>
              </w:rPr>
              <w:t>ption 2</w:t>
            </w:r>
          </w:p>
        </w:tc>
        <w:tc>
          <w:tcPr>
            <w:tcW w:w="6092" w:type="dxa"/>
          </w:tcPr>
          <w:p w14:paraId="4E1F5141" w14:textId="77777777" w:rsidR="00732800" w:rsidRDefault="00732800" w:rsidP="00732800">
            <w:pPr>
              <w:rPr>
                <w:lang w:eastAsia="ja-JP"/>
              </w:rPr>
            </w:pPr>
            <w:r>
              <w:rPr>
                <w:rFonts w:hint="eastAsia"/>
                <w:lang w:eastAsia="ja-JP"/>
              </w:rPr>
              <w:t>R</w:t>
            </w:r>
            <w:r>
              <w:rPr>
                <w:lang w:eastAsia="ja-JP"/>
              </w:rPr>
              <w:t xml:space="preserve">AN2 already agreed when RLF is detected NCR-Fwd is OFF, and during RRC re-establishment procedure NCR-Fwd is also off. And if the NCR-MT fail to find any suitable cell the NCR-MT enters RRC_IDLE. So it is natural to NCR-Fwd is off </w:t>
            </w:r>
          </w:p>
          <w:p w14:paraId="227CF911" w14:textId="0F719268" w:rsidR="00732800" w:rsidRDefault="00732800" w:rsidP="00732800">
            <w:pPr>
              <w:rPr>
                <w:lang w:eastAsia="ja-JP"/>
              </w:rPr>
            </w:pPr>
            <w:r>
              <w:rPr>
                <w:lang w:eastAsia="ja-JP"/>
              </w:rPr>
              <w:t>Also</w:t>
            </w:r>
            <w:r>
              <w:rPr>
                <w:lang w:eastAsia="ja-JP"/>
              </w:rPr>
              <w:t xml:space="preserve">, we </w:t>
            </w:r>
            <w:r>
              <w:rPr>
                <w:lang w:eastAsia="ja-JP"/>
              </w:rPr>
              <w:t>strongly object to</w:t>
            </w:r>
            <w:r>
              <w:rPr>
                <w:lang w:eastAsia="ja-JP"/>
              </w:rPr>
              <w:t xml:space="preserve"> support the network release the NCR-MT to RRC_IDLE</w:t>
            </w:r>
            <w:r>
              <w:rPr>
                <w:lang w:eastAsia="ja-JP"/>
              </w:rPr>
              <w:t xml:space="preserve"> in Rel-18</w:t>
            </w:r>
            <w:r>
              <w:rPr>
                <w:lang w:eastAsia="ja-JP"/>
              </w:rPr>
              <w:t xml:space="preserve"> because:</w:t>
            </w:r>
            <w:r>
              <w:rPr>
                <w:lang w:eastAsia="ja-JP"/>
              </w:rPr>
              <w:br/>
              <w:t>- CN paging cannot be used to make the NCR-MT go back to RRC_CONNECTED</w:t>
            </w:r>
            <w:r>
              <w:rPr>
                <w:lang w:eastAsia="ja-JP"/>
              </w:rPr>
              <w:br/>
              <w:t xml:space="preserve">- </w:t>
            </w:r>
            <w:r>
              <w:rPr>
                <w:rFonts w:hint="eastAsia"/>
                <w:lang w:eastAsia="ja-JP"/>
              </w:rPr>
              <w:t>N</w:t>
            </w:r>
            <w:r>
              <w:rPr>
                <w:lang w:eastAsia="ja-JP"/>
              </w:rPr>
              <w:t xml:space="preserve">CR-MT initiated RRC connection setup procedure cannot be used because release cause “other” is in this case (going to RRC_IDLE by receiving RRCRelease). To initiate RRCSetupRequest, indication from </w:t>
            </w:r>
            <w:r>
              <w:rPr>
                <w:lang w:eastAsia="ja-JP"/>
              </w:rPr>
              <w:lastRenderedPageBreak/>
              <w:t>NAS is necessary, but in NAS spec (TS 24.501) there is no NAS message initiation case when “other” is received from lower layer.</w:t>
            </w:r>
          </w:p>
          <w:p w14:paraId="0089AE6B" w14:textId="2F6BBB79" w:rsidR="00732800" w:rsidRDefault="00732800" w:rsidP="00732800">
            <w:r>
              <w:rPr>
                <w:rFonts w:hint="eastAsia"/>
                <w:lang w:eastAsia="ja-JP"/>
              </w:rPr>
              <w:t>I</w:t>
            </w:r>
            <w:r>
              <w:rPr>
                <w:lang w:eastAsia="ja-JP"/>
              </w:rPr>
              <w:t>n case NCR-MT goes to RRC_IDLE because of no suitable cell is found during RRC re-establishment procedure, the NCR-Fwd is already OFF and there is no need to switch it back to ON. Since release cause “</w:t>
            </w:r>
            <w:r w:rsidRPr="006F6506">
              <w:rPr>
                <w:lang w:eastAsia="ja-JP"/>
              </w:rPr>
              <w:t>RRC connection failure</w:t>
            </w:r>
            <w:r>
              <w:rPr>
                <w:lang w:eastAsia="ja-JP"/>
              </w:rPr>
              <w:t>” is used in this case, NAS will trigger NAS registration procedure and NCR-MT can initiate RRC connection procedure. After NCR-MT does back to RRC_CONNECTED, NCR-Fwd can be ON or OFF by the network.</w:t>
            </w:r>
          </w:p>
        </w:tc>
      </w:tr>
      <w:tr w:rsidR="00732800" w14:paraId="0089AE70" w14:textId="77777777">
        <w:tc>
          <w:tcPr>
            <w:tcW w:w="1838" w:type="dxa"/>
          </w:tcPr>
          <w:p w14:paraId="0089AE6D" w14:textId="77777777" w:rsidR="00732800" w:rsidRDefault="00732800" w:rsidP="00732800"/>
        </w:tc>
        <w:tc>
          <w:tcPr>
            <w:tcW w:w="1701" w:type="dxa"/>
          </w:tcPr>
          <w:p w14:paraId="0089AE6E" w14:textId="77777777" w:rsidR="00732800" w:rsidRDefault="00732800" w:rsidP="00732800"/>
        </w:tc>
        <w:tc>
          <w:tcPr>
            <w:tcW w:w="6092" w:type="dxa"/>
          </w:tcPr>
          <w:p w14:paraId="0089AE6F" w14:textId="77777777" w:rsidR="00732800" w:rsidRDefault="00732800" w:rsidP="00732800"/>
        </w:tc>
      </w:tr>
      <w:tr w:rsidR="00732800" w14:paraId="0089AE74" w14:textId="77777777">
        <w:tc>
          <w:tcPr>
            <w:tcW w:w="1838" w:type="dxa"/>
          </w:tcPr>
          <w:p w14:paraId="0089AE71" w14:textId="77777777" w:rsidR="00732800" w:rsidRDefault="00732800" w:rsidP="00732800"/>
        </w:tc>
        <w:tc>
          <w:tcPr>
            <w:tcW w:w="1701" w:type="dxa"/>
          </w:tcPr>
          <w:p w14:paraId="0089AE72" w14:textId="77777777" w:rsidR="00732800" w:rsidRDefault="00732800" w:rsidP="00732800"/>
        </w:tc>
        <w:tc>
          <w:tcPr>
            <w:tcW w:w="6092" w:type="dxa"/>
          </w:tcPr>
          <w:p w14:paraId="0089AE73" w14:textId="77777777" w:rsidR="00732800" w:rsidRDefault="00732800" w:rsidP="00732800"/>
        </w:tc>
      </w:tr>
      <w:tr w:rsidR="00732800" w14:paraId="0089AE78" w14:textId="77777777">
        <w:tc>
          <w:tcPr>
            <w:tcW w:w="1838" w:type="dxa"/>
          </w:tcPr>
          <w:p w14:paraId="0089AE75" w14:textId="77777777" w:rsidR="00732800" w:rsidRDefault="00732800" w:rsidP="00732800"/>
        </w:tc>
        <w:tc>
          <w:tcPr>
            <w:tcW w:w="1701" w:type="dxa"/>
          </w:tcPr>
          <w:p w14:paraId="0089AE76" w14:textId="77777777" w:rsidR="00732800" w:rsidRDefault="00732800" w:rsidP="00732800"/>
        </w:tc>
        <w:tc>
          <w:tcPr>
            <w:tcW w:w="6092" w:type="dxa"/>
          </w:tcPr>
          <w:p w14:paraId="0089AE77" w14:textId="77777777" w:rsidR="00732800" w:rsidRDefault="00732800" w:rsidP="00732800"/>
        </w:tc>
      </w:tr>
      <w:tr w:rsidR="00732800" w14:paraId="0089AE7C" w14:textId="77777777">
        <w:tc>
          <w:tcPr>
            <w:tcW w:w="1838" w:type="dxa"/>
          </w:tcPr>
          <w:p w14:paraId="0089AE79" w14:textId="77777777" w:rsidR="00732800" w:rsidRDefault="00732800" w:rsidP="00732800"/>
        </w:tc>
        <w:tc>
          <w:tcPr>
            <w:tcW w:w="1701" w:type="dxa"/>
          </w:tcPr>
          <w:p w14:paraId="0089AE7A" w14:textId="77777777" w:rsidR="00732800" w:rsidRDefault="00732800" w:rsidP="00732800"/>
        </w:tc>
        <w:tc>
          <w:tcPr>
            <w:tcW w:w="6092" w:type="dxa"/>
          </w:tcPr>
          <w:p w14:paraId="0089AE7B" w14:textId="77777777" w:rsidR="00732800" w:rsidRDefault="00732800" w:rsidP="00732800"/>
        </w:tc>
      </w:tr>
    </w:tbl>
    <w:p w14:paraId="0089AE7D" w14:textId="77777777" w:rsidR="0056151D" w:rsidRDefault="0056151D">
      <w:pPr>
        <w:rPr>
          <w:b/>
          <w:bCs/>
        </w:rPr>
      </w:pPr>
    </w:p>
    <w:p w14:paraId="0089AE7E" w14:textId="77777777" w:rsidR="0056151D" w:rsidRDefault="002C2D01">
      <w:pPr>
        <w:pStyle w:val="2"/>
      </w:pPr>
      <w:r>
        <w:t>3.5</w:t>
      </w:r>
      <w:r>
        <w:tab/>
        <w:t>Configuring side control via RRCRelease</w:t>
      </w:r>
    </w:p>
    <w:p w14:paraId="0089AE7F" w14:textId="77777777" w:rsidR="0056151D" w:rsidRDefault="002C2D01">
      <w:r>
        <w:t xml:space="preserve">Vivo’s paper R2-2300900 presented different options for how an NCR-MT in RRC_INACTIVE could be configured with SCI. This prompted a debate in the online discussion over whether an NCR-MT should be able to receive side control information in an RRCRelease message. For the case of NCR-MT being released to RRC_INACTIVE, this would apply to the case of RRCRelease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af1"/>
        <w:numPr>
          <w:ilvl w:val="0"/>
          <w:numId w:val="8"/>
        </w:numPr>
        <w:spacing w:after="0"/>
        <w:rPr>
          <w:b/>
          <w:bCs/>
          <w:color w:val="000000"/>
          <w:lang w:eastAsia="zh-CN"/>
        </w:rPr>
      </w:pPr>
      <w:r>
        <w:rPr>
          <w:b/>
          <w:bCs/>
        </w:rPr>
        <w:t>Option 1: An NCR-MT may be configured with new SCI when released to RRC_INACTIVE (i.e., new SCI may be provided in an RRCRelease with suspension)</w:t>
      </w:r>
      <w:r>
        <w:rPr>
          <w:b/>
          <w:bCs/>
          <w:color w:val="000000"/>
          <w:lang w:eastAsia="zh-CN"/>
        </w:rPr>
        <w:t>.</w:t>
      </w:r>
    </w:p>
    <w:p w14:paraId="0089AE82" w14:textId="77777777" w:rsidR="0056151D" w:rsidRDefault="002C2D01">
      <w:pPr>
        <w:pStyle w:val="af1"/>
        <w:numPr>
          <w:ilvl w:val="0"/>
          <w:numId w:val="8"/>
        </w:numPr>
        <w:spacing w:after="0"/>
        <w:rPr>
          <w:b/>
          <w:bCs/>
          <w:color w:val="000000"/>
          <w:lang w:eastAsia="zh-CN"/>
        </w:rPr>
      </w:pPr>
      <w:r>
        <w:rPr>
          <w:b/>
          <w:bCs/>
        </w:rPr>
        <w:t>Option 2: An NCR-MT may only be configured with new SCI through RRCReconfiguration</w:t>
      </w:r>
      <w:r>
        <w:rPr>
          <w:b/>
          <w:bCs/>
          <w:color w:val="000000"/>
          <w:lang w:eastAsia="zh-CN"/>
        </w:rPr>
        <w:t>.</w:t>
      </w:r>
    </w:p>
    <w:p w14:paraId="0089AE83" w14:textId="77777777" w:rsidR="0056151D" w:rsidRDefault="0056151D">
      <w:pPr>
        <w:rPr>
          <w:b/>
          <w:bCs/>
          <w:color w:val="000000"/>
          <w:lang w:eastAsia="zh-CN"/>
        </w:rPr>
      </w:pPr>
    </w:p>
    <w:tbl>
      <w:tblPr>
        <w:tblStyle w:val="af0"/>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here is no motivation to do Option 1. In our understanding, RRC_Inactive mode is mainly used for energy saving when the SCI does not need to be updated frequently, otherwise the NCR-MT should be in RRC_Connected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NCR-Fwd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uawei, HiSilicon</w:t>
            </w:r>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r w:rsidRPr="003C3B09">
              <w:rPr>
                <w:lang w:eastAsia="zh-CN"/>
              </w:rPr>
              <w:t>RRCReconfiguration</w:t>
            </w:r>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It may also be a new message instead of RRCReconfiguration depending on the outcome of the previous question.</w:t>
            </w:r>
          </w:p>
        </w:tc>
      </w:tr>
      <w:tr w:rsidR="00A55F42" w14:paraId="0089AE9B" w14:textId="77777777">
        <w:tc>
          <w:tcPr>
            <w:tcW w:w="1838" w:type="dxa"/>
          </w:tcPr>
          <w:p w14:paraId="0089AE98" w14:textId="2B3085E0" w:rsidR="00A55F42" w:rsidRDefault="00A55F42" w:rsidP="00A55F42">
            <w:r>
              <w:rPr>
                <w:rFonts w:hint="eastAsia"/>
                <w:lang w:eastAsia="ja-JP"/>
              </w:rPr>
              <w:t>K</w:t>
            </w:r>
            <w:r>
              <w:rPr>
                <w:lang w:eastAsia="ja-JP"/>
              </w:rPr>
              <w:t>yocera</w:t>
            </w:r>
          </w:p>
        </w:tc>
        <w:tc>
          <w:tcPr>
            <w:tcW w:w="1701" w:type="dxa"/>
          </w:tcPr>
          <w:p w14:paraId="0089AE99" w14:textId="7F8CAD99" w:rsidR="00A55F42" w:rsidRDefault="00A55F42" w:rsidP="00A55F42">
            <w:r>
              <w:rPr>
                <w:rFonts w:hint="eastAsia"/>
                <w:lang w:eastAsia="ja-JP"/>
              </w:rPr>
              <w:t>O</w:t>
            </w:r>
            <w:r>
              <w:rPr>
                <w:lang w:eastAsia="ja-JP"/>
              </w:rPr>
              <w:t>ption 1</w:t>
            </w:r>
          </w:p>
        </w:tc>
        <w:tc>
          <w:tcPr>
            <w:tcW w:w="6092" w:type="dxa"/>
          </w:tcPr>
          <w:p w14:paraId="52ECD4DF" w14:textId="77777777" w:rsidR="00A55F42" w:rsidRDefault="00A55F42" w:rsidP="00A55F42">
            <w:pPr>
              <w:rPr>
                <w:lang w:eastAsia="ja-JP"/>
              </w:rPr>
            </w:pPr>
            <w:r>
              <w:rPr>
                <w:rFonts w:hint="eastAsia"/>
                <w:lang w:eastAsia="ja-JP"/>
              </w:rPr>
              <w:t>W</w:t>
            </w:r>
            <w:r>
              <w:rPr>
                <w:lang w:eastAsia="ja-JP"/>
              </w:rPr>
              <w:t xml:space="preserve">e think it’s useful that the SCI is configured via RRC Release (Option 1), considering Option 2 needs the two RRC messages (i.e., RRC Reconfiguration, then RRC Release) in case the gNB wants to configure an SCI specific to be applied in INACTIVE. </w:t>
            </w:r>
          </w:p>
          <w:p w14:paraId="0089AE9A" w14:textId="62AF4674" w:rsidR="00A55F42" w:rsidRDefault="00A55F42" w:rsidP="00A55F42">
            <w:r>
              <w:rPr>
                <w:rFonts w:hint="eastAsia"/>
                <w:lang w:eastAsia="ja-JP"/>
              </w:rPr>
              <w:t>W</w:t>
            </w:r>
            <w:r>
              <w:rPr>
                <w:lang w:eastAsia="ja-JP"/>
              </w:rPr>
              <w:t xml:space="preserve">e just wonder what SCI meant here, i.e., RRC configuration, L1/L2 signalling or both. </w:t>
            </w:r>
          </w:p>
        </w:tc>
      </w:tr>
      <w:tr w:rsidR="00EA6A19" w14:paraId="0089AE9F" w14:textId="77777777">
        <w:tc>
          <w:tcPr>
            <w:tcW w:w="1838" w:type="dxa"/>
          </w:tcPr>
          <w:p w14:paraId="0089AE9C" w14:textId="67646B9F" w:rsidR="00EA6A19" w:rsidRDefault="00EA6A19" w:rsidP="00EA6A19">
            <w:r>
              <w:t>Samsung</w:t>
            </w:r>
          </w:p>
        </w:tc>
        <w:tc>
          <w:tcPr>
            <w:tcW w:w="1701" w:type="dxa"/>
          </w:tcPr>
          <w:p w14:paraId="0089AE9D" w14:textId="12819BE4" w:rsidR="00EA6A19" w:rsidRDefault="00EA6A19" w:rsidP="00EA6A19">
            <w:r>
              <w:t>1</w:t>
            </w:r>
          </w:p>
        </w:tc>
        <w:tc>
          <w:tcPr>
            <w:tcW w:w="6092" w:type="dxa"/>
          </w:tcPr>
          <w:p w14:paraId="1146273D" w14:textId="77777777" w:rsidR="00EA6A19" w:rsidRDefault="00EA6A19" w:rsidP="00EA6A19">
            <w:r>
              <w:t xml:space="preserve">We think that this would be a neat addition that is not very complicated. A subset of this that that is crucial is that the NCR-Fwd can be turned OFF in a release message. Some contributions explained for instance if </w:t>
            </w:r>
            <w:r>
              <w:lastRenderedPageBreak/>
              <w:t xml:space="preserve">an NCR-MT is redirected, due to the fact that we do not have any handovers, then this would be crucial. </w:t>
            </w:r>
          </w:p>
          <w:p w14:paraId="0089AE9E" w14:textId="4B5C057C" w:rsidR="00EA6A19" w:rsidRDefault="00EA6A19" w:rsidP="00EA6A19">
            <w:r>
              <w:t xml:space="preserve">Also note that depending on the above agreements, this may need to apply for RRC idle as well. </w:t>
            </w:r>
          </w:p>
        </w:tc>
      </w:tr>
      <w:tr w:rsidR="00EA6A19" w14:paraId="0089AEA3" w14:textId="77777777">
        <w:tc>
          <w:tcPr>
            <w:tcW w:w="1838" w:type="dxa"/>
          </w:tcPr>
          <w:p w14:paraId="0089AEA0" w14:textId="16D61CB1" w:rsidR="00EA6A19" w:rsidRDefault="00732800" w:rsidP="00EA6A19">
            <w:pPr>
              <w:rPr>
                <w:rFonts w:hint="eastAsia"/>
                <w:lang w:eastAsia="ja-JP"/>
              </w:rPr>
            </w:pPr>
            <w:r>
              <w:rPr>
                <w:rFonts w:hint="eastAsia"/>
                <w:lang w:eastAsia="ja-JP"/>
              </w:rPr>
              <w:lastRenderedPageBreak/>
              <w:t>F</w:t>
            </w:r>
            <w:r>
              <w:rPr>
                <w:lang w:eastAsia="ja-JP"/>
              </w:rPr>
              <w:t>ujitsu</w:t>
            </w:r>
          </w:p>
        </w:tc>
        <w:tc>
          <w:tcPr>
            <w:tcW w:w="1701" w:type="dxa"/>
          </w:tcPr>
          <w:p w14:paraId="0089AEA1" w14:textId="740D6ACF" w:rsidR="00EA6A19" w:rsidRDefault="00732800" w:rsidP="00EA6A19">
            <w:pPr>
              <w:rPr>
                <w:rFonts w:hint="eastAsia"/>
                <w:lang w:eastAsia="ja-JP"/>
              </w:rPr>
            </w:pPr>
            <w:r>
              <w:rPr>
                <w:rFonts w:hint="eastAsia"/>
                <w:lang w:eastAsia="ja-JP"/>
              </w:rPr>
              <w:t>O</w:t>
            </w:r>
            <w:r>
              <w:rPr>
                <w:lang w:eastAsia="ja-JP"/>
              </w:rPr>
              <w:t>ption 1</w:t>
            </w:r>
          </w:p>
        </w:tc>
        <w:tc>
          <w:tcPr>
            <w:tcW w:w="6092" w:type="dxa"/>
          </w:tcPr>
          <w:p w14:paraId="0089AEA2" w14:textId="1B62A742" w:rsidR="00EA6A19" w:rsidRDefault="00732800" w:rsidP="00EA6A19">
            <w:pPr>
              <w:rPr>
                <w:rFonts w:hint="eastAsia"/>
                <w:lang w:eastAsia="ja-JP"/>
              </w:rPr>
            </w:pPr>
            <w:r>
              <w:rPr>
                <w:rFonts w:hint="eastAsia"/>
                <w:lang w:eastAsia="ja-JP"/>
              </w:rPr>
              <w:t>O</w:t>
            </w:r>
            <w:r>
              <w:rPr>
                <w:lang w:eastAsia="ja-JP"/>
              </w:rPr>
              <w:t>ption 1 seems to be simple</w:t>
            </w:r>
          </w:p>
        </w:tc>
      </w:tr>
      <w:tr w:rsidR="00EA6A19" w14:paraId="0089AEA7" w14:textId="77777777">
        <w:tc>
          <w:tcPr>
            <w:tcW w:w="1838" w:type="dxa"/>
          </w:tcPr>
          <w:p w14:paraId="0089AEA4" w14:textId="77777777" w:rsidR="00EA6A19" w:rsidRDefault="00EA6A19" w:rsidP="00EA6A19"/>
        </w:tc>
        <w:tc>
          <w:tcPr>
            <w:tcW w:w="1701" w:type="dxa"/>
          </w:tcPr>
          <w:p w14:paraId="0089AEA5" w14:textId="77777777" w:rsidR="00EA6A19" w:rsidRDefault="00EA6A19" w:rsidP="00EA6A19"/>
        </w:tc>
        <w:tc>
          <w:tcPr>
            <w:tcW w:w="6092" w:type="dxa"/>
          </w:tcPr>
          <w:p w14:paraId="0089AEA6" w14:textId="77777777" w:rsidR="00EA6A19" w:rsidRDefault="00EA6A19" w:rsidP="00EA6A19"/>
        </w:tc>
      </w:tr>
      <w:tr w:rsidR="00EA6A19" w14:paraId="0089AEAB" w14:textId="77777777">
        <w:tc>
          <w:tcPr>
            <w:tcW w:w="1838" w:type="dxa"/>
          </w:tcPr>
          <w:p w14:paraId="0089AEA8" w14:textId="77777777" w:rsidR="00EA6A19" w:rsidRDefault="00EA6A19" w:rsidP="00EA6A19"/>
        </w:tc>
        <w:tc>
          <w:tcPr>
            <w:tcW w:w="1701" w:type="dxa"/>
          </w:tcPr>
          <w:p w14:paraId="0089AEA9" w14:textId="77777777" w:rsidR="00EA6A19" w:rsidRDefault="00EA6A19" w:rsidP="00EA6A19"/>
        </w:tc>
        <w:tc>
          <w:tcPr>
            <w:tcW w:w="6092" w:type="dxa"/>
          </w:tcPr>
          <w:p w14:paraId="0089AEAA" w14:textId="77777777" w:rsidR="00EA6A19" w:rsidRDefault="00EA6A19" w:rsidP="00EA6A19"/>
        </w:tc>
      </w:tr>
      <w:tr w:rsidR="00EA6A19" w14:paraId="0089AEAF" w14:textId="77777777">
        <w:tc>
          <w:tcPr>
            <w:tcW w:w="1838" w:type="dxa"/>
          </w:tcPr>
          <w:p w14:paraId="0089AEAC" w14:textId="77777777" w:rsidR="00EA6A19" w:rsidRDefault="00EA6A19" w:rsidP="00EA6A19"/>
        </w:tc>
        <w:tc>
          <w:tcPr>
            <w:tcW w:w="1701" w:type="dxa"/>
          </w:tcPr>
          <w:p w14:paraId="0089AEAD" w14:textId="77777777" w:rsidR="00EA6A19" w:rsidRDefault="00EA6A19" w:rsidP="00EA6A19"/>
        </w:tc>
        <w:tc>
          <w:tcPr>
            <w:tcW w:w="6092" w:type="dxa"/>
          </w:tcPr>
          <w:p w14:paraId="0089AEAE" w14:textId="77777777" w:rsidR="00EA6A19" w:rsidRDefault="00EA6A19" w:rsidP="00EA6A19"/>
        </w:tc>
      </w:tr>
      <w:tr w:rsidR="00EA6A19" w14:paraId="0089AEB3" w14:textId="77777777">
        <w:tc>
          <w:tcPr>
            <w:tcW w:w="1838" w:type="dxa"/>
          </w:tcPr>
          <w:p w14:paraId="0089AEB0" w14:textId="77777777" w:rsidR="00EA6A19" w:rsidRDefault="00EA6A19" w:rsidP="00EA6A19"/>
        </w:tc>
        <w:tc>
          <w:tcPr>
            <w:tcW w:w="1701" w:type="dxa"/>
          </w:tcPr>
          <w:p w14:paraId="0089AEB1" w14:textId="77777777" w:rsidR="00EA6A19" w:rsidRDefault="00EA6A19" w:rsidP="00EA6A19"/>
        </w:tc>
        <w:tc>
          <w:tcPr>
            <w:tcW w:w="6092" w:type="dxa"/>
          </w:tcPr>
          <w:p w14:paraId="0089AEB2" w14:textId="77777777" w:rsidR="00EA6A19" w:rsidRDefault="00EA6A19" w:rsidP="00EA6A19"/>
        </w:tc>
      </w:tr>
    </w:tbl>
    <w:p w14:paraId="0089AEB4" w14:textId="77777777" w:rsidR="0056151D" w:rsidRDefault="0056151D"/>
    <w:p w14:paraId="0089AEB5" w14:textId="77777777" w:rsidR="0056151D" w:rsidRDefault="002C2D01">
      <w:pPr>
        <w:pStyle w:val="2"/>
      </w:pPr>
      <w:r>
        <w:t>3.6</w:t>
      </w:r>
      <w:r>
        <w:tab/>
        <w:t>Explicit NCR-Fwd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NCR-Fwd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NCR-Fwd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NCR-Fwd</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NCR-Fwd to turn OFF since there would already be a way to provide NCR-MT with the beam configuration. We wonder however, based on today’s discussion if other companies have different interpretations and that an explicit indication is required to turn the NCR-Fwd OFF.</w:t>
      </w:r>
    </w:p>
    <w:p w14:paraId="0089AEB8" w14:textId="77777777" w:rsidR="0056151D" w:rsidRDefault="002C2D01">
      <w:r>
        <w:t>(Note: Whether the OFF indication can be provided in RRCRelease might also depend on the previous proposal related to receiving side control with RRCRelease.)</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af1"/>
        <w:numPr>
          <w:ilvl w:val="0"/>
          <w:numId w:val="8"/>
        </w:numPr>
        <w:spacing w:after="0"/>
        <w:rPr>
          <w:b/>
          <w:bCs/>
          <w:color w:val="000000"/>
          <w:lang w:eastAsia="zh-CN"/>
        </w:rPr>
      </w:pPr>
      <w:r>
        <w:rPr>
          <w:b/>
          <w:bCs/>
        </w:rPr>
        <w:t>Option 1: To turn the NCR-Fwd OFF, an explicit OFF indication is provided by RRC signalling.</w:t>
      </w:r>
    </w:p>
    <w:p w14:paraId="0089AEBB" w14:textId="77777777" w:rsidR="0056151D" w:rsidRDefault="002C2D01">
      <w:pPr>
        <w:pStyle w:val="af1"/>
        <w:numPr>
          <w:ilvl w:val="0"/>
          <w:numId w:val="8"/>
        </w:numPr>
        <w:spacing w:after="0"/>
        <w:rPr>
          <w:b/>
          <w:bCs/>
          <w:color w:val="000000"/>
          <w:lang w:eastAsia="zh-CN"/>
        </w:rPr>
      </w:pPr>
      <w:r>
        <w:rPr>
          <w:b/>
          <w:bCs/>
        </w:rPr>
        <w:t>Option 2: To turn the NCR-Fwd OFF, the NCR-Fwd beam configuration framework is re-used</w:t>
      </w:r>
      <w:r>
        <w:rPr>
          <w:b/>
          <w:bCs/>
          <w:color w:val="000000"/>
          <w:lang w:eastAsia="zh-CN"/>
        </w:rPr>
        <w:t>.</w:t>
      </w:r>
    </w:p>
    <w:p w14:paraId="0089AEBC" w14:textId="77777777" w:rsidR="0056151D" w:rsidRDefault="0056151D"/>
    <w:tbl>
      <w:tblPr>
        <w:tblStyle w:val="af0"/>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 xml:space="preserve">The NCR-Fwd is always expected to be “OFF” unless otherwise </w:t>
            </w:r>
            <w:r>
              <w:rPr>
                <w:iCs/>
              </w:rPr>
              <w:t>explicitly or implicitly indicated by gNB”,</w:t>
            </w:r>
            <w:r>
              <w:rPr>
                <w:lang w:eastAsia="ja-JP"/>
              </w:rPr>
              <w:t xml:space="preserve"> we don’t see there is a need to have an explicit OFF indication. The NCR-Fwd On/OFF can be controlled via the NCR-Fwd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NCR-Fwd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lastRenderedPageBreak/>
              <w:t>H</w:t>
            </w:r>
            <w:r>
              <w:rPr>
                <w:lang w:eastAsia="zh-CN"/>
              </w:rPr>
              <w:t>uawei, HiSilicon</w:t>
            </w:r>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 xml:space="preserve">We just need to follow RAN1 agreement. The on/off status of NCR-Fwd can just implicitly follow beam configuration in side control information. If no beam configuration is provided, it is sufficient to turn off the NCR-Fwd and no need to have an explicit off indication in this case. </w:t>
            </w:r>
          </w:p>
        </w:tc>
      </w:tr>
      <w:tr w:rsidR="003B3B59" w14:paraId="0089AED4" w14:textId="77777777">
        <w:tc>
          <w:tcPr>
            <w:tcW w:w="1838" w:type="dxa"/>
          </w:tcPr>
          <w:p w14:paraId="0089AED1" w14:textId="2A180661" w:rsidR="003B3B59" w:rsidRDefault="003B3B59" w:rsidP="003B3B59">
            <w:r>
              <w:rPr>
                <w:rFonts w:hint="eastAsia"/>
                <w:lang w:eastAsia="ja-JP"/>
              </w:rPr>
              <w:t>K</w:t>
            </w:r>
            <w:r>
              <w:rPr>
                <w:lang w:eastAsia="ja-JP"/>
              </w:rPr>
              <w:t>yocera</w:t>
            </w:r>
          </w:p>
        </w:tc>
        <w:tc>
          <w:tcPr>
            <w:tcW w:w="1701" w:type="dxa"/>
          </w:tcPr>
          <w:p w14:paraId="0089AED2" w14:textId="76B978F3" w:rsidR="003B3B59" w:rsidRDefault="003B3B59" w:rsidP="003B3B59">
            <w:r>
              <w:rPr>
                <w:rFonts w:hint="eastAsia"/>
                <w:lang w:eastAsia="ja-JP"/>
              </w:rPr>
              <w:t>S</w:t>
            </w:r>
            <w:r>
              <w:rPr>
                <w:lang w:eastAsia="ja-JP"/>
              </w:rPr>
              <w:t>lightly prefer Option 1</w:t>
            </w:r>
          </w:p>
        </w:tc>
        <w:tc>
          <w:tcPr>
            <w:tcW w:w="6092" w:type="dxa"/>
          </w:tcPr>
          <w:p w14:paraId="0089AED3" w14:textId="4461E795" w:rsidR="003B3B59" w:rsidRDefault="003B3B59" w:rsidP="003B3B59">
            <w:r>
              <w:rPr>
                <w:rFonts w:hint="eastAsia"/>
                <w:lang w:eastAsia="ja-JP"/>
              </w:rPr>
              <w:t>W</w:t>
            </w:r>
            <w:r>
              <w:rPr>
                <w:lang w:eastAsia="ja-JP"/>
              </w:rPr>
              <w:t xml:space="preserve">e agree with the rapporteur’s analysis that this question depends on the previous question, but we think Option 2 is better from the simplicity point of view. </w:t>
            </w:r>
          </w:p>
        </w:tc>
      </w:tr>
      <w:tr w:rsidR="00EA6A19" w14:paraId="0089AED8" w14:textId="77777777">
        <w:tc>
          <w:tcPr>
            <w:tcW w:w="1838" w:type="dxa"/>
          </w:tcPr>
          <w:p w14:paraId="0089AED5" w14:textId="4C1CEF3B" w:rsidR="00EA6A19" w:rsidRDefault="00EA6A19" w:rsidP="00EA6A19">
            <w:r>
              <w:t>Samsung</w:t>
            </w:r>
          </w:p>
        </w:tc>
        <w:tc>
          <w:tcPr>
            <w:tcW w:w="1701" w:type="dxa"/>
          </w:tcPr>
          <w:p w14:paraId="0089AED6" w14:textId="0D1296DC" w:rsidR="00EA6A19" w:rsidRDefault="00EA6A19" w:rsidP="00EA6A19">
            <w:r>
              <w:t>1</w:t>
            </w:r>
          </w:p>
        </w:tc>
        <w:tc>
          <w:tcPr>
            <w:tcW w:w="6092" w:type="dxa"/>
          </w:tcPr>
          <w:p w14:paraId="1D322308" w14:textId="77777777" w:rsidR="00EA6A19" w:rsidRDefault="00EA6A19" w:rsidP="00EA6A19">
            <w:r>
              <w:t xml:space="preserve">Actually, to our understanding RAN1 is currently discussing this. </w:t>
            </w:r>
          </w:p>
          <w:p w14:paraId="2776AAB9" w14:textId="77777777" w:rsidR="00EA6A19" w:rsidRDefault="00EA6A19" w:rsidP="00EA6A19">
            <w:r>
              <w:t xml:space="preserve">To our understanding, what is on the table is that either there is an explicit OFF indication, or there is a null-beam configuration. </w:t>
            </w:r>
          </w:p>
          <w:p w14:paraId="0089AED7" w14:textId="0E803342" w:rsidR="00EA6A19" w:rsidRDefault="00EA6A19" w:rsidP="00EA6A19">
            <w:r>
              <w:t xml:space="preserve">In RAN2, the notion of turning off the NCR-Fwd based on a “null-beam” configuration is not good signalling design. For some of our RAN2-purposes, we think that an explicit OFF indication is useful. This is also useful for our specification purposes, as we already have some cases where NCR-Fwd should be turned OFF. </w:t>
            </w:r>
          </w:p>
        </w:tc>
      </w:tr>
      <w:tr w:rsidR="00EA6A19" w14:paraId="0089AEDC" w14:textId="77777777">
        <w:tc>
          <w:tcPr>
            <w:tcW w:w="1838" w:type="dxa"/>
          </w:tcPr>
          <w:p w14:paraId="0089AED9" w14:textId="01018970" w:rsidR="00EA6A19" w:rsidRDefault="00732800" w:rsidP="00EA6A19">
            <w:pPr>
              <w:rPr>
                <w:rFonts w:hint="eastAsia"/>
                <w:lang w:eastAsia="ja-JP"/>
              </w:rPr>
            </w:pPr>
            <w:r>
              <w:rPr>
                <w:rFonts w:hint="eastAsia"/>
                <w:lang w:eastAsia="ja-JP"/>
              </w:rPr>
              <w:t>F</w:t>
            </w:r>
            <w:r>
              <w:rPr>
                <w:lang w:eastAsia="ja-JP"/>
              </w:rPr>
              <w:t>ujitsu</w:t>
            </w:r>
          </w:p>
        </w:tc>
        <w:tc>
          <w:tcPr>
            <w:tcW w:w="1701" w:type="dxa"/>
          </w:tcPr>
          <w:p w14:paraId="0089AEDA" w14:textId="0B9D9BD2" w:rsidR="00EA6A19" w:rsidRDefault="00732800" w:rsidP="00EA6A19">
            <w:pPr>
              <w:rPr>
                <w:rFonts w:hint="eastAsia"/>
                <w:lang w:eastAsia="ja-JP"/>
              </w:rPr>
            </w:pPr>
            <w:r>
              <w:rPr>
                <w:rFonts w:hint="eastAsia"/>
                <w:lang w:eastAsia="ja-JP"/>
              </w:rPr>
              <w:t>O</w:t>
            </w:r>
            <w:r>
              <w:rPr>
                <w:lang w:eastAsia="ja-JP"/>
              </w:rPr>
              <w:t>ption 2</w:t>
            </w:r>
          </w:p>
        </w:tc>
        <w:tc>
          <w:tcPr>
            <w:tcW w:w="6092" w:type="dxa"/>
          </w:tcPr>
          <w:p w14:paraId="0089AEDB" w14:textId="6185AA6A" w:rsidR="00EA6A19" w:rsidRDefault="00732800" w:rsidP="00EA6A19">
            <w:r>
              <w:t>Option 2 is feasible based on</w:t>
            </w:r>
            <w:r>
              <w:t xml:space="preserve"> RAN1’s agreement on </w:t>
            </w:r>
            <w:r>
              <w:t>release/deactivation of periodic/semi-persistent beam indication</w:t>
            </w:r>
            <w:r>
              <w:t>. But Option 2 is also fine.</w:t>
            </w:r>
          </w:p>
        </w:tc>
      </w:tr>
      <w:tr w:rsidR="00EA6A19" w14:paraId="0089AEE0" w14:textId="77777777">
        <w:tc>
          <w:tcPr>
            <w:tcW w:w="1838" w:type="dxa"/>
          </w:tcPr>
          <w:p w14:paraId="0089AEDD" w14:textId="77777777" w:rsidR="00EA6A19" w:rsidRDefault="00EA6A19" w:rsidP="00EA6A19"/>
        </w:tc>
        <w:tc>
          <w:tcPr>
            <w:tcW w:w="1701" w:type="dxa"/>
          </w:tcPr>
          <w:p w14:paraId="0089AEDE" w14:textId="77777777" w:rsidR="00EA6A19" w:rsidRDefault="00EA6A19" w:rsidP="00EA6A19"/>
        </w:tc>
        <w:tc>
          <w:tcPr>
            <w:tcW w:w="6092" w:type="dxa"/>
          </w:tcPr>
          <w:p w14:paraId="0089AEDF" w14:textId="77777777" w:rsidR="00EA6A19" w:rsidRDefault="00EA6A19" w:rsidP="00EA6A19"/>
        </w:tc>
      </w:tr>
      <w:tr w:rsidR="00EA6A19" w14:paraId="0089AEE4" w14:textId="77777777">
        <w:tc>
          <w:tcPr>
            <w:tcW w:w="1838" w:type="dxa"/>
          </w:tcPr>
          <w:p w14:paraId="0089AEE1" w14:textId="77777777" w:rsidR="00EA6A19" w:rsidRDefault="00EA6A19" w:rsidP="00EA6A19"/>
        </w:tc>
        <w:tc>
          <w:tcPr>
            <w:tcW w:w="1701" w:type="dxa"/>
          </w:tcPr>
          <w:p w14:paraId="0089AEE2" w14:textId="77777777" w:rsidR="00EA6A19" w:rsidRDefault="00EA6A19" w:rsidP="00EA6A19"/>
        </w:tc>
        <w:tc>
          <w:tcPr>
            <w:tcW w:w="6092" w:type="dxa"/>
          </w:tcPr>
          <w:p w14:paraId="0089AEE3" w14:textId="77777777" w:rsidR="00EA6A19" w:rsidRDefault="00EA6A19" w:rsidP="00EA6A19"/>
        </w:tc>
      </w:tr>
      <w:tr w:rsidR="00EA6A19" w14:paraId="0089AEE8" w14:textId="77777777">
        <w:tc>
          <w:tcPr>
            <w:tcW w:w="1838" w:type="dxa"/>
          </w:tcPr>
          <w:p w14:paraId="0089AEE5" w14:textId="77777777" w:rsidR="00EA6A19" w:rsidRDefault="00EA6A19" w:rsidP="00EA6A19"/>
        </w:tc>
        <w:tc>
          <w:tcPr>
            <w:tcW w:w="1701" w:type="dxa"/>
          </w:tcPr>
          <w:p w14:paraId="0089AEE6" w14:textId="77777777" w:rsidR="00EA6A19" w:rsidRDefault="00EA6A19" w:rsidP="00EA6A19"/>
        </w:tc>
        <w:tc>
          <w:tcPr>
            <w:tcW w:w="6092" w:type="dxa"/>
          </w:tcPr>
          <w:p w14:paraId="0089AEE7" w14:textId="77777777" w:rsidR="00EA6A19" w:rsidRDefault="00EA6A19" w:rsidP="00EA6A19"/>
        </w:tc>
      </w:tr>
      <w:tr w:rsidR="00EA6A19" w14:paraId="0089AEEC" w14:textId="77777777">
        <w:tc>
          <w:tcPr>
            <w:tcW w:w="1838" w:type="dxa"/>
          </w:tcPr>
          <w:p w14:paraId="0089AEE9" w14:textId="77777777" w:rsidR="00EA6A19" w:rsidRDefault="00EA6A19" w:rsidP="00EA6A19"/>
        </w:tc>
        <w:tc>
          <w:tcPr>
            <w:tcW w:w="1701" w:type="dxa"/>
          </w:tcPr>
          <w:p w14:paraId="0089AEEA" w14:textId="77777777" w:rsidR="00EA6A19" w:rsidRDefault="00EA6A19" w:rsidP="00EA6A19"/>
        </w:tc>
        <w:tc>
          <w:tcPr>
            <w:tcW w:w="6092" w:type="dxa"/>
          </w:tcPr>
          <w:p w14:paraId="0089AEEB" w14:textId="77777777" w:rsidR="00EA6A19" w:rsidRDefault="00EA6A19" w:rsidP="00EA6A19"/>
        </w:tc>
      </w:tr>
    </w:tbl>
    <w:p w14:paraId="0089AEED" w14:textId="77777777" w:rsidR="0056151D" w:rsidRDefault="0056151D"/>
    <w:p w14:paraId="0089AEEE" w14:textId="77777777" w:rsidR="0056151D" w:rsidRDefault="002C2D01">
      <w:pPr>
        <w:pStyle w:val="1"/>
      </w:pPr>
      <w:r>
        <w:t>4</w:t>
      </w:r>
      <w:r>
        <w:tab/>
        <w:t>Summary</w:t>
      </w:r>
    </w:p>
    <w:p w14:paraId="0089AEEF" w14:textId="28FA94EA" w:rsidR="0056151D" w:rsidRDefault="002C2D01">
      <w:r>
        <w:t>[This section will be updated once company views have bee</w:t>
      </w:r>
      <w:r w:rsidR="00732800" w:rsidRPr="00732800">
        <w:t xml:space="preserve"> </w:t>
      </w:r>
      <w:r w:rsidR="00732800">
        <w:t>Option 2 is feasible based on</w:t>
      </w:r>
      <w:r w:rsidR="00732800">
        <w:t xml:space="preserve"> </w:t>
      </w:r>
      <w:r>
        <w:t>n collected.]</w:t>
      </w:r>
    </w:p>
    <w:p w14:paraId="0089AEF0" w14:textId="77777777" w:rsidR="0056151D" w:rsidRDefault="002C2D01">
      <w:pPr>
        <w:spacing w:after="0"/>
      </w:pPr>
      <w:r>
        <w:br w:type="page"/>
      </w:r>
    </w:p>
    <w:p w14:paraId="0089AEF1" w14:textId="77777777" w:rsidR="0056151D" w:rsidRDefault="0056151D">
      <w:pPr>
        <w:pStyle w:val="1"/>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1"/>
      </w:pPr>
      <w:r>
        <w:lastRenderedPageBreak/>
        <w:t>Annex: Relevant RAN1#111 agreements and IEs proposed by Nokia and ZTE</w:t>
      </w:r>
    </w:p>
    <w:p w14:paraId="0089AEF3" w14:textId="77777777" w:rsidR="0056151D" w:rsidRDefault="002C2D01">
      <w:pPr>
        <w:pStyle w:val="2"/>
      </w:pPr>
      <w:r>
        <w:t>A.1</w:t>
      </w:r>
      <w:r>
        <w:tab/>
        <w:t>Periodic beam configuration</w:t>
      </w:r>
    </w:p>
    <w:p w14:paraId="0089AEF4" w14:textId="77777777" w:rsidR="0056151D" w:rsidRDefault="002C2D01">
      <w:r>
        <w:rPr>
          <w:noProof/>
          <w:lang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The periodicity is configured as part of the RRC signaling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The reference SCS is configured as part of the RRC signaling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4"/>
        <w:rPr>
          <w:i/>
          <w:iCs/>
        </w:rPr>
      </w:pPr>
      <w:bookmarkStart w:id="0" w:name="_Hlk128536494"/>
      <w:r>
        <w:t>–</w:t>
      </w:r>
      <w:r>
        <w:tab/>
      </w:r>
      <w:bookmarkEnd w:id="0"/>
      <w:r>
        <w:rPr>
          <w:i/>
          <w:iCs/>
        </w:rPr>
        <w:t>PeriodicBeamConfig-NCR (IE proposed by Nokia)</w:t>
      </w:r>
    </w:p>
    <w:p w14:paraId="0089AEF7" w14:textId="77777777" w:rsidR="0056151D" w:rsidRDefault="002C2D01">
      <w:r>
        <w:t xml:space="preserve">The IE PeriodicBeamConfig-NCR determines the NCR-specific periodic beam indication configuration for the NCR-Fwd access link. </w:t>
      </w:r>
    </w:p>
    <w:p w14:paraId="0089AEF8" w14:textId="77777777" w:rsidR="0056151D" w:rsidRDefault="002C2D01">
      <w:pPr>
        <w:pStyle w:val="TH"/>
        <w:rPr>
          <w:rFonts w:cs="Arial"/>
          <w:bCs/>
          <w:i/>
          <w:iCs/>
        </w:rPr>
      </w:pPr>
      <w:r>
        <w:rPr>
          <w:bCs/>
          <w:i/>
          <w:iCs/>
        </w:rPr>
        <w:t>PeriodicBeamConfig-NCR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r>
        <w:t xml:space="preserve">PeriodicBeamConfig-NCR ::= </w:t>
      </w:r>
      <w:r>
        <w:tab/>
      </w:r>
      <w:r>
        <w:tab/>
      </w:r>
      <w:r>
        <w:rPr>
          <w:color w:val="993366"/>
        </w:rPr>
        <w:t>SEQUENCE</w:t>
      </w:r>
      <w:r>
        <w:t xml:space="preserve"> {</w:t>
      </w:r>
    </w:p>
    <w:p w14:paraId="0089AEFD" w14:textId="77777777" w:rsidR="0056151D" w:rsidRDefault="002C2D01">
      <w:pPr>
        <w:pStyle w:val="PL"/>
        <w:shd w:val="clear" w:color="auto" w:fill="E6E6E6"/>
      </w:pPr>
      <w:r>
        <w:tab/>
        <w:t>periodicBeamConfigList</w:t>
      </w:r>
      <w:r>
        <w:tab/>
      </w:r>
      <w:r>
        <w:tab/>
      </w:r>
      <w:r>
        <w:tab/>
      </w:r>
      <w:r>
        <w:rPr>
          <w:color w:val="993366"/>
        </w:rPr>
        <w:t>SEQUENCE</w:t>
      </w:r>
      <w:r>
        <w:t xml:space="preserve"> (</w:t>
      </w:r>
      <w:r>
        <w:rPr>
          <w:color w:val="993366"/>
        </w:rPr>
        <w:t>SIZE</w:t>
      </w:r>
      <w:r>
        <w:t xml:space="preserve">(1..maxPeriodicBeamConfigs) </w:t>
      </w:r>
      <w:r>
        <w:rPr>
          <w:color w:val="993366"/>
        </w:rPr>
        <w:t>OF</w:t>
      </w:r>
      <w:r>
        <w:t xml:space="preserve"> PeriodicBeamConfig</w:t>
      </w:r>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r>
        <w:t>PeriodicBeamConfig ::=</w:t>
      </w:r>
      <w:r>
        <w:tab/>
      </w:r>
      <w:r>
        <w:tab/>
      </w:r>
      <w:r>
        <w:tab/>
      </w:r>
      <w:r>
        <w:rPr>
          <w:color w:val="993366"/>
        </w:rPr>
        <w:t>SEQUENCE</w:t>
      </w:r>
      <w:r>
        <w:t xml:space="preserve"> {</w:t>
      </w:r>
    </w:p>
    <w:p w14:paraId="0089AF01" w14:textId="77777777" w:rsidR="0056151D" w:rsidRDefault="002C2D01">
      <w:pPr>
        <w:pStyle w:val="PL"/>
        <w:shd w:val="clear" w:color="auto" w:fill="E6E6E6"/>
      </w:pPr>
      <w:r>
        <w:tab/>
        <w:t>periodicBeamConfigIndex</w:t>
      </w:r>
      <w:r>
        <w:tab/>
      </w:r>
      <w:r>
        <w:tab/>
      </w:r>
      <w:r>
        <w:tab/>
      </w:r>
      <w:r>
        <w:rPr>
          <w:color w:val="993366"/>
        </w:rPr>
        <w:t>INTEGER</w:t>
      </w:r>
      <w:r>
        <w:t xml:space="preserve"> (0..maxPeriodicBeamConfigs-1),</w:t>
      </w:r>
    </w:p>
    <w:p w14:paraId="0089AF02" w14:textId="77777777" w:rsidR="0056151D" w:rsidRDefault="002C2D01">
      <w:pPr>
        <w:pStyle w:val="PL"/>
        <w:shd w:val="clear" w:color="auto" w:fill="E6E6E6"/>
      </w:pPr>
      <w:r>
        <w:tab/>
        <w:t>referenceSCS</w:t>
      </w:r>
      <w:r>
        <w:tab/>
      </w:r>
      <w:r>
        <w:tab/>
      </w:r>
      <w:r>
        <w:tab/>
      </w:r>
      <w:r>
        <w:tab/>
      </w:r>
      <w:r>
        <w:tab/>
        <w:t>SubcarrierSpacing,</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periodicity2,..,periodicityMax},</w:t>
      </w:r>
    </w:p>
    <w:p w14:paraId="0089AF04" w14:textId="77777777" w:rsidR="0056151D" w:rsidRDefault="002C2D01">
      <w:pPr>
        <w:pStyle w:val="PL"/>
        <w:shd w:val="clear" w:color="auto" w:fill="E6E6E6"/>
      </w:pPr>
      <w:r>
        <w:tab/>
        <w:t>forwardingResourceList</w:t>
      </w:r>
      <w:r>
        <w:tab/>
      </w:r>
      <w:r>
        <w:tab/>
      </w:r>
      <w:r>
        <w:tab/>
      </w:r>
      <w:r>
        <w:rPr>
          <w:color w:val="993366"/>
        </w:rPr>
        <w:t>SEQUENCE</w:t>
      </w:r>
      <w:r>
        <w:t xml:space="preserve"> (</w:t>
      </w:r>
      <w:r>
        <w:rPr>
          <w:color w:val="993366"/>
        </w:rPr>
        <w:t>SIZE</w:t>
      </w:r>
      <w:r>
        <w:t xml:space="preserve">(1..maxFwdResourcesNCR)) </w:t>
      </w:r>
      <w:r>
        <w:rPr>
          <w:color w:val="993366"/>
        </w:rPr>
        <w:t>OF</w:t>
      </w:r>
      <w:r>
        <w:t xml:space="preserve"> ForwardingResource</w:t>
      </w:r>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r>
        <w:t>ForwardingResource ::=</w:t>
      </w:r>
      <w:r>
        <w:tab/>
      </w:r>
      <w:r>
        <w:tab/>
      </w:r>
      <w:r>
        <w:tab/>
      </w:r>
      <w:r>
        <w:rPr>
          <w:color w:val="993366"/>
        </w:rPr>
        <w:t>SEQUENCE</w:t>
      </w:r>
      <w:r>
        <w:t xml:space="preserve"> {</w:t>
      </w:r>
    </w:p>
    <w:p w14:paraId="0089AF08" w14:textId="77777777" w:rsidR="0056151D" w:rsidRDefault="002C2D01">
      <w:pPr>
        <w:pStyle w:val="PL"/>
        <w:shd w:val="clear" w:color="auto" w:fill="E6E6E6"/>
      </w:pPr>
      <w:r>
        <w:tab/>
        <w:t>beamIndex</w:t>
      </w:r>
      <w:r>
        <w:tab/>
      </w:r>
      <w:r>
        <w:tab/>
      </w:r>
      <w:r>
        <w:tab/>
      </w:r>
      <w:r>
        <w:tab/>
      </w:r>
      <w:r>
        <w:tab/>
      </w:r>
      <w:r>
        <w:tab/>
      </w:r>
      <w:r>
        <w:rPr>
          <w:color w:val="993366"/>
        </w:rPr>
        <w:t>INTEGER</w:t>
      </w:r>
      <w:r>
        <w:t xml:space="preserve"> (0..maxNrofBeams-1),</w:t>
      </w:r>
    </w:p>
    <w:p w14:paraId="0089AF09" w14:textId="77777777" w:rsidR="0056151D" w:rsidRDefault="002C2D01">
      <w:pPr>
        <w:pStyle w:val="PL"/>
        <w:shd w:val="clear" w:color="auto" w:fill="E6E6E6"/>
      </w:pPr>
      <w:r>
        <w:tab/>
        <w:t>timeResource</w:t>
      </w:r>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t>slotOffset</w:t>
      </w:r>
      <w:r>
        <w:tab/>
      </w:r>
      <w:r>
        <w:tab/>
      </w:r>
      <w:r>
        <w:tab/>
      </w:r>
      <w:r>
        <w:tab/>
      </w:r>
      <w:r>
        <w:tab/>
      </w:r>
      <w:r>
        <w:tab/>
      </w:r>
      <w:r>
        <w:rPr>
          <w:color w:val="993366"/>
        </w:rPr>
        <w:t>INTEGER</w:t>
      </w:r>
      <w:r>
        <w:t xml:space="preserve"> (0..maxNrofSlots-1),</w:t>
      </w:r>
    </w:p>
    <w:p w14:paraId="0089AF0B" w14:textId="77777777" w:rsidR="0056151D" w:rsidRDefault="002C2D01">
      <w:pPr>
        <w:pStyle w:val="PL"/>
        <w:shd w:val="clear" w:color="auto" w:fill="E6E6E6"/>
      </w:pPr>
      <w:r>
        <w:tab/>
      </w:r>
      <w:r>
        <w:tab/>
        <w:t>symbolOffset</w:t>
      </w:r>
      <w:r>
        <w:tab/>
      </w:r>
      <w:r>
        <w:tab/>
      </w:r>
      <w:r>
        <w:tab/>
      </w:r>
      <w:r>
        <w:tab/>
      </w:r>
      <w:r>
        <w:tab/>
      </w:r>
      <w:r>
        <w:rPr>
          <w:color w:val="993366"/>
        </w:rPr>
        <w:t>INTEGER</w:t>
      </w:r>
      <w:r>
        <w:t xml:space="preserve"> (0..maxNrofSymbols-1),</w:t>
      </w:r>
    </w:p>
    <w:p w14:paraId="0089AF0C" w14:textId="77777777" w:rsidR="0056151D" w:rsidRDefault="002C2D01">
      <w:pPr>
        <w:pStyle w:val="PL"/>
        <w:shd w:val="clear" w:color="auto" w:fill="E6E6E6"/>
      </w:pPr>
      <w:r>
        <w:tab/>
      </w:r>
      <w:r>
        <w:tab/>
        <w:t>durationSymbols</w:t>
      </w:r>
      <w:r>
        <w:tab/>
      </w:r>
      <w:r>
        <w:tab/>
      </w:r>
      <w:r>
        <w:tab/>
      </w:r>
      <w:r>
        <w:tab/>
      </w:r>
      <w:r>
        <w:tab/>
      </w:r>
      <w:r>
        <w:rPr>
          <w:color w:val="993366"/>
        </w:rPr>
        <w:t>INTEGER</w:t>
      </w:r>
      <w:r>
        <w:t xml:space="preserve"> (1..maxNrofSymbols)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r>
        <w:rPr>
          <w:rFonts w:ascii="Arial" w:eastAsia="SimSun" w:hAnsi="Arial"/>
          <w:i/>
          <w:iCs/>
          <w:sz w:val="24"/>
        </w:rPr>
        <w:t>PeriodicFwdResourceSet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PeriodicFwdResourceSet </w:t>
      </w:r>
      <w:r>
        <w:rPr>
          <w:lang w:eastAsia="ja-JP"/>
        </w:rPr>
        <w:t xml:space="preserve">is used to configure </w:t>
      </w:r>
      <w:r>
        <w:t>a list of periodic forwarding resources for NCR-Fwd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b/>
          <w:i/>
          <w:iCs/>
        </w:rPr>
        <w:t xml:space="preserve">PeriodicFwdResourceSet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sz w:val="16"/>
          <w:szCs w:val="16"/>
        </w:rPr>
        <w:t>SubcarrierSpacing,</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-r18</w:t>
      </w:r>
      <w:r>
        <w:rPr>
          <w:rFonts w:ascii="Courier New" w:hAnsi="Courier New"/>
          <w:sz w:val="16"/>
          <w:lang w:eastAsia="en-GB"/>
        </w:rPr>
        <w:t xml:space="preserve">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hAnsi="Courier New"/>
          <w:sz w:val="16"/>
          <w:lang w:eastAsia="en-GB"/>
        </w:rPr>
        <w:t>0..</w:t>
      </w:r>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NCR-PeriodicFwdResourceSet</w:t>
            </w:r>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r>
              <w:rPr>
                <w:rFonts w:ascii="Arial" w:eastAsia="SimSun" w:hAnsi="Arial" w:cs="Arial"/>
                <w:b/>
                <w:i/>
                <w:iCs/>
                <w:sz w:val="18"/>
                <w:szCs w:val="18"/>
                <w:lang w:eastAsia="en-GB"/>
              </w:rPr>
              <w:t>beamIndex</w:t>
            </w:r>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NCR-Fwd access link. NCR-Fwd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
                <w:i/>
                <w:iCs/>
                <w:sz w:val="18"/>
                <w:szCs w:val="18"/>
                <w:lang w:eastAsia="ja-JP"/>
              </w:rPr>
              <w:t>ncr-PeriodicFwdResourceToAdddModList</w:t>
            </w:r>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referenceSCS</w:t>
            </w:r>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w:t>
            </w:r>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NCR-PeriodicF</w:t>
      </w:r>
      <w:r>
        <w:rPr>
          <w:rFonts w:ascii="Arial" w:eastAsia="SimSun" w:hAnsi="Arial" w:hint="eastAsia"/>
          <w:i/>
          <w:iCs/>
          <w:sz w:val="24"/>
        </w:rPr>
        <w:t>wdResourceSet</w:t>
      </w:r>
      <w:r>
        <w:rPr>
          <w:rFonts w:ascii="Arial" w:hAnsi="Arial"/>
          <w:i/>
          <w:iCs/>
          <w:sz w:val="24"/>
          <w:lang w:eastAsia="ja-JP"/>
        </w:rPr>
        <w:t>Id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r>
        <w:rPr>
          <w:lang w:eastAsia="ja-JP"/>
        </w:rPr>
        <w:t xml:space="preserve"> is used to identify one </w:t>
      </w:r>
      <w:r>
        <w:rPr>
          <w:i/>
          <w:iCs/>
          <w:lang w:eastAsia="ja-JP"/>
        </w:rPr>
        <w:t>NCR-PeriodicF</w:t>
      </w:r>
      <w:r>
        <w:rPr>
          <w:rFonts w:eastAsia="SimSun" w:hint="eastAsia"/>
          <w:i/>
          <w:iCs/>
        </w:rPr>
        <w:t>w</w:t>
      </w:r>
      <w:r>
        <w:rPr>
          <w:i/>
          <w:iCs/>
          <w:lang w:eastAsia="ja-JP"/>
        </w:rPr>
        <w:t>d</w:t>
      </w:r>
      <w:r>
        <w:rPr>
          <w:rFonts w:eastAsia="SimSun" w:hint="eastAsia"/>
          <w:i/>
          <w:iCs/>
        </w:rPr>
        <w:t>ResourceSet</w:t>
      </w:r>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NCR-PeriodicFwdResourceSetId</w:t>
      </w:r>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 xml:space="preserve">Id-r18 ::=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ＭＳ Ｐゴシック"/>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NCR-PeriodicF</w:t>
      </w:r>
      <w:r>
        <w:rPr>
          <w:rFonts w:ascii="Arial" w:eastAsia="SimSun" w:hAnsi="Arial" w:hint="eastAsia"/>
          <w:i/>
          <w:iCs/>
          <w:sz w:val="24"/>
        </w:rPr>
        <w:t>w</w:t>
      </w:r>
      <w:r>
        <w:rPr>
          <w:rFonts w:ascii="Arial" w:hAnsi="Arial" w:hint="eastAsia"/>
          <w:i/>
          <w:iCs/>
          <w:sz w:val="24"/>
          <w:lang w:eastAsia="ja-JP"/>
        </w:rPr>
        <w:t>dResourceId</w:t>
      </w:r>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NCR-PeriodicF</w:t>
      </w:r>
      <w:r>
        <w:rPr>
          <w:rFonts w:eastAsia="SimSun" w:hint="eastAsia"/>
          <w:i/>
          <w:iCs/>
        </w:rPr>
        <w:t>w</w:t>
      </w:r>
      <w:r>
        <w:rPr>
          <w:rFonts w:hint="eastAsia"/>
          <w:i/>
          <w:iCs/>
          <w:lang w:eastAsia="ja-JP"/>
        </w:rPr>
        <w:t>dResourceId</w:t>
      </w:r>
      <w:r>
        <w:rPr>
          <w:lang w:eastAsia="ja-JP"/>
        </w:rPr>
        <w:t xml:space="preserve"> is used to identify one </w:t>
      </w:r>
      <w:r>
        <w:rPr>
          <w:i/>
          <w:iCs/>
          <w:lang w:eastAsia="ja-JP"/>
        </w:rPr>
        <w:t>NCR-</w:t>
      </w:r>
      <w:r>
        <w:rPr>
          <w:rFonts w:eastAsia="SimSun" w:hint="eastAsia"/>
          <w:i/>
          <w:iCs/>
        </w:rPr>
        <w:t>PeriodicFwdResource</w:t>
      </w:r>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2"/>
      </w:pPr>
      <w:r>
        <w:t>A.2</w:t>
      </w:r>
      <w:r>
        <w:tab/>
        <w:t>Aperiodic beam configuration</w:t>
      </w:r>
    </w:p>
    <w:p w14:paraId="0089AF68" w14:textId="77777777" w:rsidR="0056151D" w:rsidRDefault="002C2D01">
      <w:r>
        <w:rPr>
          <w:noProof/>
          <w:lang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bitwidth of this field is determined by the number of beams used for access link. </w:t>
                            </w:r>
                          </w:p>
                          <w:p w14:paraId="0089AFE3" w14:textId="77777777" w:rsidR="0056151D" w:rsidRDefault="00000000">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bitwidth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 xml:space="preserve">Down-select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4"/>
        <w:rPr>
          <w:i/>
          <w:iCs/>
        </w:rPr>
      </w:pPr>
      <w:bookmarkStart w:id="1" w:name="_Toc115428956"/>
      <w:bookmarkStart w:id="2" w:name="_Toc60777165"/>
      <w:r>
        <w:t>–</w:t>
      </w:r>
      <w:r>
        <w:tab/>
      </w:r>
      <w:r>
        <w:rPr>
          <w:i/>
          <w:iCs/>
        </w:rPr>
        <w:t>AperiodicBeamConfig-NCR</w:t>
      </w:r>
      <w:bookmarkEnd w:id="1"/>
      <w:bookmarkEnd w:id="2"/>
      <w:r>
        <w:rPr>
          <w:i/>
          <w:iCs/>
        </w:rPr>
        <w:t xml:space="preserve"> (IE proposed by Nokia)</w:t>
      </w:r>
    </w:p>
    <w:p w14:paraId="0089AF6B" w14:textId="77777777" w:rsidR="0056151D" w:rsidRDefault="002C2D01">
      <w:r>
        <w:t xml:space="preserve">The IE </w:t>
      </w:r>
      <w:r>
        <w:rPr>
          <w:i/>
          <w:iCs/>
        </w:rPr>
        <w:t>AperiodicBeamConfig-NCR</w:t>
      </w:r>
      <w:r>
        <w:t xml:space="preserve"> determines the NCR-specific aperiodic beam indication configuration for the NCR-Fwd access link.</w:t>
      </w:r>
    </w:p>
    <w:p w14:paraId="0089AF6C" w14:textId="77777777" w:rsidR="0056151D" w:rsidRDefault="002C2D01">
      <w:pPr>
        <w:pStyle w:val="TH"/>
        <w:rPr>
          <w:rFonts w:cs="Arial"/>
          <w:bCs/>
          <w:i/>
          <w:iCs/>
        </w:rPr>
      </w:pPr>
      <w:r>
        <w:rPr>
          <w:bCs/>
          <w:i/>
          <w:iCs/>
        </w:rPr>
        <w:t>AperiodicBeamConfig-NCR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r>
        <w:t xml:space="preserve">AperiodicBeamConfig-NCR ::= </w:t>
      </w:r>
      <w:r>
        <w:tab/>
      </w:r>
      <w:r>
        <w:rPr>
          <w:color w:val="993366"/>
        </w:rPr>
        <w:t>SEQUENCE</w:t>
      </w:r>
      <w:r>
        <w:t xml:space="preserve"> {</w:t>
      </w:r>
    </w:p>
    <w:p w14:paraId="0089AF71" w14:textId="77777777" w:rsidR="0056151D" w:rsidRDefault="002C2D01">
      <w:pPr>
        <w:pStyle w:val="PL"/>
        <w:shd w:val="clear" w:color="auto" w:fill="E6E6E6"/>
      </w:pPr>
      <w:r>
        <w:tab/>
        <w:t>aperiodicTimeResourceList</w:t>
      </w:r>
      <w:r>
        <w:tab/>
      </w:r>
      <w:r>
        <w:tab/>
      </w:r>
      <w:r>
        <w:rPr>
          <w:color w:val="993366"/>
        </w:rPr>
        <w:t>SEQUENCE</w:t>
      </w:r>
      <w:r>
        <w:t xml:space="preserve"> (</w:t>
      </w:r>
      <w:r>
        <w:rPr>
          <w:color w:val="993366"/>
        </w:rPr>
        <w:t>SIZE</w:t>
      </w:r>
      <w:r>
        <w:t xml:space="preserve"> (1..maxAperiodicTimeResourcesNCR)) </w:t>
      </w:r>
      <w:r>
        <w:rPr>
          <w:color w:val="993366"/>
        </w:rPr>
        <w:t>OF</w:t>
      </w:r>
      <w:r>
        <w:t xml:space="preserve"> AperiodicTimeResourceConfig</w:t>
      </w:r>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r>
        <w:t>AperiodicTimeResourceConfig</w:t>
      </w:r>
      <w:r>
        <w:tab/>
      </w:r>
      <w:r>
        <w:tab/>
      </w:r>
      <w:r>
        <w:rPr>
          <w:color w:val="993366"/>
        </w:rPr>
        <w:t>SEQUENCE</w:t>
      </w:r>
      <w:r>
        <w:t xml:space="preserve"> {</w:t>
      </w:r>
    </w:p>
    <w:p w14:paraId="0089AF75" w14:textId="77777777" w:rsidR="0056151D" w:rsidRDefault="002C2D01">
      <w:pPr>
        <w:pStyle w:val="PL"/>
        <w:shd w:val="clear" w:color="auto" w:fill="E6E6E6"/>
      </w:pPr>
      <w:r>
        <w:tab/>
        <w:t>aperiodicTimeResourceIndex</w:t>
      </w:r>
      <w:r>
        <w:tab/>
      </w:r>
      <w:r>
        <w:rPr>
          <w:color w:val="993366"/>
        </w:rPr>
        <w:t>INTEGER</w:t>
      </w:r>
      <w:r>
        <w:t xml:space="preserve"> (0..maxAperiodicTimeResourcesNCR-1)</w:t>
      </w:r>
    </w:p>
    <w:p w14:paraId="0089AF76" w14:textId="77777777" w:rsidR="0056151D" w:rsidRDefault="002C2D01">
      <w:pPr>
        <w:pStyle w:val="PL"/>
        <w:shd w:val="clear" w:color="auto" w:fill="E6E6E6"/>
      </w:pPr>
      <w:r>
        <w:tab/>
        <w:t>timeResource ::=</w:t>
      </w:r>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t>slotOffset</w:t>
      </w:r>
      <w:r>
        <w:tab/>
      </w:r>
      <w:r>
        <w:tab/>
      </w:r>
      <w:r>
        <w:tab/>
      </w:r>
      <w:r>
        <w:tab/>
      </w:r>
      <w:r>
        <w:tab/>
      </w:r>
      <w:r>
        <w:rPr>
          <w:color w:val="993366"/>
        </w:rPr>
        <w:t>INTEGER</w:t>
      </w:r>
      <w:r>
        <w:t xml:space="preserve"> (0..maxNrofSlots-1),</w:t>
      </w:r>
    </w:p>
    <w:p w14:paraId="0089AF78" w14:textId="77777777" w:rsidR="0056151D" w:rsidRDefault="002C2D01">
      <w:pPr>
        <w:pStyle w:val="PL"/>
        <w:shd w:val="clear" w:color="auto" w:fill="E6E6E6"/>
      </w:pPr>
      <w:r>
        <w:lastRenderedPageBreak/>
        <w:tab/>
      </w:r>
      <w:r>
        <w:tab/>
        <w:t>symbolOffset</w:t>
      </w:r>
      <w:r>
        <w:tab/>
      </w:r>
      <w:r>
        <w:tab/>
      </w:r>
      <w:r>
        <w:tab/>
      </w:r>
      <w:r>
        <w:tab/>
      </w:r>
      <w:r>
        <w:rPr>
          <w:color w:val="993366"/>
        </w:rPr>
        <w:t>INTEGER</w:t>
      </w:r>
      <w:r>
        <w:t xml:space="preserve"> (0..maxNrofSymbols-1),</w:t>
      </w:r>
    </w:p>
    <w:p w14:paraId="0089AF79" w14:textId="77777777" w:rsidR="0056151D" w:rsidRDefault="002C2D01">
      <w:pPr>
        <w:pStyle w:val="PL"/>
        <w:shd w:val="clear" w:color="auto" w:fill="E6E6E6"/>
      </w:pPr>
      <w:r>
        <w:tab/>
      </w:r>
      <w:r>
        <w:tab/>
        <w:t>durationSymbols</w:t>
      </w:r>
      <w:r>
        <w:tab/>
      </w:r>
      <w:r>
        <w:tab/>
      </w:r>
      <w:r>
        <w:tab/>
      </w:r>
      <w:r>
        <w:tab/>
      </w:r>
      <w:r>
        <w:rPr>
          <w:color w:val="993366"/>
        </w:rPr>
        <w:t>INTEGER</w:t>
      </w:r>
      <w:r>
        <w:t xml:space="preserve"> (1..maxNrofSymbols)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NCR-Ap</w:t>
      </w:r>
      <w:r>
        <w:rPr>
          <w:rFonts w:ascii="Arial" w:eastAsia="SimSun" w:hAnsi="Arial"/>
          <w:i/>
          <w:iCs/>
          <w:sz w:val="24"/>
        </w:rPr>
        <w:t>eriodicFwdConfig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i/>
          <w:iCs/>
        </w:rPr>
        <w:t xml:space="preserve">AperiodicFwdConfig </w:t>
      </w:r>
      <w:r>
        <w:rPr>
          <w:lang w:eastAsia="ja-JP"/>
        </w:rPr>
        <w:t xml:space="preserve">is used to configure </w:t>
      </w:r>
      <w:r>
        <w:t>a list of aperiodic forwarding time resources for NCR-Fwd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NCR-A</w:t>
      </w:r>
      <w:r>
        <w:rPr>
          <w:rFonts w:ascii="Arial" w:eastAsia="SimSun" w:hAnsi="Arial"/>
          <w:b/>
          <w:i/>
          <w:iCs/>
        </w:rPr>
        <w:t xml:space="preserve">periodicFwdConfig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AperiodicFwdConfig-r18 ::=</w:t>
      </w:r>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r>
        <w:rPr>
          <w:rFonts w:ascii="Courier New" w:hAnsi="Courier New"/>
          <w:sz w:val="16"/>
          <w:lang w:eastAsia="en-GB"/>
        </w:rPr>
        <w:t>1..</w:t>
      </w:r>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 xml:space="preserve">-r18 ::=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(1..ffs)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NCR-AperiodicFwdConfig</w:t>
            </w:r>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durationInSymbols</w:t>
            </w:r>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
                <w:i/>
                <w:iCs/>
                <w:sz w:val="18"/>
                <w:szCs w:val="18"/>
              </w:rPr>
              <w:t>slotOffsetAperiodic</w:t>
            </w:r>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symbolOffset</w:t>
            </w:r>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r>
        <w:rPr>
          <w:lang w:eastAsia="ja-JP"/>
        </w:rPr>
        <w:t xml:space="preserve"> is used to identify one </w:t>
      </w:r>
      <w:r>
        <w:rPr>
          <w:i/>
          <w:iCs/>
          <w:lang w:eastAsia="ja-JP"/>
        </w:rPr>
        <w:t>NCR-</w:t>
      </w:r>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F405" w14:textId="77777777" w:rsidR="00D83A93" w:rsidRDefault="00D83A93">
      <w:pPr>
        <w:spacing w:after="0"/>
      </w:pPr>
      <w:r>
        <w:separator/>
      </w:r>
    </w:p>
  </w:endnote>
  <w:endnote w:type="continuationSeparator" w:id="0">
    <w:p w14:paraId="100765C8" w14:textId="77777777" w:rsidR="00D83A93" w:rsidRDefault="00D83A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charset w:val="86"/>
    <w:family w:val="modern"/>
    <w:pitch w:val="fixed"/>
    <w:sig w:usb0="00000001" w:usb1="080E0000" w:usb2="00000010" w:usb3="00000000" w:csb0="0004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B7D2" w14:textId="77777777" w:rsidR="003713AE" w:rsidRDefault="003713A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2D16" w14:textId="77777777" w:rsidR="003713AE" w:rsidRDefault="003713A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37A5" w14:textId="77777777" w:rsidR="003713AE" w:rsidRDefault="003713AE">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BDE9" w14:textId="77777777" w:rsidR="00D83A93" w:rsidRDefault="00D83A93">
      <w:pPr>
        <w:spacing w:after="0"/>
      </w:pPr>
      <w:r>
        <w:separator/>
      </w:r>
    </w:p>
  </w:footnote>
  <w:footnote w:type="continuationSeparator" w:id="0">
    <w:p w14:paraId="27F156CC" w14:textId="77777777" w:rsidR="00D83A93" w:rsidRDefault="00D83A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4E21" w14:textId="77777777" w:rsidR="003713AE" w:rsidRDefault="003713A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DD51" w14:textId="77777777" w:rsidR="003713AE" w:rsidRDefault="003713A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B5D" w14:textId="77777777" w:rsidR="003713AE" w:rsidRDefault="003713AE">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ＭＳ 明朝"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25214751">
    <w:abstractNumId w:val="11"/>
  </w:num>
  <w:num w:numId="2" w16cid:durableId="1957800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091924462">
    <w:abstractNumId w:val="3"/>
  </w:num>
  <w:num w:numId="4" w16cid:durableId="2056081352">
    <w:abstractNumId w:val="10"/>
  </w:num>
  <w:num w:numId="5" w16cid:durableId="1623416890">
    <w:abstractNumId w:val="8"/>
  </w:num>
  <w:num w:numId="6" w16cid:durableId="224071546">
    <w:abstractNumId w:val="9"/>
  </w:num>
  <w:num w:numId="7" w16cid:durableId="1152328108">
    <w:abstractNumId w:val="6"/>
  </w:num>
  <w:num w:numId="8" w16cid:durableId="2010479492">
    <w:abstractNumId w:val="2"/>
  </w:num>
  <w:num w:numId="9" w16cid:durableId="440954750">
    <w:abstractNumId w:val="7"/>
  </w:num>
  <w:num w:numId="10" w16cid:durableId="142310347">
    <w:abstractNumId w:val="5"/>
  </w:num>
  <w:num w:numId="11" w16cid:durableId="758597007">
    <w:abstractNumId w:val="1"/>
  </w:num>
  <w:num w:numId="12" w16cid:durableId="15578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4F7C"/>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1B17"/>
    <w:rsid w:val="003172DC"/>
    <w:rsid w:val="00321A7F"/>
    <w:rsid w:val="00325AE3"/>
    <w:rsid w:val="00326069"/>
    <w:rsid w:val="00343B08"/>
    <w:rsid w:val="0035462D"/>
    <w:rsid w:val="0036459E"/>
    <w:rsid w:val="00364B41"/>
    <w:rsid w:val="003713AE"/>
    <w:rsid w:val="00383096"/>
    <w:rsid w:val="0039346C"/>
    <w:rsid w:val="003A41EF"/>
    <w:rsid w:val="003B3B59"/>
    <w:rsid w:val="003B40AD"/>
    <w:rsid w:val="003B7578"/>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914C0"/>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2800"/>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86D00"/>
    <w:rsid w:val="009928A9"/>
    <w:rsid w:val="009A0AF3"/>
    <w:rsid w:val="009A5633"/>
    <w:rsid w:val="009B07CD"/>
    <w:rsid w:val="009C19E9"/>
    <w:rsid w:val="009C2107"/>
    <w:rsid w:val="009D6A07"/>
    <w:rsid w:val="009D74A6"/>
    <w:rsid w:val="009E0E87"/>
    <w:rsid w:val="009E4522"/>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55F42"/>
    <w:rsid w:val="00A64454"/>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35790"/>
    <w:rsid w:val="00C51ABC"/>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3A93"/>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A6A1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C3C76"/>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qFormat/>
    <w:pPr>
      <w:spacing w:after="0"/>
    </w:pPr>
    <w:rPr>
      <w:rFonts w:ascii="Helvetica" w:hAnsi="Helvetica"/>
      <w:sz w:val="18"/>
      <w:szCs w:val="18"/>
    </w:rPr>
  </w:style>
  <w:style w:type="character" w:styleId="a5">
    <w:name w:val="annotation reference"/>
    <w:basedOn w:val="a0"/>
    <w:rPr>
      <w:sz w:val="16"/>
      <w:szCs w:val="16"/>
    </w:rPr>
  </w:style>
  <w:style w:type="paragraph" w:styleId="a6">
    <w:name w:val="annotation text"/>
    <w:basedOn w:val="a"/>
    <w:link w:val="a7"/>
    <w:qFormat/>
  </w:style>
  <w:style w:type="paragraph" w:styleId="a8">
    <w:name w:val="annotation subject"/>
    <w:basedOn w:val="a6"/>
    <w:next w:val="a6"/>
    <w:link w:val="a9"/>
    <w:qFormat/>
    <w:rPr>
      <w:b/>
      <w:bCs/>
    </w:rPr>
  </w:style>
  <w:style w:type="paragraph" w:styleId="aa">
    <w:name w:val="Document Map"/>
    <w:basedOn w:val="a"/>
    <w:link w:val="ab"/>
    <w:qFormat/>
    <w:pPr>
      <w:spacing w:after="0"/>
    </w:pPr>
    <w:rPr>
      <w:sz w:val="24"/>
      <w:szCs w:val="24"/>
    </w:rPr>
  </w:style>
  <w:style w:type="paragraph" w:styleId="ac">
    <w:name w:val="footer"/>
    <w:basedOn w:val="ad"/>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eastAsia="ja-JP"/>
    </w:rPr>
  </w:style>
  <w:style w:type="character" w:styleId="af">
    <w:name w:val="Hyperlink"/>
    <w:qFormat/>
    <w:rPr>
      <w:color w:val="0000FF"/>
      <w:u w:val="single"/>
    </w:rPr>
  </w:style>
  <w:style w:type="paragraph" w:styleId="Web">
    <w:name w:val="Normal (Web)"/>
    <w:basedOn w:val="a"/>
    <w:uiPriority w:val="99"/>
    <w:unhideWhenUsed/>
    <w:qFormat/>
    <w:pPr>
      <w:spacing w:before="100" w:beforeAutospacing="1" w:after="100" w:afterAutospacing="1"/>
    </w:pPr>
    <w:rPr>
      <w:sz w:val="24"/>
      <w:szCs w:val="24"/>
      <w:lang w:val="en-U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semiHidden/>
    <w:pPr>
      <w:keepNext w:val="0"/>
      <w:spacing w:before="0"/>
      <w:ind w:left="851" w:hanging="851"/>
    </w:pPr>
    <w:rPr>
      <w:sz w:val="20"/>
    </w:rPr>
  </w:style>
  <w:style w:type="paragraph" w:styleId="30">
    <w:name w:val="toc 3"/>
    <w:basedOn w:val="20"/>
    <w:next w:val="a"/>
    <w:semiHidden/>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next w:val="a"/>
    <w:semiHidden/>
    <w:pPr>
      <w:spacing w:before="180"/>
      <w:ind w:left="2693" w:hanging="2693"/>
    </w:pPr>
    <w:rPr>
      <w:b/>
    </w:rPr>
  </w:style>
  <w:style w:type="paragraph" w:styleId="90">
    <w:name w:val="toc 9"/>
    <w:basedOn w:val="80"/>
    <w:next w:val="a"/>
    <w:semiHidden/>
    <w:qFormat/>
    <w:pPr>
      <w:ind w:left="1418" w:hanging="1418"/>
    </w:p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b">
    <w:name w:val="見出しマップ (文字)"/>
    <w:basedOn w:val="a0"/>
    <w:link w:val="aa"/>
    <w:qFormat/>
    <w:rPr>
      <w:sz w:val="24"/>
      <w:szCs w:val="24"/>
      <w:lang w:eastAsia="en-US"/>
    </w:rPr>
  </w:style>
  <w:style w:type="character" w:customStyle="1" w:styleId="a4">
    <w:name w:val="吹き出し (文字)"/>
    <w:basedOn w:val="a0"/>
    <w:link w:val="a3"/>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szCs w:val="24"/>
      <w:lang w:eastAsia="en-GB"/>
    </w:rPr>
  </w:style>
  <w:style w:type="paragraph" w:styleId="af1">
    <w:name w:val="List Paragraph"/>
    <w:basedOn w:val="a"/>
    <w:link w:val="af2"/>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9">
    <w:name w:val="コメント内容 (文字)"/>
    <w:basedOn w:val="a7"/>
    <w:link w:val="a8"/>
    <w:qFormat/>
    <w:rPr>
      <w:b/>
      <w:bCs/>
      <w:lang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ＭＳ 明朝"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af2">
    <w:name w:val="リスト段落 (文字)"/>
    <w:link w:val="af1"/>
    <w:uiPriority w:val="34"/>
    <w:qFormat/>
    <w:locked/>
    <w:rPr>
      <w:lang w:eastAsia="en-US"/>
    </w:rPr>
  </w:style>
  <w:style w:type="character" w:customStyle="1" w:styleId="EmailDiscussionChar">
    <w:name w:val="EmailDiscussion Char"/>
    <w:link w:val="EmailDiscussion"/>
    <w:qFormat/>
    <w:locked/>
    <w:rPr>
      <w:rFonts w:ascii="Arial" w:eastAsia="ＭＳ 明朝" w:hAnsi="Arial"/>
      <w: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4852</Words>
  <Characters>27659</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00TSa</cp:lastModifiedBy>
  <cp:revision>3</cp:revision>
  <dcterms:created xsi:type="dcterms:W3CDTF">2023-03-02T10:26:00Z</dcterms:created>
  <dcterms:modified xsi:type="dcterms:W3CDTF">2023-03-02T10:44:00Z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y fmtid="{D5CDD505-2E9C-101B-9397-08002B2CF9AE}" pid="6" name="MSIP_Label_a7295cc1-d279-42ac-ab4d-3b0f4fece050_Enabled">
    <vt:lpwstr>true</vt:lpwstr>
  </property>
  <property fmtid="{D5CDD505-2E9C-101B-9397-08002B2CF9AE}" pid="7" name="MSIP_Label_a7295cc1-d279-42ac-ab4d-3b0f4fece050_SetDate">
    <vt:lpwstr>2023-03-02T10:26:10Z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8f5a44df-b620-4cf3-b913-b63a12dcd483</vt:lpwstr>
  </property>
  <property fmtid="{D5CDD505-2E9C-101B-9397-08002B2CF9AE}" pid="12" name="MSIP_Label_a7295cc1-d279-42ac-ab4d-3b0f4fece050_ContentBits">
    <vt:lpwstr>0</vt:lpwstr>
  </property>
</Properties>
</file>