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w:t>
      </w:r>
      <w:proofErr w:type="gramStart"/>
      <w:r w:rsidR="00711772" w:rsidRPr="00591F65">
        <w:rPr>
          <w:rFonts w:ascii="Arial" w:hAnsi="Arial" w:cs="Arial"/>
          <w:b/>
          <w:sz w:val="24"/>
          <w:szCs w:val="24"/>
        </w:rPr>
        <w:t>202][</w:t>
      </w:r>
      <w:proofErr w:type="gramEnd"/>
      <w:r w:rsidR="00711772" w:rsidRPr="00591F65">
        <w:rPr>
          <w:rFonts w:ascii="Arial" w:hAnsi="Arial" w:cs="Arial"/>
          <w:b/>
          <w:sz w:val="24"/>
          <w:szCs w:val="24"/>
        </w:rPr>
        <w:t>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Heading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w:t>
      </w:r>
      <w:proofErr w:type="gramStart"/>
      <w:r w:rsidRPr="0014623E">
        <w:rPr>
          <w:rFonts w:cs="Arial"/>
          <w:sz w:val="18"/>
          <w:szCs w:val="18"/>
        </w:rPr>
        <w:t>202][</w:t>
      </w:r>
      <w:proofErr w:type="gramEnd"/>
      <w:r w:rsidRPr="0014623E">
        <w:rPr>
          <w:rFonts w:cs="Arial"/>
          <w:sz w:val="18"/>
          <w:szCs w:val="18"/>
        </w:rPr>
        <w:t>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Hyperlink"/>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Heading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TableGrid"/>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Hyperlink"/>
                  <w:rFonts w:cs="Arial"/>
                  <w:lang w:val="en-US"/>
                </w:rPr>
                <w:t>c-phillip.oni@charter.com</w:t>
              </w:r>
            </w:hyperlink>
            <w:r>
              <w:rPr>
                <w:rFonts w:cs="Arial"/>
                <w:lang w:val="en-US"/>
              </w:rPr>
              <w:t xml:space="preserve"> </w:t>
            </w:r>
          </w:p>
        </w:tc>
      </w:tr>
      <w:tr w:rsidR="00445EEB"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591F65" w:rsidRDefault="00445EEB" w:rsidP="003E5074">
            <w:pPr>
              <w:pStyle w:val="TAC"/>
              <w:jc w:val="left"/>
              <w:rPr>
                <w:rFonts w:cs="Arial"/>
                <w:lang w:val="en-US"/>
              </w:rPr>
            </w:pPr>
          </w:p>
        </w:tc>
      </w:tr>
      <w:tr w:rsidR="00445EEB"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591F65" w:rsidRDefault="00445EEB" w:rsidP="003E5074">
            <w:pPr>
              <w:pStyle w:val="TAC"/>
              <w:jc w:val="left"/>
              <w:rPr>
                <w:rFonts w:cs="Arial"/>
                <w:lang w:val="en-US"/>
              </w:rPr>
            </w:pPr>
          </w:p>
        </w:tc>
      </w:tr>
      <w:tr w:rsidR="00445EEB"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591F65" w:rsidRDefault="00445EEB" w:rsidP="003E5074">
            <w:pPr>
              <w:pStyle w:val="TAC"/>
              <w:jc w:val="left"/>
              <w:rPr>
                <w:rFonts w:cs="Arial"/>
                <w:lang w:val="en-US"/>
              </w:rPr>
            </w:pPr>
          </w:p>
        </w:tc>
      </w:tr>
      <w:tr w:rsidR="00445EEB"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591F65" w:rsidRDefault="00445EEB" w:rsidP="003E5074">
            <w:pPr>
              <w:pStyle w:val="TAC"/>
              <w:jc w:val="left"/>
              <w:rPr>
                <w:rFonts w:cs="Arial"/>
                <w:lang w:val="en-US" w:eastAsia="ko-KR"/>
              </w:rPr>
            </w:pPr>
          </w:p>
        </w:tc>
      </w:tr>
      <w:tr w:rsidR="00445EEB"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Pr="00591F65" w:rsidRDefault="00445EEB" w:rsidP="003E5074">
            <w:pPr>
              <w:pStyle w:val="TAC"/>
              <w:jc w:val="left"/>
              <w:rPr>
                <w:rFonts w:cs="Arial"/>
                <w:lang w:val="en-US"/>
              </w:rPr>
            </w:pPr>
          </w:p>
        </w:tc>
      </w:tr>
      <w:tr w:rsidR="00445EEB"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591F65" w:rsidRDefault="00445EEB" w:rsidP="003E5074">
            <w:pPr>
              <w:pStyle w:val="TAC"/>
              <w:jc w:val="left"/>
              <w:rPr>
                <w:rFonts w:cs="Arial"/>
                <w:lang w:val="en-US"/>
              </w:rPr>
            </w:pPr>
          </w:p>
        </w:tc>
      </w:tr>
      <w:tr w:rsidR="00445EEB"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591F65" w:rsidRDefault="00445EEB" w:rsidP="003E5074">
            <w:pPr>
              <w:pStyle w:val="TAC"/>
              <w:jc w:val="left"/>
              <w:rPr>
                <w:rFonts w:cs="Arial"/>
                <w:lang w:val="en-US" w:eastAsia="ko-KR"/>
              </w:rPr>
            </w:pPr>
          </w:p>
        </w:tc>
      </w:tr>
      <w:tr w:rsidR="00445EEB"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591F65" w:rsidRDefault="00445EEB" w:rsidP="003E5074">
            <w:pPr>
              <w:pStyle w:val="TAC"/>
              <w:jc w:val="left"/>
              <w:rPr>
                <w:rFonts w:cs="Arial"/>
                <w:lang w:val="en-US" w:eastAsia="ko-KR"/>
              </w:rPr>
            </w:pPr>
          </w:p>
        </w:tc>
      </w:tr>
      <w:tr w:rsidR="00445EEB"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591F65" w:rsidRDefault="00445EEB" w:rsidP="003E5074">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591F65" w:rsidRDefault="00445EEB" w:rsidP="003E5074">
            <w:pPr>
              <w:pStyle w:val="TAC"/>
              <w:jc w:val="left"/>
              <w:rPr>
                <w:rFonts w:cs="Arial"/>
                <w:lang w:val="en-US" w:eastAsia="ko-KR"/>
              </w:rPr>
            </w:pPr>
          </w:p>
        </w:tc>
      </w:tr>
      <w:tr w:rsidR="00445EEB"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Pr="00591F65" w:rsidRDefault="00445EEB" w:rsidP="003E5074">
            <w:pPr>
              <w:pStyle w:val="TAC"/>
              <w:jc w:val="left"/>
              <w:rPr>
                <w:rFonts w:cs="Arial"/>
                <w:lang w:val="en-US" w:eastAsia="ko-KR"/>
              </w:rPr>
            </w:pPr>
          </w:p>
        </w:tc>
      </w:tr>
      <w:tr w:rsidR="00445EEB"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Pr="00591F65" w:rsidRDefault="00445EEB" w:rsidP="003E5074">
            <w:pPr>
              <w:pStyle w:val="TAC"/>
              <w:jc w:val="left"/>
              <w:rPr>
                <w:rFonts w:cs="Arial"/>
                <w:lang w:val="en-US" w:eastAsia="ko-KR"/>
              </w:rPr>
            </w:pPr>
          </w:p>
        </w:tc>
      </w:tr>
      <w:tr w:rsidR="00445EEB"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Pr="00591F65" w:rsidRDefault="00445EEB" w:rsidP="003E5074">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Pr="00591F65" w:rsidRDefault="00445EEB" w:rsidP="003E5074">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Heading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lastRenderedPageBreak/>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RRC reconfiguration or carrier 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CB451F">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5pt;height:190.95pt;mso-width-percent:0;mso-height-percent:0;mso-width-percent:0;mso-height-percent:0" o:ole="">
            <v:imagedata r:id="rId13" o:title=""/>
          </v:shape>
          <o:OLEObject Type="Embed" ProgID="Visio.Drawing.15" ShapeID="_x0000_i1026" DrawAspect="Content" ObjectID="_1739257284"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CB451F" w:rsidP="003F7462">
      <w:pPr>
        <w:jc w:val="center"/>
      </w:pPr>
      <w:r>
        <w:rPr>
          <w:noProof/>
        </w:rPr>
        <w:object w:dxaOrig="10380" w:dyaOrig="4140" w14:anchorId="448F02B2">
          <v:shape id="_x0000_i1025" type="#_x0000_t75" alt="" style="width:403.2pt;height:161.55pt;mso-width-percent:0;mso-height-percent:0;mso-width-percent:0;mso-height-percent:0" o:ole="">
            <v:imagedata r:id="rId15" o:title=""/>
          </v:shape>
          <o:OLEObject Type="Embed" ProgID="Visio.Drawing.15" ShapeID="_x0000_i1025" DrawAspect="Content" ObjectID="_1739257285"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943C" w14:textId="77777777" w:rsidR="00CB451F" w:rsidRDefault="00CB451F">
      <w:r>
        <w:separator/>
      </w:r>
    </w:p>
  </w:endnote>
  <w:endnote w:type="continuationSeparator" w:id="0">
    <w:p w14:paraId="3F52FE0F" w14:textId="77777777" w:rsidR="00CB451F" w:rsidRDefault="00C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5174" w14:textId="77777777" w:rsidR="00CB451F" w:rsidRDefault="00CB451F">
      <w:r>
        <w:separator/>
      </w:r>
    </w:p>
  </w:footnote>
  <w:footnote w:type="continuationSeparator" w:id="0">
    <w:p w14:paraId="6E4EF36B" w14:textId="77777777" w:rsidR="00CB451F" w:rsidRDefault="00CB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475223290">
    <w:abstractNumId w:val="11"/>
  </w:num>
  <w:num w:numId="2" w16cid:durableId="1281301047">
    <w:abstractNumId w:val="7"/>
  </w:num>
  <w:num w:numId="3" w16cid:durableId="1506439024">
    <w:abstractNumId w:val="0"/>
  </w:num>
  <w:num w:numId="4" w16cid:durableId="958144469">
    <w:abstractNumId w:val="12"/>
  </w:num>
  <w:num w:numId="5" w16cid:durableId="481585397">
    <w:abstractNumId w:val="13"/>
  </w:num>
  <w:num w:numId="6" w16cid:durableId="1082415693">
    <w:abstractNumId w:val="14"/>
  </w:num>
  <w:num w:numId="7" w16cid:durableId="222909768">
    <w:abstractNumId w:val="4"/>
  </w:num>
  <w:num w:numId="8" w16cid:durableId="1890221374">
    <w:abstractNumId w:val="5"/>
  </w:num>
  <w:num w:numId="9" w16cid:durableId="1390568149">
    <w:abstractNumId w:val="2"/>
  </w:num>
  <w:num w:numId="10" w16cid:durableId="44525294">
    <w:abstractNumId w:val="18"/>
  </w:num>
  <w:num w:numId="11" w16cid:durableId="1330254508">
    <w:abstractNumId w:val="6"/>
  </w:num>
  <w:num w:numId="12" w16cid:durableId="114566626">
    <w:abstractNumId w:val="17"/>
  </w:num>
  <w:num w:numId="13" w16cid:durableId="1271426868">
    <w:abstractNumId w:val="10"/>
  </w:num>
  <w:num w:numId="14" w16cid:durableId="1915629418">
    <w:abstractNumId w:val="13"/>
  </w:num>
  <w:num w:numId="15" w16cid:durableId="1166021412">
    <w:abstractNumId w:val="8"/>
  </w:num>
  <w:num w:numId="16" w16cid:durableId="1529023781">
    <w:abstractNumId w:val="9"/>
  </w:num>
  <w:num w:numId="17" w16cid:durableId="1995454821">
    <w:abstractNumId w:val="1"/>
  </w:num>
  <w:num w:numId="18" w16cid:durableId="1296837758">
    <w:abstractNumId w:val="19"/>
  </w:num>
  <w:num w:numId="19" w16cid:durableId="394085545">
    <w:abstractNumId w:val="16"/>
  </w:num>
  <w:num w:numId="20" w16cid:durableId="2108040740">
    <w:abstractNumId w:val="3"/>
  </w:num>
  <w:num w:numId="21" w16cid:durableId="1384478668">
    <w:abstractNumId w:val="13"/>
  </w:num>
  <w:num w:numId="22" w16cid:durableId="13560580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FB0"/>
    <w:rsid w:val="00390065"/>
    <w:rsid w:val="00393660"/>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7BF0"/>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424BE-31E2-4150-BCF2-067A2AD25BC1}">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4458</Characters>
  <Application>Microsoft Office Word</Application>
  <DocSecurity>0</DocSecurity>
  <Lines>111</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Microsoft Office User</cp:lastModifiedBy>
  <cp:revision>2</cp:revision>
  <cp:lastPrinted>2008-01-31T07:09:00Z</cp:lastPrinted>
  <dcterms:created xsi:type="dcterms:W3CDTF">2023-03-02T08:12:00Z</dcterms:created>
  <dcterms:modified xsi:type="dcterms:W3CDTF">2023-03-02T08:12:00Z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