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rFonts w:cs="Arial"/>
          <w:szCs w:val="24"/>
          <w:lang w:val="en-US"/>
        </w:rPr>
      </w:pPr>
      <w:r>
        <w:rPr>
          <w:rFonts w:cs="Arial"/>
          <w:szCs w:val="24"/>
          <w:lang w:val="en-US"/>
        </w:rPr>
        <w:t>3GPP TSG-RAN WG2 #121</w:t>
      </w:r>
      <w:r>
        <w:rPr>
          <w:rFonts w:cs="Arial"/>
          <w:szCs w:val="24"/>
          <w:lang w:val="en-US"/>
        </w:rPr>
        <w:tab/>
      </w:r>
      <w:r>
        <w:rPr>
          <w:rFonts w:cs="Arial"/>
          <w:szCs w:val="24"/>
          <w:lang w:val="en-US"/>
        </w:rPr>
        <w:t>R2-xxxx</w:t>
      </w:r>
    </w:p>
    <w:p>
      <w:pPr>
        <w:pStyle w:val="62"/>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pPr>
        <w:pStyle w:val="110"/>
        <w:tabs>
          <w:tab w:val="left" w:pos="1985"/>
        </w:tabs>
        <w:rPr>
          <w:rFonts w:cs="Arial"/>
          <w:b/>
          <w:bCs/>
          <w:sz w:val="24"/>
          <w:szCs w:val="24"/>
        </w:rPr>
      </w:pPr>
    </w:p>
    <w:p>
      <w:pPr>
        <w:pStyle w:val="110"/>
        <w:tabs>
          <w:tab w:val="left" w:pos="1985"/>
        </w:tabs>
        <w:rPr>
          <w:rFonts w:cs="Arial"/>
          <w:b/>
          <w:bCs/>
          <w:sz w:val="24"/>
          <w:szCs w:val="24"/>
          <w:lang w:eastAsia="zh-CN"/>
        </w:rPr>
      </w:pPr>
      <w:r>
        <w:rPr>
          <w:rFonts w:cs="Arial"/>
          <w:b/>
          <w:bCs/>
          <w:sz w:val="24"/>
          <w:szCs w:val="24"/>
        </w:rPr>
        <w:t>Agenda item:</w:t>
      </w:r>
      <w:r>
        <w:rPr>
          <w:rFonts w:cs="Arial"/>
          <w:b/>
          <w:bCs/>
          <w:sz w:val="24"/>
          <w:szCs w:val="24"/>
        </w:rPr>
        <w:tab/>
      </w:r>
      <w:r>
        <w:rPr>
          <w:rFonts w:cs="Arial"/>
          <w:b/>
          <w:bCs/>
          <w:sz w:val="24"/>
          <w:szCs w:val="24"/>
        </w:rPr>
        <w:t>8.17.2</w:t>
      </w:r>
    </w:p>
    <w:p>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[AT121][202][MUSIM] LS to RAN4 on Rel-18 MUSIM impacts (vivo)</w:t>
      </w:r>
    </w:p>
    <w:bookmarkEnd w:id="0"/>
    <w:p>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r>
      <w:r>
        <w:rPr>
          <w:rFonts w:ascii="Arial" w:hAnsi="Arial" w:cs="Arial"/>
          <w:b/>
          <w:bCs/>
          <w:sz w:val="24"/>
          <w:szCs w:val="24"/>
        </w:rPr>
        <w:t xml:space="preserve">Discussion and </w:t>
      </w:r>
      <w:r>
        <w:rPr>
          <w:rFonts w:ascii="Arial" w:hAnsi="Arial" w:cs="Arial"/>
          <w:b/>
          <w:bCs/>
          <w:sz w:val="24"/>
          <w:szCs w:val="24"/>
          <w:lang w:eastAsia="zh-CN"/>
        </w:rPr>
        <w:t>Agreement</w:t>
      </w:r>
    </w:p>
    <w:p>
      <w:pPr>
        <w:pStyle w:val="2"/>
        <w:rPr>
          <w:rFonts w:cs="Arial"/>
        </w:rPr>
      </w:pPr>
      <w:r>
        <w:rPr>
          <w:rFonts w:cs="Arial"/>
        </w:rPr>
        <w:t>1</w:t>
      </w:r>
      <w:r>
        <w:rPr>
          <w:rFonts w:cs="Arial"/>
        </w:rPr>
        <w:tab/>
      </w:r>
      <w:r>
        <w:rPr>
          <w:rFonts w:cs="Arial"/>
        </w:rPr>
        <w:t>Introduction</w:t>
      </w:r>
    </w:p>
    <w:p>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pPr>
        <w:pStyle w:val="112"/>
        <w:rPr>
          <w:rFonts w:cs="Arial"/>
          <w:sz w:val="18"/>
          <w:szCs w:val="18"/>
          <w:lang w:val="en-US" w:eastAsia="en-GB"/>
        </w:rPr>
      </w:pPr>
    </w:p>
    <w:p>
      <w:pPr>
        <w:pStyle w:val="117"/>
        <w:numPr>
          <w:ilvl w:val="0"/>
          <w:numId w:val="12"/>
        </w:numPr>
        <w:overflowPunct/>
        <w:autoSpaceDE/>
        <w:autoSpaceDN/>
        <w:adjustRightInd/>
        <w:textAlignment w:val="auto"/>
        <w:rPr>
          <w:rFonts w:cs="Arial"/>
          <w:sz w:val="18"/>
          <w:szCs w:val="18"/>
          <w:lang w:eastAsia="zh-CN"/>
        </w:rPr>
      </w:pPr>
      <w:r>
        <w:rPr>
          <w:rFonts w:cs="Arial"/>
          <w:sz w:val="18"/>
          <w:szCs w:val="18"/>
        </w:rPr>
        <w:t>[AT121][202][MUSIM] LS to RAN4 on Rel-18 MUSIM impacts (vivo)</w:t>
      </w:r>
    </w:p>
    <w:p>
      <w:pPr>
        <w:pStyle w:val="149"/>
        <w:rPr>
          <w:sz w:val="18"/>
          <w:szCs w:val="18"/>
        </w:rPr>
      </w:pPr>
      <w:r>
        <w:rPr>
          <w:sz w:val="18"/>
          <w:szCs w:val="18"/>
        </w:rPr>
        <w:t>      Scope: Discuss the topic and aim for consensus.</w:t>
      </w:r>
    </w:p>
    <w:p>
      <w:pPr>
        <w:pStyle w:val="149"/>
        <w:rPr>
          <w:sz w:val="18"/>
          <w:szCs w:val="18"/>
        </w:rPr>
      </w:pPr>
      <w:r>
        <w:rPr>
          <w:sz w:val="18"/>
          <w:szCs w:val="18"/>
        </w:rPr>
        <w:t xml:space="preserve">      Intended outcome: Summary in R2-2302008 and agreeable LS (if possible) to RAN4 in </w:t>
      </w:r>
      <w:r>
        <w:fldChar w:fldCharType="begin"/>
      </w:r>
      <w:r>
        <w:instrText xml:space="preserve"> HYPERLINK "file:///C:\\Users\\terhentt\\Documents\\Tdocs\\RAN2\\RAN2_121\\R2-2302007.zip" </w:instrText>
      </w:r>
      <w:r>
        <w:fldChar w:fldCharType="separate"/>
      </w:r>
      <w:r>
        <w:rPr>
          <w:rStyle w:val="57"/>
          <w:sz w:val="18"/>
          <w:szCs w:val="18"/>
        </w:rPr>
        <w:t>R2-2302007</w:t>
      </w:r>
      <w:r>
        <w:rPr>
          <w:rStyle w:val="57"/>
          <w:sz w:val="18"/>
          <w:szCs w:val="18"/>
        </w:rPr>
        <w:fldChar w:fldCharType="end"/>
      </w:r>
      <w:r>
        <w:rPr>
          <w:sz w:val="18"/>
          <w:szCs w:val="18"/>
        </w:rPr>
        <w:t>.</w:t>
      </w:r>
    </w:p>
    <w:p>
      <w:pPr>
        <w:pStyle w:val="149"/>
        <w:rPr>
          <w:sz w:val="18"/>
          <w:szCs w:val="18"/>
        </w:rPr>
      </w:pPr>
      <w:r>
        <w:rPr>
          <w:sz w:val="18"/>
          <w:szCs w:val="18"/>
        </w:rPr>
        <w:t>      Deadline: Friday morning (before morning coffee break)</w:t>
      </w:r>
    </w:p>
    <w:p>
      <w:pPr>
        <w:rPr>
          <w:rFonts w:ascii="Arial" w:hAnsi="Arial" w:cs="Arial"/>
        </w:rPr>
      </w:pPr>
    </w:p>
    <w:p>
      <w:pPr>
        <w:pStyle w:val="2"/>
        <w:rPr>
          <w:rFonts w:cs="Arial"/>
          <w:lang w:eastAsia="zh-CN"/>
        </w:rPr>
      </w:pPr>
      <w:r>
        <w:rPr>
          <w:rFonts w:cs="Arial"/>
        </w:rPr>
        <w:t>2</w:t>
      </w:r>
      <w:r>
        <w:rPr>
          <w:rFonts w:cs="Arial"/>
        </w:rPr>
        <w:tab/>
      </w:r>
      <w:r>
        <w:rPr>
          <w:rFonts w:cs="Arial"/>
          <w:lang w:eastAsia="ko-KR"/>
        </w:rPr>
        <w:t>Contact Information</w:t>
      </w:r>
    </w:p>
    <w:p>
      <w:pPr>
        <w:rPr>
          <w:rFonts w:ascii="Arial" w:hAnsi="Arial"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cs="Arial"/>
                <w:szCs w:val="22"/>
                <w:lang w:eastAsia="ko-KR"/>
              </w:rPr>
            </w:pPr>
            <w:r>
              <w:rPr>
                <w:rFonts w:eastAsia="Calibri" w:cs="Arial"/>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cs="Arial"/>
                <w:szCs w:val="22"/>
                <w:lang w:eastAsia="ko-KR"/>
              </w:rPr>
            </w:pPr>
            <w:r>
              <w:rPr>
                <w:rFonts w:eastAsia="Calibri" w:cs="Arial"/>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Qualcomm Incorporated</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Charter Communications Inc</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 xml:space="preserve">Phillip Oni </w:t>
            </w:r>
            <w:r>
              <w:fldChar w:fldCharType="begin"/>
            </w:r>
            <w:r>
              <w:instrText xml:space="preserve"> HYPERLINK "mailto:c-phillip.oni@charter.com" </w:instrText>
            </w:r>
            <w:r>
              <w:fldChar w:fldCharType="separate"/>
            </w:r>
            <w:r>
              <w:rPr>
                <w:rStyle w:val="57"/>
                <w:rFonts w:eastAsia="Calibri" w:cs="Arial"/>
                <w:szCs w:val="22"/>
                <w:lang w:val="en-US"/>
              </w:rPr>
              <w:t>c-phillip.oni@charter.com</w:t>
            </w:r>
            <w:r>
              <w:rPr>
                <w:rStyle w:val="57"/>
                <w:rFonts w:eastAsia="Calibri" w:cs="Arial"/>
                <w:szCs w:val="22"/>
                <w:lang w:val="en-US"/>
              </w:rPr>
              <w:fldChar w:fldCharType="end"/>
            </w:r>
            <w:r>
              <w:rPr>
                <w:rFonts w:eastAsia="Calibri" w:cs="Arial"/>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Xiaomi</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hint="eastAsia" w:eastAsia="Malgun Gothic" w:cs="Arial"/>
                <w:szCs w:val="22"/>
                <w:lang w:val="en-US" w:eastAsia="ko-KR"/>
              </w:rPr>
              <w:t>LGE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hint="eastAsia" w:eastAsia="Malgun Gothic" w:cs="Arial"/>
                <w:szCs w:val="22"/>
                <w:lang w:val="en-US" w:eastAsia="ko-KR"/>
              </w:rPr>
              <w:t>Hongsuk Kim (</w:t>
            </w:r>
            <w:r>
              <w:rPr>
                <w:rFonts w:eastAsia="Malgun Gothic" w:cs="Arial"/>
                <w:szCs w:val="22"/>
                <w:lang w:val="en-US" w:eastAsia="ko-KR"/>
              </w:rPr>
              <w:t>hassium.kim@lge.com</w:t>
            </w:r>
            <w:r>
              <w:rPr>
                <w:rFonts w:hint="eastAsia" w:eastAsia="Malgun Gothic" w:cs="Arial"/>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Apple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eastAsia="Calibri" w:cs="Arial"/>
                <w:szCs w:val="22"/>
                <w:lang w:val="en-US"/>
              </w:rPr>
              <w:t>Sethuraman Gurumoorthy (sethu@apple.com)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hint="eastAsia" w:cs="Arial" w:eastAsiaTheme="minorEastAsia"/>
                <w:szCs w:val="22"/>
                <w:lang w:val="en-US" w:eastAsia="zh-CN"/>
              </w:rPr>
              <w:t>L</w:t>
            </w:r>
            <w:r>
              <w:rPr>
                <w:rFonts w:cs="Arial" w:eastAsiaTheme="minorEastAsia"/>
                <w:szCs w:val="22"/>
                <w:lang w:val="en-US" w:eastAsia="zh-CN"/>
              </w:rPr>
              <w:t>enovo</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hint="eastAsia" w:cs="Arial" w:eastAsiaTheme="minorEastAsia"/>
                <w:szCs w:val="22"/>
                <w:lang w:val="en-US" w:eastAsia="zh-CN"/>
              </w:rPr>
              <w:t>L</w:t>
            </w:r>
            <w:r>
              <w:rPr>
                <w:rFonts w:cs="Arial" w:eastAsiaTheme="minorEastAsia"/>
                <w:szCs w:val="22"/>
                <w:lang w:val="en-US" w:eastAsia="zh-CN"/>
              </w:rPr>
              <w:t>ianhai(wulh5@lenovo.com)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hint="eastAsia" w:cs="Arial" w:eastAsiaTheme="minorEastAsia"/>
                <w:szCs w:val="22"/>
                <w:lang w:val="en-US" w:eastAsia="zh-CN"/>
              </w:rPr>
              <w:t>v</w:t>
            </w:r>
            <w:r>
              <w:rPr>
                <w:rFonts w:cs="Arial" w:eastAsiaTheme="minorEastAsia"/>
                <w:szCs w:val="22"/>
                <w:lang w:val="en-US"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r>
              <w:rPr>
                <w:rFonts w:hint="eastAsia" w:cs="Arial" w:eastAsiaTheme="minorEastAsia"/>
                <w:szCs w:val="22"/>
                <w:lang w:val="en-US" w:eastAsia="zh-CN"/>
              </w:rPr>
              <w:t>W</w:t>
            </w:r>
            <w:r>
              <w:rPr>
                <w:rFonts w:cs="Arial" w:eastAsiaTheme="minorEastAsia"/>
                <w:szCs w:val="22"/>
                <w:lang w:val="en-US" w:eastAsia="zh-CN"/>
              </w:rPr>
              <w:t>enjuan Pu(wenjuan.pu@vivo.com)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Malgun Gothic" w:cs="Arial"/>
                <w:szCs w:val="22"/>
                <w:lang w:val="en-US" w:eastAsia="ko-KR"/>
              </w:rPr>
            </w:pPr>
            <w:r>
              <w:rPr>
                <w:rFonts w:hint="eastAsia" w:eastAsia="Malgun Gothic" w:cs="Arial"/>
                <w:szCs w:val="22"/>
                <w:lang w:val="en-US" w:eastAsia="ko-KR"/>
              </w:rPr>
              <w:t>S</w:t>
            </w:r>
            <w:r>
              <w:rPr>
                <w:rFonts w:eastAsia="Malgun Gothic" w:cs="Arial"/>
                <w:szCs w:val="22"/>
                <w:lang w:val="en-US" w:eastAsia="ko-KR"/>
              </w:rPr>
              <w:t>amsung</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Malgun Gothic" w:cs="Arial"/>
                <w:szCs w:val="22"/>
                <w:lang w:val="en-US" w:eastAsia="ko-KR"/>
              </w:rPr>
            </w:pPr>
            <w:r>
              <w:rPr>
                <w:rFonts w:hint="eastAsia" w:eastAsia="Malgun Gothic" w:cs="Arial"/>
                <w:szCs w:val="22"/>
                <w:lang w:val="en-US" w:eastAsia="ko-KR"/>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eastAsia="Calibri" w:cs="Arial"/>
                <w:szCs w:val="22"/>
                <w:lang w:val="en-US" w:eastAsia="ko-KR"/>
              </w:rPr>
              <w:t>Huawei/HiSilicon</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r>
              <w:rPr>
                <w:rFonts w:eastAsia="Calibri" w:cs="Arial"/>
                <w:szCs w:val="22"/>
                <w:lang w:val="en-US" w:eastAsia="ko-KR"/>
              </w:rPr>
              <w:t>Rama Kumar Mopidevi (rama.kumar@huawei.com)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cs="Arial"/>
                <w:szCs w:val="22"/>
                <w:lang w:val="en-US" w:eastAsia="zh-CN"/>
              </w:rPr>
            </w:pPr>
            <w:r>
              <w:rPr>
                <w:rFonts w:hint="eastAsia" w:cs="Arial"/>
                <w:szCs w:val="22"/>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cs="Arial"/>
                <w:szCs w:val="22"/>
                <w:lang w:val="en-US" w:eastAsia="zh-CN"/>
              </w:rPr>
            </w:pPr>
            <w:r>
              <w:rPr>
                <w:rFonts w:hint="eastAsia" w:cs="Arial"/>
                <w:szCs w:val="22"/>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cs="Arial"/>
                <w:szCs w:val="22"/>
                <w:lang w:val="en-US" w:eastAsia="ko-KR"/>
              </w:rPr>
            </w:pPr>
          </w:p>
        </w:tc>
      </w:tr>
    </w:tbl>
    <w:p>
      <w:pPr>
        <w:rPr>
          <w:rFonts w:ascii="Arial" w:hAnsi="Arial" w:cs="Arial"/>
        </w:rPr>
      </w:pPr>
    </w:p>
    <w:p>
      <w:pPr>
        <w:pStyle w:val="2"/>
        <w:rPr>
          <w:rFonts w:cs="Arial"/>
        </w:rPr>
      </w:pPr>
      <w:r>
        <w:rPr>
          <w:rFonts w:cs="Arial"/>
          <w:lang w:eastAsia="zh-CN"/>
        </w:rPr>
        <w:t>3</w:t>
      </w:r>
      <w:r>
        <w:rPr>
          <w:rFonts w:cs="Arial"/>
        </w:rPr>
        <w:tab/>
      </w:r>
      <w:r>
        <w:rPr>
          <w:rFonts w:cs="Arial"/>
        </w:rPr>
        <w:t>Discussions</w:t>
      </w:r>
    </w:p>
    <w:p>
      <w:pPr>
        <w:rPr>
          <w:rFonts w:ascii="Arial" w:hAnsi="Arial" w:eastAsia="Yu Mincho" w:cs="Arial"/>
          <w:sz w:val="18"/>
          <w:szCs w:val="18"/>
        </w:rPr>
      </w:pPr>
      <w:r>
        <w:rPr>
          <w:rFonts w:ascii="Arial" w:hAnsi="Arial" w:eastAsia="Yu Mincho" w:cs="Arial"/>
          <w:sz w:val="18"/>
          <w:szCs w:val="18"/>
        </w:rPr>
        <w:t>During the RAN2 post email discussion</w:t>
      </w:r>
      <w:r>
        <w:rPr>
          <w:rFonts w:ascii="Arial" w:hAnsi="Arial" w:cs="Arial" w:eastAsiaTheme="minorEastAsia"/>
          <w:sz w:val="18"/>
          <w:szCs w:val="18"/>
          <w:lang w:eastAsia="zh-CN"/>
        </w:rPr>
        <w:t xml:space="preserve"> R2-2300773</w:t>
      </w:r>
      <w:r>
        <w:rPr>
          <w:rFonts w:ascii="Arial" w:hAnsi="Arial" w:eastAsia="Yu Mincho" w:cs="Arial"/>
          <w:sz w:val="18"/>
          <w:szCs w:val="18"/>
        </w:rPr>
        <w:t>, the potential RAN4 impact identified by the companies includes the interruption caused by UE capability switching, and the maximum UE power change.</w:t>
      </w:r>
    </w:p>
    <w:p>
      <w:pPr>
        <w:rPr>
          <w:rFonts w:ascii="Arial" w:hAnsi="Arial" w:cs="Arial" w:eastAsiaTheme="minorEastAsia"/>
          <w:sz w:val="18"/>
          <w:szCs w:val="18"/>
          <w:lang w:eastAsia="zh-CN"/>
        </w:rPr>
      </w:pPr>
    </w:p>
    <w:p>
      <w:pPr>
        <w:rPr>
          <w:rFonts w:ascii="Arial" w:hAnsi="Arial" w:cs="Arial"/>
          <w:b/>
          <w:sz w:val="18"/>
          <w:szCs w:val="18"/>
          <w:u w:val="single"/>
          <w:lang w:val="en-US"/>
        </w:rPr>
      </w:pPr>
      <w:r>
        <w:rPr>
          <w:rFonts w:ascii="Arial" w:hAnsi="Arial" w:eastAsia="Yu Mincho" w:cs="Arial"/>
          <w:b/>
          <w:sz w:val="18"/>
          <w:szCs w:val="18"/>
          <w:u w:val="single"/>
        </w:rPr>
        <w:t>The interruption caused by UE capability switching:</w:t>
      </w:r>
    </w:p>
    <w:p>
      <w:pPr>
        <w:jc w:val="both"/>
        <w:rPr>
          <w:rFonts w:ascii="Arial" w:hAnsi="Arial" w:eastAsia="Yu Mincho" w:cs="Arial"/>
          <w:sz w:val="18"/>
          <w:szCs w:val="18"/>
        </w:rPr>
      </w:pPr>
      <w:r>
        <w:rPr>
          <w:rFonts w:ascii="Arial" w:hAnsi="Arial" w:eastAsia="Yu Mincho"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pPr>
        <w:jc w:val="both"/>
        <w:rPr>
          <w:rFonts w:ascii="Arial" w:hAnsi="Arial" w:cs="Arial"/>
          <w:sz w:val="18"/>
          <w:szCs w:val="18"/>
          <w:lang w:val="en-US"/>
        </w:rPr>
      </w:pPr>
    </w:p>
    <w:p>
      <w:pPr>
        <w:jc w:val="both"/>
        <w:rPr>
          <w:rFonts w:ascii="Arial" w:hAnsi="Arial" w:cs="Arial"/>
          <w:sz w:val="18"/>
          <w:szCs w:val="18"/>
          <w:lang w:val="en-US"/>
        </w:rPr>
      </w:pPr>
      <w:r>
        <w:rPr>
          <w:rFonts w:ascii="Arial" w:hAnsi="Arial" w:cs="Arial"/>
          <w:sz w:val="18"/>
          <w:szCs w:val="18"/>
          <w:lang w:val="en-US"/>
        </w:rPr>
        <w:t>There could be an additional interruption (called interruption 2) in NW A due to RF retuning for starting NW B activity, e.g., RRC connection setup procedure in NW B. The interruption 2 is different from that of RRC reconfiguration or carrier deactivation, and is not</w:t>
      </w:r>
      <w:r>
        <w:rPr>
          <w:rFonts w:ascii="Arial" w:hAnsi="Arial" w:cs="Arial" w:eastAsiaTheme="minorEastAsia"/>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pPr>
        <w:jc w:val="both"/>
      </w:pPr>
      <w:r>
        <w:rPr>
          <w:rFonts w:ascii="Arial" w:hAnsi="Arial" w:cs="Arial" w:eastAsiaTheme="minorEastAsia"/>
          <w:sz w:val="18"/>
          <w:szCs w:val="18"/>
          <w:lang w:val="en-US" w:eastAsia="zh-CN"/>
        </w:rPr>
        <w:t xml:space="preserve"> </w:t>
      </w:r>
      <w:r>
        <w:object>
          <v:shape id="_x0000_i1025" o:spt="75" type="#_x0000_t75" style="height:191.85pt;width:35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jc w:val="center"/>
        <w:rPr>
          <w:rFonts w:ascii="Arial" w:hAnsi="Arial" w:cs="Arial" w:eastAsiaTheme="minorEastAsia"/>
          <w:b/>
          <w:sz w:val="18"/>
          <w:szCs w:val="18"/>
          <w:lang w:val="en-US" w:eastAsia="zh-CN"/>
        </w:rPr>
      </w:pPr>
      <w:r>
        <w:rPr>
          <w:rFonts w:ascii="Arial" w:hAnsi="Arial" w:cs="Arial" w:eastAsiaTheme="minorEastAsia"/>
          <w:b/>
          <w:sz w:val="18"/>
          <w:szCs w:val="18"/>
          <w:lang w:val="en-US" w:eastAsia="zh-CN"/>
        </w:rPr>
        <w:t>Figure1</w:t>
      </w:r>
    </w:p>
    <w:p>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pPr>
        <w:rPr>
          <w:rFonts w:ascii="Arial" w:hAnsi="Arial" w:eastAsia="Yu Mincho" w:cs="Arial"/>
          <w:sz w:val="18"/>
          <w:szCs w:val="18"/>
        </w:rPr>
      </w:pPr>
    </w:p>
    <w:p>
      <w:pPr>
        <w:jc w:val="both"/>
        <w:rPr>
          <w:rFonts w:ascii="Arial" w:hAnsi="Arial" w:cs="Arial" w:eastAsiaTheme="minorEastAsia"/>
          <w:b/>
          <w:sz w:val="18"/>
          <w:szCs w:val="18"/>
          <w:lang w:eastAsia="zh-CN"/>
        </w:rPr>
      </w:pPr>
      <w:r>
        <w:rPr>
          <w:rFonts w:ascii="Arial" w:hAnsi="Arial" w:cs="Arial" w:eastAsiaTheme="minorEastAsia"/>
          <w:b/>
          <w:sz w:val="18"/>
          <w:szCs w:val="18"/>
          <w:lang w:eastAsia="zh-CN"/>
        </w:rPr>
        <w:t>Q1: Do you agree with the above OB1?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
        <w:gridCol w:w="792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Company</w:t>
            </w:r>
          </w:p>
        </w:tc>
        <w:tc>
          <w:tcPr>
            <w:tcW w:w="7938"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See comment</w:t>
            </w:r>
          </w:p>
        </w:tc>
        <w:tc>
          <w:tcPr>
            <w:tcW w:w="7938"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Charter – No</w:t>
            </w:r>
          </w:p>
        </w:tc>
        <w:tc>
          <w:tcPr>
            <w:tcW w:w="7938"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UE performing RRC reconfiguration in NW A should not interrupt RF retuning in NW B, and these two activities can happen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Xiaomi</w:t>
            </w:r>
          </w:p>
        </w:tc>
        <w:tc>
          <w:tcPr>
            <w:tcW w:w="7938" w:type="dxa"/>
            <w:gridSpan w:val="2"/>
          </w:tcPr>
          <w:p>
            <w:pPr>
              <w:rPr>
                <w:rFonts w:ascii="Arial" w:hAnsi="Arial" w:cs="Arial" w:eastAsiaTheme="minorEastAsia"/>
                <w:sz w:val="18"/>
                <w:szCs w:val="18"/>
                <w:lang w:val="en-US" w:eastAsia="zh-CN"/>
              </w:rPr>
            </w:pPr>
            <w:r>
              <w:rPr>
                <w:rFonts w:hint="eastAsia" w:ascii="Arial" w:hAnsi="Arial" w:cs="Arial" w:eastAsiaTheme="minorEastAsia"/>
                <w:sz w:val="18"/>
                <w:szCs w:val="18"/>
                <w:lang w:val="de-DE" w:eastAsia="zh-CN"/>
              </w:rPr>
              <w:t>N</w:t>
            </w:r>
            <w:r>
              <w:rPr>
                <w:rFonts w:ascii="Arial" w:hAnsi="Arial" w:cs="Arial" w:eastAsiaTheme="minorEastAsia"/>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LG</w:t>
            </w:r>
            <w:r>
              <w:rPr>
                <w:rFonts w:ascii="Arial" w:hAnsi="Arial" w:eastAsia="Malgun Gothic" w:cs="Arial"/>
                <w:sz w:val="18"/>
                <w:szCs w:val="18"/>
                <w:lang w:val="de-DE" w:eastAsia="ko-KR"/>
              </w:rPr>
              <w:t>E</w:t>
            </w:r>
          </w:p>
        </w:tc>
        <w:tc>
          <w:tcPr>
            <w:tcW w:w="7938" w:type="dxa"/>
            <w:gridSpan w:val="2"/>
          </w:tcPr>
          <w:p>
            <w:pPr>
              <w:rPr>
                <w:rFonts w:ascii="Arial" w:hAnsi="Arial" w:cs="Arial" w:eastAsiaTheme="minorEastAsia"/>
                <w:sz w:val="18"/>
                <w:szCs w:val="18"/>
                <w:lang w:val="de-DE" w:eastAsia="zh-CN"/>
              </w:rPr>
            </w:pPr>
            <w:r>
              <w:rPr>
                <w:rFonts w:ascii="Arial" w:hAnsi="Arial" w:eastAsia="Malgun Gothic"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Apple – See Comment</w:t>
            </w:r>
          </w:p>
        </w:tc>
        <w:tc>
          <w:tcPr>
            <w:tcW w:w="7938" w:type="dxa"/>
            <w:gridSpan w:val="2"/>
          </w:tcPr>
          <w:p>
            <w:pPr>
              <w:rPr>
                <w:rFonts w:ascii="Arial" w:hAnsi="Arial" w:eastAsia="Malgun Gothic" w:cs="Arial"/>
                <w:sz w:val="18"/>
                <w:szCs w:val="18"/>
                <w:lang w:val="de-DE" w:eastAsia="ko-KR"/>
              </w:rPr>
            </w:pPr>
            <w:r>
              <w:rPr>
                <w:rFonts w:ascii="Arial" w:hAnsi="Arial" w:eastAsia="Malgun Gothic"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L</w:t>
            </w:r>
            <w:r>
              <w:rPr>
                <w:rFonts w:ascii="Arial" w:hAnsi="Arial" w:cs="Arial" w:eastAsiaTheme="minorEastAsia"/>
                <w:sz w:val="18"/>
                <w:szCs w:val="18"/>
                <w:lang w:val="de-DE" w:eastAsia="zh-CN"/>
              </w:rPr>
              <w:t>enovo</w:t>
            </w:r>
          </w:p>
        </w:tc>
        <w:tc>
          <w:tcPr>
            <w:tcW w:w="7938" w:type="dxa"/>
            <w:gridSpan w:val="2"/>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N</w:t>
            </w:r>
            <w:r>
              <w:rPr>
                <w:rFonts w:ascii="Arial" w:hAnsi="Arial" w:cs="Arial" w:eastAsiaTheme="minorEastAsia"/>
                <w:sz w:val="18"/>
                <w:szCs w:val="18"/>
                <w:lang w:val="de-DE" w:eastAsia="zh-CN"/>
              </w:rPr>
              <w:t xml:space="preserve">o. Processing reconfiguration message and RF retuning can be performed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v</w:t>
            </w:r>
            <w:r>
              <w:rPr>
                <w:rFonts w:ascii="Arial" w:hAnsi="Arial" w:cs="Arial" w:eastAsiaTheme="minorEastAsia"/>
                <w:sz w:val="18"/>
                <w:szCs w:val="18"/>
                <w:lang w:val="de-DE" w:eastAsia="zh-CN"/>
              </w:rPr>
              <w:t>ivo</w:t>
            </w:r>
          </w:p>
        </w:tc>
        <w:tc>
          <w:tcPr>
            <w:tcW w:w="7938" w:type="dxa"/>
            <w:gridSpan w:val="2"/>
          </w:tcPr>
          <w:p>
            <w:pPr>
              <w:rPr>
                <w:rFonts w:ascii="Arial" w:hAnsi="Arial" w:cs="Arial" w:eastAsiaTheme="minorEastAsia"/>
                <w:sz w:val="18"/>
                <w:szCs w:val="18"/>
                <w:lang w:val="de-DE" w:eastAsia="zh-CN"/>
              </w:rPr>
            </w:pPr>
            <w:r>
              <w:rPr>
                <w:rFonts w:ascii="Arial" w:hAnsi="Arial" w:cs="Arial" w:eastAsiaTheme="minorEastAsia"/>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pPr>
              <w:rPr>
                <w:rFonts w:ascii="Arial" w:hAnsi="Arial" w:cs="Arial" w:eastAsiaTheme="minorEastAsia"/>
                <w:sz w:val="18"/>
                <w:szCs w:val="18"/>
                <w:lang w:val="de-DE" w:eastAsia="zh-CN"/>
              </w:rPr>
            </w:pPr>
            <w:r>
              <w:rPr>
                <w:rFonts w:ascii="Arial" w:hAnsi="Arial" w:cs="Arial" w:eastAsiaTheme="minorEastAsia"/>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Samsung</w:t>
            </w:r>
          </w:p>
        </w:tc>
        <w:tc>
          <w:tcPr>
            <w:tcW w:w="7938" w:type="dxa"/>
            <w:gridSpan w:val="2"/>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 xml:space="preserve">We think that it depends on UE implementation i.e. </w:t>
            </w:r>
            <w:r>
              <w:rPr>
                <w:rFonts w:ascii="Arial" w:hAnsi="Arial" w:eastAsia="Malgun Gothic"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Huawei/HiSilicon</w:t>
            </w:r>
          </w:p>
        </w:tc>
        <w:tc>
          <w:tcPr>
            <w:tcW w:w="7938" w:type="dxa"/>
            <w:gridSpan w:val="2"/>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As commented by others, RF retuning and reconfiguration can be done in parallel depending on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1555"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ZTE</w:t>
            </w:r>
          </w:p>
        </w:tc>
        <w:tc>
          <w:tcPr>
            <w:tcW w:w="7938" w:type="dxa"/>
            <w:gridSpan w:val="2"/>
          </w:tcPr>
          <w:p>
            <w:pPr>
              <w:rPr>
                <w:rFonts w:hint="default" w:ascii="Arial" w:hAnsi="Arial" w:eastAsia="宋体" w:cs="Arial"/>
                <w:sz w:val="18"/>
                <w:szCs w:val="18"/>
                <w:lang w:val="en-US" w:eastAsia="zh-CN"/>
              </w:rPr>
            </w:pPr>
            <w:r>
              <w:rPr>
                <w:rFonts w:hint="eastAsia" w:ascii="Arial" w:hAnsi="Arial" w:cs="Arial"/>
                <w:sz w:val="18"/>
                <w:szCs w:val="18"/>
                <w:lang w:val="en-US" w:eastAsia="zh-CN"/>
              </w:rPr>
              <w:t xml:space="preserve">We share the similar view as other companies that these two interruption can be happen </w:t>
            </w:r>
            <w:r>
              <w:rPr>
                <w:rFonts w:ascii="Arial" w:hAnsi="Arial" w:eastAsia="Malgun Gothic" w:cs="Arial"/>
                <w:sz w:val="18"/>
                <w:szCs w:val="18"/>
                <w:lang w:val="de-DE" w:eastAsia="ko-KR"/>
              </w:rPr>
              <w:t>paralell</w:t>
            </w:r>
            <w:r>
              <w:rPr>
                <w:rFonts w:hint="eastAsia" w:ascii="Arial" w:hAnsi="Arial" w:cs="Arial"/>
                <w:sz w:val="18"/>
                <w:szCs w:val="18"/>
                <w:lang w:val="en-US" w:eastAsia="zh-CN"/>
              </w:rPr>
              <w:t>y, whether there would be some additional delay (e.g. for the case mentioned by Vivo)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tcPr>
          <w:p>
            <w:pPr>
              <w:rPr>
                <w:rFonts w:ascii="Arial" w:hAnsi="Arial" w:cs="Arial" w:eastAsiaTheme="minorEastAsia"/>
                <w:sz w:val="18"/>
                <w:szCs w:val="18"/>
                <w:lang w:val="de-DE" w:eastAsia="zh-CN"/>
              </w:rPr>
            </w:pPr>
          </w:p>
        </w:tc>
        <w:tc>
          <w:tcPr>
            <w:tcW w:w="7938" w:type="dxa"/>
            <w:gridSpan w:val="2"/>
          </w:tcPr>
          <w:p>
            <w:pPr>
              <w:rPr>
                <w:rFonts w:ascii="Arial" w:hAnsi="Arial" w:cs="Arial" w:eastAsiaTheme="minorEastAsia"/>
                <w:sz w:val="18"/>
                <w:szCs w:val="18"/>
                <w:lang w:val="de-DE" w:eastAsia="zh-CN"/>
              </w:rPr>
            </w:pPr>
          </w:p>
        </w:tc>
      </w:tr>
    </w:tbl>
    <w:p>
      <w:pPr>
        <w:rPr>
          <w:rFonts w:ascii="Arial" w:hAnsi="Arial" w:cs="Arial" w:eastAsiaTheme="minorEastAsia"/>
          <w:sz w:val="18"/>
          <w:szCs w:val="18"/>
          <w:lang w:eastAsia="zh-CN"/>
        </w:rPr>
      </w:pPr>
    </w:p>
    <w:p>
      <w:pPr>
        <w:jc w:val="both"/>
        <w:rPr>
          <w:rFonts w:ascii="Arial" w:hAnsi="Arial" w:cs="Arial" w:eastAsiaTheme="minorEastAsia"/>
          <w:sz w:val="18"/>
          <w:szCs w:val="18"/>
          <w:lang w:eastAsia="zh-CN"/>
        </w:rPr>
      </w:pPr>
      <w:r>
        <w:rPr>
          <w:rFonts w:ascii="Arial" w:hAnsi="Arial" w:cs="Arial" w:eastAsiaTheme="minorEastAsia"/>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Company</w:t>
            </w:r>
          </w:p>
        </w:tc>
        <w:tc>
          <w:tcPr>
            <w:tcW w:w="793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See comment</w:t>
            </w:r>
          </w:p>
        </w:tc>
        <w:tc>
          <w:tcPr>
            <w:tcW w:w="793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 xml:space="preserve">It is not clear how RAN4 can make an accurate assesment of this extended interruption since this depends on the configuration of NW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Charter – No</w:t>
            </w:r>
          </w:p>
        </w:tc>
        <w:tc>
          <w:tcPr>
            <w:tcW w:w="793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Agreed with QC, RAN2 should perform this assessment first since everything is being defined from NW A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Xiaomi</w:t>
            </w:r>
          </w:p>
        </w:tc>
        <w:tc>
          <w:tcPr>
            <w:tcW w:w="7938"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Agree with the above comments from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LGE</w:t>
            </w:r>
          </w:p>
        </w:tc>
        <w:tc>
          <w:tcPr>
            <w:tcW w:w="7938" w:type="dxa"/>
          </w:tcPr>
          <w:p>
            <w:pPr>
              <w:rPr>
                <w:rFonts w:ascii="Arial" w:hAnsi="Arial" w:cs="Arial" w:eastAsiaTheme="minorEastAsia"/>
                <w:sz w:val="18"/>
                <w:szCs w:val="18"/>
                <w:lang w:val="de-DE" w:eastAsia="zh-CN"/>
              </w:rPr>
            </w:pPr>
            <w:r>
              <w:rPr>
                <w:rFonts w:ascii="Arial" w:hAnsi="Arial" w:eastAsia="Malgun Gothic" w:cs="Arial"/>
                <w:sz w:val="18"/>
                <w:szCs w:val="18"/>
                <w:lang w:val="de-DE" w:eastAsia="ko-KR"/>
              </w:rPr>
              <w:t>For this, we do not see any new RAN4 impacts. We think that RAN2 does not need to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Apple</w:t>
            </w:r>
          </w:p>
        </w:tc>
        <w:tc>
          <w:tcPr>
            <w:tcW w:w="7938"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 xml:space="preserve">If we are defining this from NW A persepctive,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v</w:t>
            </w:r>
            <w:r>
              <w:rPr>
                <w:rFonts w:ascii="Arial" w:hAnsi="Arial" w:cs="Arial" w:eastAsiaTheme="minorEastAsia"/>
                <w:sz w:val="18"/>
                <w:szCs w:val="18"/>
                <w:lang w:val="de-DE" w:eastAsia="zh-CN"/>
              </w:rPr>
              <w:t>ivo</w:t>
            </w:r>
          </w:p>
        </w:tc>
        <w:tc>
          <w:tcPr>
            <w:tcW w:w="7938"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 xml:space="preserve">es. We think </w:t>
            </w:r>
            <w:r>
              <w:rPr>
                <w:rFonts w:hint="eastAsia" w:ascii="Arial" w:hAnsi="Arial" w:cs="Arial" w:eastAsiaTheme="minorEastAsia"/>
                <w:sz w:val="18"/>
                <w:szCs w:val="18"/>
                <w:lang w:val="de-DE" w:eastAsia="zh-CN"/>
              </w:rPr>
              <w:t>it</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would</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be</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good</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to</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have</w:t>
            </w:r>
            <w:r>
              <w:rPr>
                <w:rFonts w:ascii="Arial" w:hAnsi="Arial" w:cs="Arial" w:eastAsiaTheme="minorEastAsia"/>
                <w:sz w:val="18"/>
                <w:szCs w:val="18"/>
                <w:lang w:val="de-DE" w:eastAsia="zh-CN"/>
              </w:rPr>
              <w:t xml:space="preserve"> RAN4 </w:t>
            </w:r>
            <w:r>
              <w:rPr>
                <w:rFonts w:hint="eastAsia" w:ascii="Arial" w:hAnsi="Arial" w:cs="Arial" w:eastAsiaTheme="minorEastAsia"/>
                <w:sz w:val="18"/>
                <w:szCs w:val="18"/>
                <w:lang w:val="de-DE" w:eastAsia="zh-CN"/>
              </w:rPr>
              <w:t>input</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on</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this</w:t>
            </w:r>
            <w:r>
              <w:rPr>
                <w:rFonts w:ascii="Arial" w:hAnsi="Arial" w:cs="Arial" w:eastAsiaTheme="minorEastAsia"/>
                <w:sz w:val="18"/>
                <w:szCs w:val="18"/>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Samsung</w:t>
            </w:r>
          </w:p>
        </w:tc>
        <w:tc>
          <w:tcPr>
            <w:tcW w:w="7938"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 xml:space="preserve">We do not see any need to send an LS to RAN4 because we will only define/specify interruption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Huawei/HiSilicon</w:t>
            </w:r>
          </w:p>
        </w:tc>
        <w:tc>
          <w:tcPr>
            <w:tcW w:w="7938"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if we end up sending an LS, may be we can ask RAN4 if it’s necessary to define interruption 2.</w:t>
            </w:r>
          </w:p>
        </w:tc>
      </w:tr>
    </w:tbl>
    <w:p>
      <w:pPr>
        <w:rPr>
          <w:rFonts w:ascii="Arial" w:hAnsi="Arial" w:eastAsia="Yu Mincho" w:cs="Arial"/>
          <w:sz w:val="18"/>
          <w:szCs w:val="18"/>
          <w:lang w:val="en-US"/>
        </w:rPr>
      </w:pPr>
    </w:p>
    <w:p>
      <w:pPr>
        <w:jc w:val="both"/>
        <w:rPr>
          <w:rFonts w:ascii="Arial" w:hAnsi="Arial" w:cs="Arial" w:eastAsiaTheme="minorEastAsia"/>
          <w:sz w:val="18"/>
          <w:szCs w:val="18"/>
          <w:lang w:val="en-US" w:eastAsia="zh-CN"/>
        </w:rPr>
      </w:pPr>
      <w:r>
        <w:rPr>
          <w:rFonts w:ascii="Arial" w:hAnsi="Arial" w:cs="Arial" w:eastAsiaTheme="minorEastAsia"/>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pPr>
        <w:jc w:val="center"/>
      </w:pPr>
      <w:r>
        <w:object>
          <v:shape id="_x0000_i1026" o:spt="75" type="#_x0000_t75" style="height:161.5pt;width:403.3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jc w:val="center"/>
        <w:rPr>
          <w:rFonts w:ascii="Arial" w:hAnsi="Arial" w:cs="Arial" w:eastAsiaTheme="minorEastAsia"/>
          <w:b/>
          <w:sz w:val="18"/>
          <w:szCs w:val="18"/>
          <w:lang w:val="en-US" w:eastAsia="zh-CN"/>
        </w:rPr>
      </w:pPr>
      <w:r>
        <w:rPr>
          <w:rFonts w:ascii="Arial" w:hAnsi="Arial" w:cs="Arial" w:eastAsiaTheme="minorEastAsia"/>
          <w:b/>
          <w:sz w:val="18"/>
          <w:szCs w:val="18"/>
          <w:lang w:val="en-US" w:eastAsia="zh-CN"/>
        </w:rPr>
        <w:t>Figure2</w:t>
      </w:r>
    </w:p>
    <w:p>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pPr>
        <w:rPr>
          <w:rFonts w:ascii="Arial" w:hAnsi="Arial" w:eastAsia="Yu Mincho" w:cs="Arial"/>
          <w:sz w:val="18"/>
          <w:szCs w:val="18"/>
        </w:rPr>
      </w:pPr>
    </w:p>
    <w:p>
      <w:pPr>
        <w:jc w:val="both"/>
        <w:rPr>
          <w:rFonts w:ascii="Arial" w:hAnsi="Arial" w:cs="Arial" w:eastAsiaTheme="minorEastAsia"/>
          <w:b/>
          <w:sz w:val="18"/>
          <w:szCs w:val="18"/>
          <w:lang w:eastAsia="zh-CN"/>
        </w:rPr>
      </w:pPr>
      <w:r>
        <w:rPr>
          <w:rFonts w:ascii="Arial" w:hAnsi="Arial" w:cs="Arial" w:eastAsiaTheme="minorEastAsia"/>
          <w:b/>
          <w:sz w:val="18"/>
          <w:szCs w:val="18"/>
          <w:lang w:eastAsia="zh-CN"/>
        </w:rPr>
        <w:t>Q3: Do you agree with the above OB2?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Company</w:t>
            </w:r>
          </w:p>
        </w:tc>
        <w:tc>
          <w:tcPr>
            <w:tcW w:w="785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Yes</w:t>
            </w:r>
          </w:p>
        </w:tc>
        <w:tc>
          <w:tcPr>
            <w:tcW w:w="785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Agree that it will not be possible to assess and define interruption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Charter – Yes</w:t>
            </w:r>
          </w:p>
        </w:tc>
        <w:tc>
          <w:tcPr>
            <w:tcW w:w="7858"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This is a valid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Xiaomi</w:t>
            </w:r>
          </w:p>
        </w:tc>
        <w:tc>
          <w:tcPr>
            <w:tcW w:w="7858"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LGE</w:t>
            </w:r>
          </w:p>
        </w:tc>
        <w:tc>
          <w:tcPr>
            <w:tcW w:w="7858" w:type="dxa"/>
          </w:tcPr>
          <w:p>
            <w:pPr>
              <w:rPr>
                <w:rFonts w:ascii="Arial" w:hAnsi="Arial" w:cs="Arial" w:eastAsiaTheme="minorEastAsia"/>
                <w:sz w:val="18"/>
                <w:szCs w:val="18"/>
                <w:lang w:val="de-DE" w:eastAsia="zh-CN"/>
              </w:rPr>
            </w:pPr>
            <w:r>
              <w:rPr>
                <w:rFonts w:ascii="Arial" w:hAnsi="Arial" w:eastAsia="Malgun Gothic"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Apple</w:t>
            </w:r>
          </w:p>
        </w:tc>
        <w:tc>
          <w:tcPr>
            <w:tcW w:w="7858"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 xml:space="preserve">Agree. It will be difficult to quantify the interruption 3 in NW A, as it depends on the configuraton on NW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L</w:t>
            </w:r>
            <w:r>
              <w:rPr>
                <w:rFonts w:ascii="Arial" w:hAnsi="Arial" w:cs="Arial" w:eastAsiaTheme="minorEastAsia"/>
                <w:sz w:val="18"/>
                <w:szCs w:val="18"/>
                <w:lang w:val="de-DE" w:eastAsia="zh-CN"/>
              </w:rPr>
              <w:t>enovo</w:t>
            </w:r>
          </w:p>
        </w:tc>
        <w:tc>
          <w:tcPr>
            <w:tcW w:w="7858"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vivo</w:t>
            </w:r>
          </w:p>
        </w:tc>
        <w:tc>
          <w:tcPr>
            <w:tcW w:w="7858"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Samsung</w:t>
            </w:r>
          </w:p>
        </w:tc>
        <w:tc>
          <w:tcPr>
            <w:tcW w:w="7858"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Huawei/HiSilion</w:t>
            </w:r>
          </w:p>
        </w:tc>
        <w:tc>
          <w:tcPr>
            <w:tcW w:w="7858"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ZTE</w:t>
            </w:r>
          </w:p>
        </w:tc>
        <w:tc>
          <w:tcPr>
            <w:tcW w:w="7858"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57" w:type="dxa"/>
          </w:tcPr>
          <w:p>
            <w:pPr>
              <w:rPr>
                <w:rFonts w:ascii="Arial" w:hAnsi="Arial" w:cs="Arial" w:eastAsiaTheme="minorEastAsia"/>
                <w:sz w:val="18"/>
                <w:szCs w:val="18"/>
                <w:lang w:val="de-DE" w:eastAsia="zh-CN"/>
              </w:rPr>
            </w:pPr>
          </w:p>
        </w:tc>
        <w:tc>
          <w:tcPr>
            <w:tcW w:w="7858" w:type="dxa"/>
          </w:tcPr>
          <w:p>
            <w:pPr>
              <w:rPr>
                <w:rFonts w:ascii="Arial" w:hAnsi="Arial" w:cs="Arial" w:eastAsiaTheme="minorEastAsia"/>
                <w:sz w:val="18"/>
                <w:szCs w:val="18"/>
                <w:lang w:val="de-DE" w:eastAsia="zh-CN"/>
              </w:rPr>
            </w:pPr>
          </w:p>
        </w:tc>
      </w:tr>
    </w:tbl>
    <w:p>
      <w:pPr>
        <w:rPr>
          <w:rFonts w:ascii="Arial" w:hAnsi="Arial" w:cs="Arial" w:eastAsiaTheme="minorEastAsia"/>
          <w:sz w:val="18"/>
          <w:szCs w:val="18"/>
          <w:lang w:eastAsia="zh-CN"/>
        </w:rPr>
      </w:pPr>
    </w:p>
    <w:p>
      <w:pPr>
        <w:jc w:val="both"/>
        <w:rPr>
          <w:rFonts w:ascii="Arial" w:hAnsi="Arial" w:cs="Arial" w:eastAsiaTheme="minorEastAsia"/>
          <w:sz w:val="18"/>
          <w:szCs w:val="18"/>
          <w:lang w:eastAsia="zh-CN"/>
        </w:rPr>
      </w:pPr>
      <w:r>
        <w:rPr>
          <w:rFonts w:ascii="Arial" w:hAnsi="Arial" w:cs="Arial" w:eastAsiaTheme="minorEastAsia"/>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Company</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No</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Not for this particular use case. If we end up sending an LS for other reasons, we should capture the RAN2 understanding that interruption 3 will not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Charter – No</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Agreed with QC. We could try to understand in RAN2 if interruption 3 could be defined, if not we pass our understanding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Xiaomi</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No strong view. We think that we should have a concrete use case for the interruption time (e.g. how to align the interruption time between the gNB and the UE), before sending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LGE</w:t>
            </w:r>
          </w:p>
        </w:tc>
        <w:tc>
          <w:tcPr>
            <w:tcW w:w="7850" w:type="dxa"/>
          </w:tcPr>
          <w:p>
            <w:pPr>
              <w:rPr>
                <w:rFonts w:ascii="Arial" w:hAnsi="Arial" w:cs="Arial" w:eastAsiaTheme="minorEastAsia"/>
                <w:sz w:val="18"/>
                <w:szCs w:val="18"/>
                <w:lang w:val="de-DE" w:eastAsia="zh-CN"/>
              </w:rPr>
            </w:pPr>
            <w:r>
              <w:rPr>
                <w:rFonts w:ascii="Arial" w:hAnsi="Arial" w:eastAsia="Malgun Gothic"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Apple</w:t>
            </w:r>
          </w:p>
        </w:tc>
        <w:tc>
          <w:tcPr>
            <w:tcW w:w="7850"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It is probably a bit early to send this LS. We might want to cosnider that RAN4 is currently working on R17 requirements and we might want to see the outcome of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L</w:t>
            </w:r>
            <w:r>
              <w:rPr>
                <w:rFonts w:ascii="Arial" w:hAnsi="Arial" w:cs="Arial" w:eastAsiaTheme="minorEastAsia"/>
                <w:sz w:val="18"/>
                <w:szCs w:val="18"/>
                <w:lang w:val="de-DE" w:eastAsia="zh-CN"/>
              </w:rPr>
              <w:t>enovo</w:t>
            </w:r>
          </w:p>
        </w:tc>
        <w:tc>
          <w:tcPr>
            <w:tcW w:w="7850" w:type="dxa"/>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N</w:t>
            </w:r>
            <w:r>
              <w:rPr>
                <w:rFonts w:ascii="Arial" w:hAnsi="Arial" w:cs="Arial" w:eastAsiaTheme="minorEastAsia"/>
                <w:sz w:val="18"/>
                <w:szCs w:val="18"/>
                <w:lang w:val="de-DE" w:eastAsia="zh-CN"/>
              </w:rPr>
              <w:t xml:space="preserve">o. After we have more RAN2 progress,to see if LS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v</w:t>
            </w:r>
            <w:r>
              <w:rPr>
                <w:rFonts w:ascii="Arial" w:hAnsi="Arial" w:cs="Arial" w:eastAsiaTheme="minorEastAsia"/>
                <w:sz w:val="18"/>
                <w:szCs w:val="18"/>
                <w:lang w:val="de-DE" w:eastAsia="zh-CN"/>
              </w:rPr>
              <w:t>ivo</w:t>
            </w:r>
          </w:p>
        </w:tc>
        <w:tc>
          <w:tcPr>
            <w:tcW w:w="7850"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W</w:t>
            </w:r>
            <w:r>
              <w:rPr>
                <w:rFonts w:ascii="Arial" w:hAnsi="Arial" w:cs="Arial" w:eastAsiaTheme="minorEastAsia"/>
                <w:sz w:val="18"/>
                <w:szCs w:val="18"/>
                <w:lang w:val="de-DE" w:eastAsia="zh-CN"/>
              </w:rPr>
              <w:t xml:space="preserve">e are fine with QC’s comments that if an LS is needed </w:t>
            </w:r>
            <w:r>
              <w:rPr>
                <w:rFonts w:hint="eastAsia" w:ascii="Arial" w:hAnsi="Arial" w:cs="Arial" w:eastAsiaTheme="minorEastAsia"/>
                <w:sz w:val="18"/>
                <w:szCs w:val="18"/>
                <w:lang w:val="de-DE" w:eastAsia="zh-CN"/>
              </w:rPr>
              <w:t>for</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other</w:t>
            </w:r>
            <w:r>
              <w:rPr>
                <w:rFonts w:ascii="Arial" w:hAnsi="Arial" w:cs="Arial" w:eastAsiaTheme="minorEastAsia"/>
                <w:sz w:val="18"/>
                <w:szCs w:val="18"/>
                <w:lang w:val="de-DE" w:eastAsia="zh-CN"/>
              </w:rPr>
              <w:t xml:space="preserve"> </w:t>
            </w:r>
            <w:r>
              <w:rPr>
                <w:rFonts w:hint="eastAsia" w:ascii="Arial" w:hAnsi="Arial" w:cs="Arial" w:eastAsiaTheme="minorEastAsia"/>
                <w:sz w:val="18"/>
                <w:szCs w:val="18"/>
                <w:lang w:val="de-DE" w:eastAsia="zh-CN"/>
              </w:rPr>
              <w:t>reasons</w:t>
            </w:r>
            <w:r>
              <w:rPr>
                <w:rFonts w:ascii="Arial" w:hAnsi="Arial" w:cs="Arial" w:eastAsiaTheme="minorEastAsia"/>
                <w:sz w:val="18"/>
                <w:szCs w:val="18"/>
                <w:lang w:val="de-DE" w:eastAsia="zh-CN"/>
              </w:rPr>
              <w:t xml:space="preserve">, this understanding can be indicated to RAN4 in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Samsung</w:t>
            </w:r>
          </w:p>
        </w:tc>
        <w:tc>
          <w:tcPr>
            <w:tcW w:w="7850"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Huawei/HiSilicon</w:t>
            </w:r>
          </w:p>
        </w:tc>
        <w:tc>
          <w:tcPr>
            <w:tcW w:w="7850"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No need to include this case if we end up sending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hint="default" w:ascii="Arial" w:hAnsi="Arial" w:eastAsia="宋体" w:cs="Arial"/>
                <w:sz w:val="18"/>
                <w:szCs w:val="18"/>
                <w:lang w:val="en-US" w:eastAsia="zh-CN"/>
              </w:rPr>
            </w:pPr>
            <w:bookmarkStart w:id="1" w:name="_GoBack"/>
            <w:bookmarkEnd w:id="1"/>
            <w:r>
              <w:rPr>
                <w:rFonts w:hint="eastAsia" w:ascii="Arial" w:hAnsi="Arial" w:cs="Arial"/>
                <w:sz w:val="18"/>
                <w:szCs w:val="18"/>
                <w:lang w:val="en-US" w:eastAsia="zh-CN"/>
              </w:rPr>
              <w:t>ZTE</w:t>
            </w:r>
          </w:p>
        </w:tc>
        <w:tc>
          <w:tcPr>
            <w:tcW w:w="7850"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Share the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6" w:type="dxa"/>
          </w:tcPr>
          <w:p>
            <w:pPr>
              <w:rPr>
                <w:rFonts w:ascii="Arial" w:hAnsi="Arial" w:cs="Arial" w:eastAsiaTheme="minorEastAsia"/>
                <w:sz w:val="18"/>
                <w:szCs w:val="18"/>
                <w:lang w:val="de-DE" w:eastAsia="zh-CN"/>
              </w:rPr>
            </w:pPr>
          </w:p>
        </w:tc>
        <w:tc>
          <w:tcPr>
            <w:tcW w:w="7850" w:type="dxa"/>
          </w:tcPr>
          <w:p>
            <w:pPr>
              <w:rPr>
                <w:rFonts w:ascii="Arial" w:hAnsi="Arial" w:cs="Arial" w:eastAsiaTheme="minorEastAsia"/>
                <w:sz w:val="18"/>
                <w:szCs w:val="18"/>
                <w:lang w:val="de-DE" w:eastAsia="zh-CN"/>
              </w:rPr>
            </w:pPr>
          </w:p>
        </w:tc>
      </w:tr>
    </w:tbl>
    <w:p>
      <w:pPr>
        <w:rPr>
          <w:rFonts w:ascii="Arial" w:hAnsi="Arial" w:cs="Arial" w:eastAsiaTheme="minorEastAsia"/>
          <w:sz w:val="18"/>
          <w:szCs w:val="18"/>
          <w:lang w:eastAsia="zh-CN"/>
        </w:rPr>
      </w:pPr>
    </w:p>
    <w:p>
      <w:pPr>
        <w:rPr>
          <w:rFonts w:ascii="Arial" w:hAnsi="Arial" w:cs="Arial"/>
          <w:b/>
          <w:sz w:val="18"/>
          <w:szCs w:val="18"/>
          <w:u w:val="single"/>
          <w:lang w:val="en-US"/>
        </w:rPr>
      </w:pPr>
      <w:r>
        <w:rPr>
          <w:rFonts w:ascii="Arial" w:hAnsi="Arial" w:eastAsia="Yu Mincho" w:cs="Arial"/>
          <w:b/>
          <w:sz w:val="18"/>
          <w:szCs w:val="18"/>
          <w:u w:val="single"/>
        </w:rPr>
        <w:t>UL maximum power:</w:t>
      </w:r>
    </w:p>
    <w:p>
      <w:pPr>
        <w:jc w:val="both"/>
        <w:rPr>
          <w:rFonts w:ascii="Arial" w:hAnsi="Arial" w:cs="Arial" w:eastAsiaTheme="minorEastAsia"/>
          <w:sz w:val="18"/>
          <w:szCs w:val="18"/>
          <w:lang w:eastAsia="zh-CN"/>
        </w:rPr>
      </w:pPr>
      <w:r>
        <w:rPr>
          <w:rFonts w:ascii="Arial" w:hAnsi="Arial" w:cs="Arial" w:eastAsiaTheme="minorEastAsia"/>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pPr>
        <w:jc w:val="both"/>
        <w:rPr>
          <w:rFonts w:ascii="Arial" w:hAnsi="Arial" w:cs="Arial" w:eastAsiaTheme="minorEastAsia"/>
          <w:b/>
          <w:sz w:val="18"/>
          <w:szCs w:val="18"/>
          <w:lang w:eastAsia="zh-CN"/>
        </w:rPr>
      </w:pPr>
      <w:r>
        <w:rPr>
          <w:rFonts w:ascii="Arial" w:hAnsi="Arial" w:cs="Arial" w:eastAsiaTheme="minorEastAsia"/>
          <w:b/>
          <w:sz w:val="18"/>
          <w:szCs w:val="18"/>
          <w:lang w:eastAsia="zh-CN"/>
        </w:rPr>
        <w:t>Q5: Do you think we should send an LS to RAN4 to evaluate potential RAN4 impact for maximum power constraint for R18 MUSIM?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Company</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Maybe</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It would be easier to rely on PHR reporting. Changes to UL maximum power may depend on the band combinations across the two NWs and may require frequent signaling. Since PHR is alays the most recent and accurate, it can solve the problem without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Charter – Yes</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en-US" w:eastAsia="zh-CN"/>
              </w:rPr>
              <w:t>PHR reporting might be the way to go but LS should be sent to RAN4 for potential impact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56"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Xiaomi</w:t>
            </w:r>
          </w:p>
        </w:tc>
        <w:tc>
          <w:tcPr>
            <w:tcW w:w="7850" w:type="dxa"/>
          </w:tcPr>
          <w:p>
            <w:pPr>
              <w:rPr>
                <w:rFonts w:ascii="Arial" w:hAnsi="Arial" w:cs="Arial" w:eastAsiaTheme="minorEastAsia"/>
                <w:sz w:val="18"/>
                <w:szCs w:val="18"/>
                <w:lang w:val="en-US" w:eastAsia="zh-CN"/>
              </w:rPr>
            </w:pPr>
            <w:r>
              <w:rPr>
                <w:rFonts w:ascii="Arial" w:hAnsi="Arial" w:cs="Arial" w:eastAsiaTheme="minorEastAsia"/>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LGE</w:t>
            </w:r>
          </w:p>
        </w:tc>
        <w:tc>
          <w:tcPr>
            <w:tcW w:w="7850" w:type="dxa"/>
          </w:tcPr>
          <w:p>
            <w:pPr>
              <w:rPr>
                <w:rFonts w:ascii="Arial" w:hAnsi="Arial" w:cs="Arial" w:eastAsiaTheme="minorEastAsia"/>
                <w:sz w:val="18"/>
                <w:szCs w:val="18"/>
                <w:lang w:val="de-DE" w:eastAsia="zh-CN"/>
              </w:rPr>
            </w:pPr>
            <w:r>
              <w:rPr>
                <w:rFonts w:hint="eastAsia" w:ascii="Arial" w:hAnsi="Arial" w:eastAsia="Malgun Gothic" w:cs="Arial"/>
                <w:sz w:val="18"/>
                <w:szCs w:val="18"/>
                <w:lang w:val="de-DE" w:eastAsia="ko-KR"/>
              </w:rPr>
              <w:t>Yes</w:t>
            </w:r>
            <w:r>
              <w:rPr>
                <w:rFonts w:ascii="Arial" w:hAnsi="Arial" w:eastAsia="Malgun Gothic" w:cs="Arial"/>
                <w:sz w:val="18"/>
                <w:szCs w:val="18"/>
                <w:lang w:val="de-DE" w:eastAsia="ko-KR"/>
              </w:rPr>
              <w:t>. As we commented in the previous email discussion, RAN2 cannot conclude this alone and RAN4 needs to analysis first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56"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Apple</w:t>
            </w:r>
          </w:p>
        </w:tc>
        <w:tc>
          <w:tcPr>
            <w:tcW w:w="7850" w:type="dxa"/>
          </w:tcPr>
          <w:p>
            <w:pPr>
              <w:rPr>
                <w:rFonts w:ascii="Arial" w:hAnsi="Arial" w:eastAsia="Malgun Gothic" w:cs="Arial"/>
                <w:sz w:val="18"/>
                <w:szCs w:val="18"/>
                <w:lang w:val="de-DE" w:eastAsia="ko-KR"/>
              </w:rPr>
            </w:pPr>
            <w:r>
              <w:rPr>
                <w:rFonts w:ascii="Arial" w:hAnsi="Arial" w:eastAsia="Malgun Gothic" w:cs="Arial"/>
                <w:sz w:val="18"/>
                <w:szCs w:val="18"/>
                <w:lang w:val="de-DE" w:eastAsia="ko-KR"/>
              </w:rPr>
              <w:t>Agree we need to work with RAN4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eastAsia="Malgun Gothic" w:cs="Arial"/>
                <w:sz w:val="18"/>
                <w:szCs w:val="18"/>
                <w:lang w:val="de-DE" w:eastAsia="ko-KR"/>
              </w:rPr>
            </w:pPr>
            <w:r>
              <w:rPr>
                <w:rFonts w:hint="eastAsia" w:ascii="Arial" w:hAnsi="Arial" w:cs="Arial" w:eastAsiaTheme="minorEastAsia"/>
                <w:sz w:val="18"/>
                <w:szCs w:val="18"/>
                <w:lang w:val="de-DE" w:eastAsia="zh-CN"/>
              </w:rPr>
              <w:t>L</w:t>
            </w:r>
            <w:r>
              <w:rPr>
                <w:rFonts w:ascii="Arial" w:hAnsi="Arial" w:cs="Arial" w:eastAsiaTheme="minorEastAsia"/>
                <w:sz w:val="18"/>
                <w:szCs w:val="18"/>
                <w:lang w:val="de-DE" w:eastAsia="zh-CN"/>
              </w:rPr>
              <w:t>enovo</w:t>
            </w:r>
          </w:p>
        </w:tc>
        <w:tc>
          <w:tcPr>
            <w:tcW w:w="7850" w:type="dxa"/>
          </w:tcPr>
          <w:p>
            <w:pPr>
              <w:rPr>
                <w:rFonts w:ascii="Arial" w:hAnsi="Arial" w:eastAsia="Malgun Gothic" w:cs="Arial"/>
                <w:sz w:val="18"/>
                <w:szCs w:val="18"/>
                <w:lang w:val="de-DE" w:eastAsia="ko-KR"/>
              </w:rPr>
            </w:pPr>
            <w:r>
              <w:rPr>
                <w:rFonts w:ascii="Arial" w:hAnsi="Arial" w:cs="Arial" w:eastAsiaTheme="minorEastAsia"/>
                <w:sz w:val="18"/>
                <w:szCs w:val="18"/>
                <w:lang w:val="de-DE" w:eastAsia="zh-CN"/>
              </w:rPr>
              <w:t>LS may be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vivo</w:t>
            </w:r>
          </w:p>
        </w:tc>
        <w:tc>
          <w:tcPr>
            <w:tcW w:w="7850" w:type="dxa"/>
          </w:tcPr>
          <w:p>
            <w:pPr>
              <w:rPr>
                <w:rFonts w:ascii="Arial" w:hAnsi="Arial" w:cs="Arial" w:eastAsiaTheme="minorEastAsia"/>
                <w:sz w:val="18"/>
                <w:szCs w:val="18"/>
                <w:lang w:val="de-DE" w:eastAsia="zh-CN"/>
              </w:rPr>
            </w:pPr>
            <w:r>
              <w:rPr>
                <w:rFonts w:ascii="Arial" w:hAnsi="Arial" w:cs="Arial" w:eastAsiaTheme="minorEastAsia"/>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hint="eastAsia" w:ascii="Arial" w:hAnsi="Arial" w:cs="Arial" w:eastAsiaTheme="minorEastAsia"/>
                <w:sz w:val="18"/>
                <w:szCs w:val="18"/>
                <w:lang w:val="de-DE" w:eastAsia="zh-CN"/>
              </w:rPr>
              <w:t>effort</w:t>
            </w:r>
            <w:r>
              <w:rPr>
                <w:rFonts w:ascii="Arial" w:hAnsi="Arial" w:cs="Arial" w:eastAsiaTheme="minorEastAsia"/>
                <w:sz w:val="18"/>
                <w:szCs w:val="18"/>
                <w:lang w:val="de-DE" w:eastAsia="zh-CN"/>
              </w:rPr>
              <w:t xml:space="preserve"> on this, we can delete the NOTE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Samsung</w:t>
            </w:r>
          </w:p>
        </w:tc>
        <w:tc>
          <w:tcPr>
            <w:tcW w:w="7850" w:type="dxa"/>
          </w:tcPr>
          <w:p>
            <w:pPr>
              <w:rPr>
                <w:rFonts w:ascii="Arial" w:hAnsi="Arial" w:eastAsia="Malgun Gothic" w:cs="Arial"/>
                <w:sz w:val="18"/>
                <w:szCs w:val="18"/>
                <w:lang w:val="de-DE" w:eastAsia="ko-KR"/>
              </w:rPr>
            </w:pPr>
            <w:r>
              <w:rPr>
                <w:rFonts w:hint="eastAsia" w:ascii="Arial" w:hAnsi="Arial" w:eastAsia="Malgun Gothic" w:cs="Arial"/>
                <w:sz w:val="18"/>
                <w:szCs w:val="18"/>
                <w:lang w:val="de-DE" w:eastAsia="ko-KR"/>
              </w:rPr>
              <w:t>There seems no harm to get RAN</w:t>
            </w:r>
            <w:r>
              <w:rPr>
                <w:rFonts w:ascii="Arial" w:hAnsi="Arial" w:eastAsia="Malgun Gothic" w:cs="Arial"/>
                <w:sz w:val="18"/>
                <w:szCs w:val="18"/>
                <w:lang w:val="de-DE" w:eastAsia="ko-KR"/>
              </w:rPr>
              <w:t xml:space="preserve">4’s input on this particular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56"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Huawei/HiSilicon</w:t>
            </w:r>
          </w:p>
        </w:tc>
        <w:tc>
          <w:tcPr>
            <w:tcW w:w="7850" w:type="dxa"/>
          </w:tcPr>
          <w:p>
            <w:pPr>
              <w:rPr>
                <w:rFonts w:hint="eastAsia" w:ascii="Arial" w:hAnsi="Arial" w:eastAsia="Malgun Gothic" w:cs="Arial"/>
                <w:sz w:val="18"/>
                <w:szCs w:val="18"/>
                <w:lang w:val="de-DE" w:eastAsia="ko-KR"/>
              </w:rPr>
            </w:pPr>
            <w:r>
              <w:rPr>
                <w:rFonts w:ascii="Arial" w:hAnsi="Arial" w:cs="Arial" w:eastAsiaTheme="minorEastAsia"/>
                <w:sz w:val="18"/>
                <w:szCs w:val="18"/>
                <w:lang w:val="de-DE" w:eastAsia="zh-CN"/>
              </w:rPr>
              <w:t>No strong view. We think the current mechanism with PHR can solve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ZTE</w:t>
            </w:r>
          </w:p>
        </w:tc>
        <w:tc>
          <w:tcPr>
            <w:tcW w:w="7850" w:type="dxa"/>
          </w:tcPr>
          <w:p>
            <w:pPr>
              <w:rPr>
                <w:rFonts w:hint="default" w:ascii="Arial" w:hAnsi="Arial" w:eastAsia="宋体" w:cs="Arial"/>
                <w:sz w:val="18"/>
                <w:szCs w:val="18"/>
                <w:lang w:val="en-US" w:eastAsia="zh-CN"/>
              </w:rPr>
            </w:pPr>
            <w:r>
              <w:rPr>
                <w:rFonts w:hint="eastAsia" w:ascii="Arial" w:hAnsi="Arial" w:cs="Arial"/>
                <w:sz w:val="18"/>
                <w:szCs w:val="18"/>
                <w:lang w:val="en-US" w:eastAsia="zh-CN"/>
              </w:rPr>
              <w:t xml:space="preserve">We agree with Xiaomi that </w:t>
            </w:r>
            <w:r>
              <w:rPr>
                <w:rFonts w:ascii="Arial" w:hAnsi="Arial" w:cs="Arial" w:eastAsiaTheme="minorEastAsia"/>
                <w:sz w:val="18"/>
                <w:szCs w:val="18"/>
                <w:lang w:val="de-DE" w:eastAsia="zh-CN"/>
              </w:rPr>
              <w:t>before sending the LS to RAN4</w:t>
            </w:r>
            <w:r>
              <w:rPr>
                <w:rFonts w:hint="eastAsia" w:ascii="Arial" w:hAnsi="Arial" w:cs="Arial" w:eastAsiaTheme="minorEastAsia"/>
                <w:sz w:val="18"/>
                <w:szCs w:val="18"/>
                <w:lang w:val="en-US" w:eastAsia="zh-CN"/>
              </w:rPr>
              <w:t>,</w:t>
            </w:r>
            <w:r>
              <w:rPr>
                <w:rFonts w:hint="eastAsia" w:ascii="Arial" w:hAnsi="Arial" w:cs="Arial"/>
                <w:sz w:val="18"/>
                <w:szCs w:val="18"/>
                <w:lang w:val="en-US" w:eastAsia="zh-CN"/>
              </w:rPr>
              <w:t xml:space="preserve"> </w:t>
            </w:r>
            <w:r>
              <w:rPr>
                <w:rFonts w:ascii="Arial" w:hAnsi="Arial" w:cs="Arial" w:eastAsiaTheme="minorEastAsia"/>
                <w:sz w:val="18"/>
                <w:szCs w:val="18"/>
                <w:lang w:val="de-DE" w:eastAsia="zh-CN"/>
              </w:rPr>
              <w:t>RAN2 should find a proper solution first, as what we did for the DC power sharing</w:t>
            </w:r>
            <w:r>
              <w:rPr>
                <w:rFonts w:hint="eastAsia" w:ascii="Arial" w:hAnsi="Arial" w:cs="Arial" w:eastAsiaTheme="minor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56" w:type="dxa"/>
          </w:tcPr>
          <w:p>
            <w:pPr>
              <w:rPr>
                <w:rFonts w:ascii="Arial" w:hAnsi="Arial" w:cs="Arial" w:eastAsiaTheme="minorEastAsia"/>
                <w:sz w:val="18"/>
                <w:szCs w:val="18"/>
                <w:lang w:val="de-DE" w:eastAsia="zh-CN"/>
              </w:rPr>
            </w:pPr>
          </w:p>
        </w:tc>
        <w:tc>
          <w:tcPr>
            <w:tcW w:w="7850" w:type="dxa"/>
          </w:tcPr>
          <w:p>
            <w:pPr>
              <w:rPr>
                <w:rFonts w:ascii="Arial" w:hAnsi="Arial" w:cs="Arial" w:eastAsiaTheme="minorEastAsia"/>
                <w:sz w:val="18"/>
                <w:szCs w:val="18"/>
                <w:lang w:val="de-DE" w:eastAsia="zh-CN"/>
              </w:rPr>
            </w:pPr>
          </w:p>
        </w:tc>
      </w:tr>
    </w:tbl>
    <w:p>
      <w:pPr>
        <w:rPr>
          <w:rFonts w:ascii="Arial" w:hAnsi="Arial" w:eastAsia="Yu Mincho" w:cs="Arial"/>
        </w:rPr>
      </w:pPr>
    </w:p>
    <w:p>
      <w:pPr>
        <w:rPr>
          <w:rFonts w:ascii="Arial" w:hAnsi="Arial" w:eastAsia="Yu Mincho" w:cs="Arial"/>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4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99"/>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TAC Char"/>
    <w:link w:val="78"/>
    <w:qFormat/>
    <w:locked/>
    <w:uiPriority w:val="0"/>
    <w:rPr>
      <w:rFonts w:ascii="Arial" w:hAnsi="Arial"/>
      <w:sz w:val="18"/>
      <w:lang w:val="zh-CN" w:eastAsia="zh-CN"/>
    </w:rPr>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12"/>
    <w:qFormat/>
    <w:uiPriority w:val="0"/>
    <w:pPr>
      <w:overflowPunct/>
      <w:autoSpaceDE/>
      <w:autoSpaceDN/>
      <w:adjustRightInd/>
      <w:textAlignment w:val="auto"/>
    </w:pPr>
    <w:rPr>
      <w:rFonts w:cs="Arial"/>
      <w:lang w:val="en-GB" w:eastAsia="en-GB"/>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qFormat/>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8215B-964C-4493-A747-C6F99DD456B2}">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060FA74-3EE0-4BEF-8543-EB2E8F6A49DC}">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1598</Words>
  <Characters>9114</Characters>
  <Lines>75</Lines>
  <Paragraphs>21</Paragraphs>
  <TotalTime>0</TotalTime>
  <ScaleCrop>false</ScaleCrop>
  <LinksUpToDate>false</LinksUpToDate>
  <CharactersWithSpaces>10691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2023-03-02T12:32:00Z</dcterms:created>
  <dc:creator>Ericsson</dc:creator>
  <cp:keywords>3GPP; Ericsson; TDoc</cp:keywords>
  <cp:lastModifiedBy>ZTE(Wenting)</cp:lastModifiedBy>
  <cp:lastPrinted>2008-01-31T07:09:00Z</cp:lastPrinted>
  <dcterms:modified xsi:type="dcterms:W3CDTF">2023-03-02T13:57:45Z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