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113][</w:t>
      </w:r>
      <w:proofErr w:type="gramEnd"/>
      <w:r>
        <w:rPr>
          <w:rFonts w:cs="Arial"/>
          <w:b/>
          <w:bCs/>
          <w:sz w:val="24"/>
          <w:lang w:val="en-US" w:eastAsia="en-US"/>
        </w:rPr>
        <w:t>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w:t>
      </w:r>
      <w:proofErr w:type="gramStart"/>
      <w:r>
        <w:t>113][</w:t>
      </w:r>
      <w:proofErr w:type="gramEnd"/>
      <w:r>
        <w:t>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AE6C8A">
              <w:fldChar w:fldCharType="begin"/>
            </w:r>
            <w:r w:rsidR="00AE6C8A">
              <w:instrText xml:space="preserve"> HYPERLINK "mailto:email@address.com" </w:instrText>
            </w:r>
            <w:r w:rsidR="00AE6C8A">
              <w:fldChar w:fldCharType="separate"/>
            </w:r>
            <w:r>
              <w:rPr>
                <w:rFonts w:ascii="Calibri" w:eastAsia="Calibri" w:hAnsi="Calibri" w:cs="Calibri"/>
                <w:color w:val="0563C1"/>
                <w:sz w:val="22"/>
                <w:szCs w:val="22"/>
                <w:u w:val="single"/>
                <w:lang w:val="de-DE"/>
              </w:rPr>
              <w:t>email@address.com</w:t>
            </w:r>
            <w:r w:rsidR="00AE6C8A">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proofErr w:type="spellStart"/>
            <w:proofErr w:type="gramStart"/>
            <w:r w:rsidRPr="003F24C5">
              <w:rPr>
                <w:rFonts w:ascii="Calibri" w:eastAsia="DengXian" w:hAnsi="Calibri" w:cs="Calibri" w:hint="eastAsia"/>
                <w:sz w:val="22"/>
                <w:szCs w:val="22"/>
                <w:lang w:val="fr-FR"/>
              </w:rPr>
              <w:t>xiaowei</w:t>
            </w:r>
            <w:proofErr w:type="spellEnd"/>
            <w:proofErr w:type="gramEnd"/>
            <w:r w:rsidRPr="003F24C5">
              <w:rPr>
                <w:rFonts w:ascii="Calibri" w:eastAsia="DengXian" w:hAnsi="Calibri" w:cs="Calibri" w:hint="eastAsia"/>
                <w:sz w:val="22"/>
                <w:szCs w:val="22"/>
                <w:lang w:val="fr-FR"/>
              </w:rPr>
              <w:t xml:space="preserve">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DengXian"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X</w:t>
            </w:r>
            <w:r>
              <w:rPr>
                <w:rFonts w:ascii="Calibri" w:eastAsia="DengXian"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B64BC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16022" w:rsidRDefault="00316022" w:rsidP="00316022">
            <w:pPr>
              <w:spacing w:after="0"/>
              <w:jc w:val="center"/>
              <w:rPr>
                <w:rFonts w:ascii="Calibri" w:eastAsiaTheme="minorEastAsia" w:hAnsi="Calibri" w:cs="Calibri"/>
                <w:sz w:val="22"/>
                <w:szCs w:val="22"/>
                <w:lang w:val="nl-NL"/>
              </w:rPr>
            </w:pPr>
          </w:p>
        </w:tc>
      </w:tr>
      <w:tr w:rsidR="00316022"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subframe indicated by </w:t>
            </w:r>
            <w:proofErr w:type="spellStart"/>
            <w:proofErr w:type="gramStart"/>
            <w:r>
              <w:rPr>
                <w:rFonts w:eastAsia="Times New Roman"/>
                <w:i/>
                <w:iCs/>
                <w:lang w:eastAsia="ja-JP"/>
              </w:rPr>
              <w:t>epochTime</w:t>
            </w:r>
            <w:proofErr w:type="spellEnd"/>
            <w:r>
              <w:rPr>
                <w:rFonts w:eastAsia="Times New Roman"/>
                <w:lang w:eastAsia="ja-JP"/>
              </w:rPr>
              <w:t>;</w:t>
            </w:r>
            <w:proofErr w:type="gramEnd"/>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 xml:space="preserve">inform lower layers that UL synchronisation is </w:t>
            </w:r>
            <w:proofErr w:type="gramStart"/>
            <w:r>
              <w:t>lost;</w:t>
            </w:r>
            <w:proofErr w:type="gramEnd"/>
          </w:p>
          <w:p w14:paraId="27C998DA" w14:textId="77777777" w:rsidR="00BE3AF6" w:rsidRDefault="00E003E7">
            <w:pPr>
              <w:pStyle w:val="B2"/>
            </w:pPr>
            <w:r>
              <w:t>2&gt;</w:t>
            </w:r>
            <w:r>
              <w:tab/>
              <w:t xml:space="preserve">acquire </w:t>
            </w:r>
            <w:r>
              <w:rPr>
                <w:i/>
                <w:iCs/>
              </w:rPr>
              <w:t>SIB19</w:t>
            </w:r>
            <w:r>
              <w:t xml:space="preserve"> as defined in clause </w:t>
            </w:r>
            <w:proofErr w:type="gramStart"/>
            <w:r>
              <w:t>5.2.2.3.2;</w:t>
            </w:r>
            <w:proofErr w:type="gramEnd"/>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w:t>
      </w:r>
      <w:proofErr w:type="gramStart"/>
      <w:r>
        <w:rPr>
          <w:rFonts w:cs="Arial"/>
          <w:lang w:val="en-US"/>
        </w:rPr>
        <w:t>a period of time</w:t>
      </w:r>
      <w:proofErr w:type="gramEnd"/>
      <w:r>
        <w:rPr>
          <w:rFonts w:cs="Arial"/>
          <w:lang w:val="en-US"/>
        </w:rPr>
        <w:t xml:space="preserve"> before the SFN/subframe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w:t>
      </w:r>
      <w:proofErr w:type="gramStart"/>
      <w:r>
        <w:rPr>
          <w:rFonts w:eastAsia="MS Mincho" w:cs="Arial"/>
          <w:szCs w:val="24"/>
          <w:lang w:val="en-US" w:eastAsia="en-GB"/>
        </w:rPr>
        <w:t>i.e.</w:t>
      </w:r>
      <w:proofErr w:type="gramEnd"/>
      <w:r>
        <w:rPr>
          <w:rFonts w:eastAsia="MS Mincho" w:cs="Arial"/>
          <w:szCs w:val="24"/>
          <w:lang w:val="en-US" w:eastAsia="en-GB"/>
        </w:rPr>
        <w:t xml:space="preserv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proofErr w:type="spellStart"/>
            <w:r w:rsidRPr="003A513D">
              <w:rPr>
                <w:rFonts w:eastAsia="DengXian"/>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DengXian"/>
              </w:rPr>
            </w:pPr>
            <w:r>
              <w:rPr>
                <w:rFonts w:eastAsia="DengXian" w:hint="eastAsia"/>
              </w:rPr>
              <w:t>CATT</w:t>
            </w:r>
          </w:p>
        </w:tc>
        <w:tc>
          <w:tcPr>
            <w:tcW w:w="2113" w:type="dxa"/>
            <w:shd w:val="clear" w:color="auto" w:fill="auto"/>
          </w:tcPr>
          <w:p w14:paraId="464ED43B" w14:textId="2C652B47" w:rsidR="00990671" w:rsidRDefault="00990671" w:rsidP="003F24C5">
            <w:pPr>
              <w:rPr>
                <w:rFonts w:eastAsia="DengXian"/>
              </w:rPr>
            </w:pPr>
            <w:r>
              <w:rPr>
                <w:rFonts w:eastAsia="DengXian"/>
              </w:rPr>
              <w:t>D</w:t>
            </w:r>
            <w:r>
              <w:rPr>
                <w:rFonts w:eastAsia="DengXian" w:hint="eastAsia"/>
              </w:rPr>
              <w:t>isagree</w:t>
            </w:r>
          </w:p>
        </w:tc>
        <w:tc>
          <w:tcPr>
            <w:tcW w:w="5954" w:type="dxa"/>
            <w:shd w:val="clear" w:color="auto" w:fill="auto"/>
          </w:tcPr>
          <w:p w14:paraId="5930A397" w14:textId="77777777" w:rsidR="00990671" w:rsidRDefault="00990671" w:rsidP="003F24C5">
            <w:pPr>
              <w:jc w:val="left"/>
              <w:rPr>
                <w:rFonts w:eastAsia="DengXian"/>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DengXian"/>
              </w:rPr>
            </w:pPr>
            <w:r>
              <w:rPr>
                <w:rFonts w:eastAsia="DengXian"/>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DengXian"/>
              </w:rPr>
            </w:pPr>
            <w:r>
              <w:rPr>
                <w:rFonts w:eastAsia="DengXian"/>
              </w:rPr>
              <w:t>Agree with Sequans</w:t>
            </w:r>
          </w:p>
        </w:tc>
      </w:tr>
      <w:tr w:rsidR="00316022"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16022" w:rsidRDefault="00316022" w:rsidP="00316022">
            <w:pPr>
              <w:jc w:val="left"/>
              <w:rPr>
                <w:rFonts w:eastAsia="DengXian"/>
              </w:rPr>
            </w:pPr>
          </w:p>
        </w:tc>
      </w:tr>
      <w:tr w:rsidR="00316022"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16022" w:rsidRDefault="00316022" w:rsidP="00316022">
            <w:pPr>
              <w:jc w:val="left"/>
              <w:rPr>
                <w:rFonts w:eastAsia="DengXian"/>
              </w:rPr>
            </w:pPr>
          </w:p>
        </w:tc>
      </w:tr>
      <w:tr w:rsidR="00316022"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16022" w:rsidRDefault="00316022" w:rsidP="00316022">
            <w:pPr>
              <w:jc w:val="left"/>
              <w:rPr>
                <w:rFonts w:eastAsia="DengXian"/>
              </w:rPr>
            </w:pPr>
          </w:p>
        </w:tc>
      </w:tr>
      <w:tr w:rsidR="00316022"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16022" w:rsidRDefault="00316022" w:rsidP="00316022">
            <w:pPr>
              <w:jc w:val="left"/>
              <w:rPr>
                <w:rFonts w:eastAsia="DengXian"/>
              </w:rPr>
            </w:pPr>
          </w:p>
        </w:tc>
      </w:tr>
      <w:tr w:rsidR="00316022"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16022" w:rsidRDefault="00316022" w:rsidP="00316022">
            <w:pPr>
              <w:jc w:val="left"/>
              <w:rPr>
                <w:rFonts w:eastAsia="DengXian"/>
              </w:rPr>
            </w:pPr>
          </w:p>
        </w:tc>
      </w:tr>
      <w:tr w:rsidR="00316022"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16022" w:rsidRDefault="00316022" w:rsidP="00316022">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w:t>
      </w:r>
      <w:proofErr w:type="gramStart"/>
      <w:r>
        <w:t>problem;</w:t>
      </w:r>
      <w:proofErr w:type="gramEnd"/>
      <w:r>
        <w:t xml:space="preserve"> </w:t>
      </w:r>
    </w:p>
    <w:p w14:paraId="6392A463" w14:textId="77777777" w:rsidR="00BE3AF6" w:rsidRDefault="00E003E7">
      <w:pPr>
        <w:pStyle w:val="ListParagraph"/>
        <w:numPr>
          <w:ilvl w:val="0"/>
          <w:numId w:val="14"/>
        </w:numPr>
        <w:spacing w:after="0"/>
      </w:pPr>
      <w:r>
        <w:t xml:space="preserve">If the UE intends to initiate the RRC connection, if the gap length, </w:t>
      </w:r>
      <w:proofErr w:type="gramStart"/>
      <w:r>
        <w:t>i.e.</w:t>
      </w:r>
      <w:proofErr w:type="gramEnd"/>
      <w:r>
        <w:t xml:space="preserv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w:t>
      </w:r>
      <w:proofErr w:type="gramStart"/>
      <w:r>
        <w:rPr>
          <w:rFonts w:cs="Arial"/>
          <w:b/>
          <w:bCs/>
          <w:lang w:val="en-US"/>
        </w:rPr>
        <w:t>i.e.</w:t>
      </w:r>
      <w:proofErr w:type="gramEnd"/>
      <w:r>
        <w:rPr>
          <w:rFonts w:cs="Arial"/>
          <w:b/>
          <w:bCs/>
          <w:lang w:val="en-US"/>
        </w:rPr>
        <w:t xml:space="preserv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 xml:space="preserve">The epoch time </w:t>
            </w:r>
            <w:proofErr w:type="gramStart"/>
            <w:r>
              <w:rPr>
                <w:rFonts w:eastAsia="DengXian"/>
              </w:rPr>
              <w:t>has to</w:t>
            </w:r>
            <w:proofErr w:type="gramEnd"/>
            <w:r>
              <w:rPr>
                <w:rFonts w:eastAsia="DengXian"/>
              </w:rPr>
              <w:t xml:space="preserve">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w:t>
            </w:r>
            <w:proofErr w:type="gramStart"/>
            <w:r w:rsidRPr="0033442F">
              <w:rPr>
                <w:rFonts w:eastAsia="DengXian"/>
              </w:rPr>
              <w:t>i.e.</w:t>
            </w:r>
            <w:proofErr w:type="gramEnd"/>
            <w:r w:rsidRPr="0033442F">
              <w:rPr>
                <w:rFonts w:eastAsia="DengXian"/>
              </w:rPr>
              <w:t xml:space="preserv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lastRenderedPageBreak/>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w:t>
            </w:r>
            <w:proofErr w:type="gramStart"/>
            <w:r w:rsidRPr="00FD54C8">
              <w:rPr>
                <w:rFonts w:eastAsia="DengXian"/>
              </w:rPr>
              <w:t>i.e.</w:t>
            </w:r>
            <w:proofErr w:type="gramEnd"/>
            <w:r w:rsidRPr="00FD54C8">
              <w:rPr>
                <w:rFonts w:eastAsia="DengXian"/>
              </w:rPr>
              <w:t xml:space="preserv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xml:space="preserve">. </w:t>
            </w:r>
            <w:proofErr w:type="gramStart"/>
            <w:r>
              <w:rPr>
                <w:rFonts w:eastAsia="DengXian"/>
              </w:rPr>
              <w:t>However</w:t>
            </w:r>
            <w:proofErr w:type="gramEnd"/>
            <w:r>
              <w:rPr>
                <w:rFonts w:eastAsia="DengXian"/>
              </w:rPr>
              <w:t xml:space="preserve">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 xml:space="preserve">This is about whether backward propagation is possible or not. We believe it should be discussed/decided and not left </w:t>
            </w:r>
            <w:proofErr w:type="gramStart"/>
            <w:r>
              <w:rPr>
                <w:rFonts w:eastAsia="DengXian"/>
              </w:rPr>
              <w:t>to</w:t>
            </w:r>
            <w:proofErr w:type="gramEnd"/>
            <w:r>
              <w:rPr>
                <w:rFonts w:eastAsia="DengXian"/>
              </w:rPr>
              <w:t xml:space="preserve">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proofErr w:type="spellStart"/>
            <w:r w:rsidR="00485D58">
              <w:rPr>
                <w:rFonts w:eastAsia="DengXian"/>
                <w:lang w:val="en-US"/>
              </w:rPr>
              <w:t>epochTime</w:t>
            </w:r>
            <w:proofErr w:type="spellEnd"/>
            <w:r w:rsidR="00485D58">
              <w:rPr>
                <w:rFonts w:eastAsia="DengXian"/>
                <w:lang w:val="en-US"/>
              </w:rPr>
              <w:t xml:space="preserv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DengXian"/>
              </w:rPr>
            </w:pPr>
            <w:r>
              <w:rPr>
                <w:rFonts w:eastAsia="DengXian"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DengXian"/>
              </w:rPr>
            </w:pPr>
            <w:r>
              <w:rPr>
                <w:rFonts w:eastAsia="DengXian"/>
              </w:rPr>
              <w:t>D</w:t>
            </w:r>
            <w:r>
              <w:rPr>
                <w:rFonts w:eastAsia="DengXian"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DengXian"/>
              </w:rPr>
            </w:pPr>
            <w:r>
              <w:rPr>
                <w:rFonts w:eastAsia="DengXian"/>
              </w:rPr>
              <w:t>A</w:t>
            </w:r>
            <w:r>
              <w:rPr>
                <w:rFonts w:eastAsia="DengXian"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DengXian"/>
              </w:rPr>
            </w:pPr>
            <w:r>
              <w:rPr>
                <w:rFonts w:eastAsia="DengXian"/>
              </w:rPr>
              <w:t xml:space="preserve">This is decided by the outcome of email discussion 114. </w:t>
            </w:r>
          </w:p>
        </w:tc>
      </w:tr>
      <w:tr w:rsidR="00316022"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16022" w:rsidRDefault="00316022" w:rsidP="003160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16022" w:rsidRDefault="00316022" w:rsidP="00316022">
            <w:pPr>
              <w:jc w:val="left"/>
              <w:rPr>
                <w:rFonts w:eastAsia="DengXian"/>
              </w:rPr>
            </w:pPr>
          </w:p>
        </w:tc>
      </w:tr>
      <w:tr w:rsidR="00316022"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16022" w:rsidRDefault="00316022" w:rsidP="00316022">
            <w:pPr>
              <w:jc w:val="left"/>
              <w:rPr>
                <w:rFonts w:eastAsia="DengXian"/>
              </w:rPr>
            </w:pPr>
          </w:p>
        </w:tc>
      </w:tr>
      <w:tr w:rsidR="00316022"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16022" w:rsidRDefault="00316022" w:rsidP="00316022">
            <w:pPr>
              <w:jc w:val="left"/>
              <w:rPr>
                <w:rFonts w:eastAsia="DengXian"/>
              </w:rPr>
            </w:pPr>
          </w:p>
        </w:tc>
      </w:tr>
      <w:tr w:rsidR="00316022"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16022" w:rsidRDefault="00316022" w:rsidP="00316022">
            <w:pPr>
              <w:jc w:val="left"/>
              <w:rPr>
                <w:rFonts w:eastAsia="DengXian"/>
              </w:rPr>
            </w:pPr>
          </w:p>
        </w:tc>
      </w:tr>
      <w:tr w:rsidR="00316022"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16022" w:rsidRDefault="00316022" w:rsidP="00316022">
            <w:pPr>
              <w:jc w:val="left"/>
              <w:rPr>
                <w:rFonts w:eastAsia="DengXian"/>
              </w:rPr>
            </w:pPr>
          </w:p>
        </w:tc>
      </w:tr>
      <w:tr w:rsidR="00316022"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16022" w:rsidRDefault="00316022" w:rsidP="00316022">
            <w:pPr>
              <w:jc w:val="left"/>
              <w:rPr>
                <w:rFonts w:eastAsia="DengXian"/>
              </w:rPr>
            </w:pPr>
          </w:p>
        </w:tc>
      </w:tr>
      <w:tr w:rsidR="00316022"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16022" w:rsidRDefault="00316022" w:rsidP="00316022">
            <w:pPr>
              <w:jc w:val="left"/>
              <w:rPr>
                <w:rFonts w:eastAsia="DengXian"/>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lastRenderedPageBreak/>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 xml:space="preserve">to make it </w:t>
            </w:r>
            <w:proofErr w:type="gramStart"/>
            <w:r w:rsidR="00925660">
              <w:rPr>
                <w:rFonts w:eastAsia="DengXian"/>
                <w:highlight w:val="cyan"/>
              </w:rPr>
              <w:t>more clear</w:t>
            </w:r>
            <w:proofErr w:type="gramEnd"/>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6C2E3F" w14:paraId="54FE10BF" w14:textId="77777777">
        <w:tc>
          <w:tcPr>
            <w:tcW w:w="1426" w:type="dxa"/>
            <w:shd w:val="clear" w:color="auto" w:fill="auto"/>
          </w:tcPr>
          <w:p w14:paraId="4DD65DB3" w14:textId="36B55BB2" w:rsidR="006C2E3F" w:rsidRDefault="006C2E3F" w:rsidP="003F24C5">
            <w:pPr>
              <w:rPr>
                <w:rFonts w:eastAsia="DengXian"/>
              </w:rPr>
            </w:pPr>
            <w:r>
              <w:rPr>
                <w:rFonts w:eastAsia="DengXian" w:hint="eastAsia"/>
              </w:rPr>
              <w:t>CATT</w:t>
            </w:r>
          </w:p>
        </w:tc>
        <w:tc>
          <w:tcPr>
            <w:tcW w:w="2113" w:type="dxa"/>
            <w:shd w:val="clear" w:color="auto" w:fill="auto"/>
          </w:tcPr>
          <w:p w14:paraId="33D5848E" w14:textId="668B8E28" w:rsidR="006C2E3F" w:rsidRDefault="006C2E3F" w:rsidP="003F24C5">
            <w:pPr>
              <w:rPr>
                <w:rFonts w:eastAsia="DengXian"/>
              </w:rPr>
            </w:pPr>
            <w:r>
              <w:rPr>
                <w:rFonts w:eastAsia="DengXian"/>
              </w:rPr>
              <w:t>A</w:t>
            </w:r>
            <w:r>
              <w:rPr>
                <w:rFonts w:eastAsia="DengXian" w:hint="eastAsia"/>
              </w:rPr>
              <w:t>gree</w:t>
            </w:r>
          </w:p>
        </w:tc>
        <w:tc>
          <w:tcPr>
            <w:tcW w:w="5954" w:type="dxa"/>
            <w:shd w:val="clear" w:color="auto" w:fill="auto"/>
          </w:tcPr>
          <w:p w14:paraId="214AFDF9" w14:textId="77777777" w:rsidR="006C2E3F" w:rsidRDefault="006C2E3F"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DengXian"/>
              </w:rPr>
            </w:pPr>
            <w:r>
              <w:rPr>
                <w:rFonts w:eastAsia="DengXian"/>
              </w:rPr>
              <w:t>Please remove “</w:t>
            </w:r>
            <w:r>
              <w:rPr>
                <w:rFonts w:cs="Arial"/>
                <w:b/>
                <w:bCs/>
                <w:lang w:val="en-US"/>
              </w:rPr>
              <w:t>i.e., no gap between T430 expiry and next epoch time</w:t>
            </w:r>
            <w:r>
              <w:rPr>
                <w:rFonts w:eastAsia="DengXian"/>
              </w:rPr>
              <w:t xml:space="preserve">” as that will be decided in offline 114. </w:t>
            </w:r>
            <w:proofErr w:type="gramStart"/>
            <w:r>
              <w:rPr>
                <w:rFonts w:eastAsia="DengXian"/>
              </w:rPr>
              <w:t>Otherwise</w:t>
            </w:r>
            <w:proofErr w:type="gramEnd"/>
            <w:r>
              <w:rPr>
                <w:rFonts w:eastAsia="DengXian"/>
              </w:rPr>
              <w:t xml:space="preserve"> we are fine with the proposal.</w:t>
            </w:r>
          </w:p>
        </w:tc>
      </w:tr>
      <w:tr w:rsidR="00316022"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16022" w:rsidRDefault="00316022" w:rsidP="00316022">
            <w:pPr>
              <w:jc w:val="left"/>
              <w:rPr>
                <w:rFonts w:eastAsia="DengXian"/>
              </w:rPr>
            </w:pPr>
          </w:p>
        </w:tc>
      </w:tr>
      <w:tr w:rsidR="00316022"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16022" w:rsidRDefault="00316022" w:rsidP="00316022">
            <w:pPr>
              <w:jc w:val="left"/>
              <w:rPr>
                <w:rFonts w:eastAsia="DengXian"/>
              </w:rPr>
            </w:pPr>
          </w:p>
        </w:tc>
      </w:tr>
      <w:tr w:rsidR="00316022"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16022" w:rsidRDefault="00316022" w:rsidP="00316022">
            <w:pPr>
              <w:jc w:val="left"/>
              <w:rPr>
                <w:rFonts w:eastAsia="DengXian"/>
              </w:rPr>
            </w:pPr>
          </w:p>
        </w:tc>
      </w:tr>
      <w:tr w:rsidR="00316022"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16022" w:rsidRDefault="00316022" w:rsidP="00316022">
            <w:pPr>
              <w:jc w:val="left"/>
              <w:rPr>
                <w:rFonts w:eastAsia="DengXian"/>
              </w:rPr>
            </w:pPr>
          </w:p>
        </w:tc>
      </w:tr>
      <w:tr w:rsidR="00316022"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16022" w:rsidRDefault="00316022" w:rsidP="00316022">
            <w:pPr>
              <w:jc w:val="left"/>
              <w:rPr>
                <w:rFonts w:eastAsia="DengXian"/>
              </w:rPr>
            </w:pPr>
          </w:p>
        </w:tc>
      </w:tr>
      <w:tr w:rsidR="00316022"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16022" w:rsidRDefault="00316022" w:rsidP="00316022">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lastRenderedPageBreak/>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 xml:space="preserve">We can only assume that NW by implementation to ensure that new SIB19 is provided before the expiry of T430. The epoch time could be after the expiry of T430. This is the intention of RAN1 to point epoch time to the future instead of past, </w:t>
            </w:r>
            <w:proofErr w:type="gramStart"/>
            <w:r>
              <w:rPr>
                <w:rFonts w:eastAsia="DengXian" w:hint="eastAsia"/>
                <w:lang w:val="en-US"/>
              </w:rPr>
              <w:t>i.e.</w:t>
            </w:r>
            <w:proofErr w:type="gramEnd"/>
            <w:r>
              <w:rPr>
                <w:rFonts w:eastAsia="DengXian" w:hint="eastAsia"/>
                <w:lang w:val="en-US"/>
              </w:rPr>
              <w:t xml:space="preserve"> to maximize the validity duration. If we use option 2, the validity duration is </w:t>
            </w:r>
            <w:proofErr w:type="gramStart"/>
            <w:r>
              <w:rPr>
                <w:rFonts w:eastAsia="DengXian" w:hint="eastAsia"/>
                <w:lang w:val="en-US"/>
              </w:rPr>
              <w:t>actually reduced</w:t>
            </w:r>
            <w:proofErr w:type="gramEnd"/>
            <w:r>
              <w:rPr>
                <w:rFonts w:eastAsia="DengXian" w:hint="eastAsia"/>
                <w:lang w:val="en-US"/>
              </w:rPr>
              <w:t>.</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 xml:space="preserve">As long as current T430 is running, UE can continue use the </w:t>
            </w:r>
            <w:proofErr w:type="gramStart"/>
            <w:r>
              <w:rPr>
                <w:rFonts w:eastAsia="DengXian"/>
              </w:rPr>
              <w:t>old stored</w:t>
            </w:r>
            <w:proofErr w:type="gramEnd"/>
            <w:r>
              <w:rPr>
                <w:rFonts w:eastAsia="DengXian"/>
              </w:rPr>
              <w:t xml:space="preserve">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D2090F" w14:paraId="237C37C9" w14:textId="77777777">
        <w:tc>
          <w:tcPr>
            <w:tcW w:w="1426" w:type="dxa"/>
            <w:shd w:val="clear" w:color="auto" w:fill="auto"/>
          </w:tcPr>
          <w:p w14:paraId="2E36DAE7" w14:textId="04E0AE46" w:rsidR="00D2090F" w:rsidRDefault="00D2090F" w:rsidP="003F24C5">
            <w:pPr>
              <w:rPr>
                <w:rFonts w:eastAsia="DengXian"/>
              </w:rPr>
            </w:pPr>
            <w:r>
              <w:rPr>
                <w:rFonts w:eastAsia="DengXian" w:hint="eastAsia"/>
              </w:rPr>
              <w:t>CATT</w:t>
            </w:r>
          </w:p>
        </w:tc>
        <w:tc>
          <w:tcPr>
            <w:tcW w:w="2113" w:type="dxa"/>
            <w:shd w:val="clear" w:color="auto" w:fill="auto"/>
          </w:tcPr>
          <w:p w14:paraId="0978A1D1" w14:textId="3A8A71EC" w:rsidR="00D2090F" w:rsidRDefault="00D2090F" w:rsidP="003F24C5">
            <w:pPr>
              <w:rPr>
                <w:rFonts w:eastAsia="DengXian"/>
              </w:rPr>
            </w:pPr>
            <w:r>
              <w:rPr>
                <w:rFonts w:eastAsia="DengXian"/>
              </w:rPr>
              <w:t>O</w:t>
            </w:r>
            <w:r>
              <w:rPr>
                <w:rFonts w:eastAsia="DengXian" w:hint="eastAsia"/>
              </w:rPr>
              <w:t>ption 2</w:t>
            </w:r>
          </w:p>
        </w:tc>
        <w:tc>
          <w:tcPr>
            <w:tcW w:w="5954" w:type="dxa"/>
            <w:shd w:val="clear" w:color="auto" w:fill="auto"/>
          </w:tcPr>
          <w:p w14:paraId="6C4130F1" w14:textId="77777777" w:rsidR="00D2090F" w:rsidRDefault="00D2090F" w:rsidP="003C7C2D">
            <w:pPr>
              <w:rPr>
                <w:rFonts w:eastAsia="DengXian"/>
              </w:rPr>
            </w:pPr>
            <w:r>
              <w:rPr>
                <w:rFonts w:eastAsia="DengXian"/>
              </w:rPr>
              <w:t>F</w:t>
            </w:r>
            <w:r>
              <w:rPr>
                <w:rFonts w:eastAsia="DengXian" w:hint="eastAsia"/>
              </w:rPr>
              <w:t xml:space="preserve">or CONNECTED UE, by UE and NW implementation, it can ensure that UE can always has a valid SIB19. </w:t>
            </w:r>
          </w:p>
          <w:p w14:paraId="73E496DB" w14:textId="1BFF6EF6" w:rsidR="00D2090F" w:rsidRDefault="00D2090F" w:rsidP="003F24C5">
            <w:pPr>
              <w:rPr>
                <w:rFonts w:eastAsia="DengXian"/>
              </w:rPr>
            </w:pPr>
            <w:r>
              <w:rPr>
                <w:rFonts w:eastAsia="DengXian"/>
              </w:rPr>
              <w:t>H</w:t>
            </w:r>
            <w:r>
              <w:rPr>
                <w:rFonts w:eastAsia="DengXian" w:hint="eastAsia"/>
              </w:rPr>
              <w:t>owever, it</w:t>
            </w:r>
            <w:r w:rsidRPr="00E70DCF">
              <w:rPr>
                <w:rFonts w:eastAsia="DengXian"/>
              </w:rPr>
              <w:t xml:space="preserve"> is worth mentioning </w:t>
            </w:r>
            <w:proofErr w:type="gramStart"/>
            <w:r w:rsidRPr="00E70DCF">
              <w:rPr>
                <w:rFonts w:eastAsia="DengXian"/>
              </w:rPr>
              <w:t>that</w:t>
            </w:r>
            <w:r>
              <w:rPr>
                <w:rFonts w:eastAsia="DengXian" w:hint="eastAsia"/>
              </w:rPr>
              <w:t>,</w:t>
            </w:r>
            <w:proofErr w:type="gramEnd"/>
            <w:r>
              <w:rPr>
                <w:rFonts w:eastAsia="DengXian" w:hint="eastAsia"/>
              </w:rPr>
              <w:t xml:space="preserve"> there is some problem for IDLE UE who only acquired a SIB19 with a future</w:t>
            </w:r>
            <w:r>
              <w:rPr>
                <w:rFonts w:eastAsia="DengXian"/>
              </w:rPr>
              <w:t xml:space="preserve"> </w:t>
            </w:r>
            <w:proofErr w:type="spellStart"/>
            <w:r>
              <w:rPr>
                <w:rFonts w:eastAsia="DengXian"/>
              </w:rPr>
              <w:t>epochTime</w:t>
            </w:r>
            <w:proofErr w:type="spellEnd"/>
            <w:r>
              <w:rPr>
                <w:rFonts w:eastAsia="DengXian" w:hint="eastAsia"/>
              </w:rPr>
              <w:t xml:space="preserve">, and requires of transfer to CONNECTED. </w:t>
            </w:r>
            <w:r>
              <w:rPr>
                <w:rFonts w:eastAsia="DengXian"/>
              </w:rPr>
              <w:t>I</w:t>
            </w:r>
            <w:r>
              <w:rPr>
                <w:rFonts w:eastAsia="DengXian" w:hint="eastAsia"/>
              </w:rPr>
              <w:t xml:space="preserve">n that case, UE has to wait until the </w:t>
            </w:r>
            <w:proofErr w:type="spellStart"/>
            <w:r>
              <w:rPr>
                <w:rFonts w:eastAsia="DengXian"/>
              </w:rPr>
              <w:t>epochTime</w:t>
            </w:r>
            <w:proofErr w:type="spellEnd"/>
            <w:r>
              <w:rPr>
                <w:rFonts w:eastAsia="DengXian" w:hint="eastAsia"/>
              </w:rPr>
              <w:t xml:space="preserve">, the latency </w:t>
            </w:r>
            <w:proofErr w:type="gramStart"/>
            <w:r>
              <w:rPr>
                <w:rFonts w:eastAsia="DengXian" w:hint="eastAsia"/>
              </w:rPr>
              <w:t>bring</w:t>
            </w:r>
            <w:proofErr w:type="gramEnd"/>
            <w:r>
              <w:rPr>
                <w:rFonts w:eastAsia="DengXian" w:hint="eastAsia"/>
              </w:rPr>
              <w:t xml:space="preserve"> by waiting for </w:t>
            </w:r>
            <w:proofErr w:type="spellStart"/>
            <w:r>
              <w:rPr>
                <w:rFonts w:eastAsia="DengXian"/>
              </w:rPr>
              <w:t>epochTime</w:t>
            </w:r>
            <w:proofErr w:type="spellEnd"/>
            <w:r>
              <w:rPr>
                <w:rFonts w:eastAsia="DengXian" w:hint="eastAsia"/>
              </w:rPr>
              <w:t xml:space="preserve"> is unacceptable. </w:t>
            </w:r>
            <w:r>
              <w:rPr>
                <w:rFonts w:eastAsia="DengXian"/>
              </w:rPr>
              <w:t>T</w:t>
            </w:r>
            <w:r>
              <w:rPr>
                <w:rFonts w:eastAsia="DengXian"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16022" w14:paraId="453B14A4" w14:textId="77777777">
        <w:tc>
          <w:tcPr>
            <w:tcW w:w="1426" w:type="dxa"/>
            <w:shd w:val="clear" w:color="auto" w:fill="auto"/>
          </w:tcPr>
          <w:p w14:paraId="1EEBE97F" w14:textId="0A26EA37" w:rsidR="00316022" w:rsidRDefault="00316022" w:rsidP="00316022">
            <w:pPr>
              <w:rPr>
                <w:rFonts w:eastAsia="DengXian"/>
              </w:rPr>
            </w:pPr>
            <w:r>
              <w:rPr>
                <w:rFonts w:eastAsia="DengXian"/>
              </w:rPr>
              <w:t>Ericsson</w:t>
            </w:r>
          </w:p>
        </w:tc>
        <w:tc>
          <w:tcPr>
            <w:tcW w:w="2113" w:type="dxa"/>
            <w:shd w:val="clear" w:color="auto" w:fill="auto"/>
          </w:tcPr>
          <w:p w14:paraId="5B695E37" w14:textId="11F400B9" w:rsidR="00316022" w:rsidRDefault="00316022" w:rsidP="00316022">
            <w:pPr>
              <w:rPr>
                <w:rFonts w:eastAsia="DengXian"/>
              </w:rPr>
            </w:pPr>
            <w:r>
              <w:rPr>
                <w:rFonts w:eastAsia="DengXian"/>
              </w:rPr>
              <w:t>Option 3</w:t>
            </w:r>
          </w:p>
        </w:tc>
        <w:tc>
          <w:tcPr>
            <w:tcW w:w="5954" w:type="dxa"/>
            <w:shd w:val="clear" w:color="auto" w:fill="auto"/>
          </w:tcPr>
          <w:p w14:paraId="58CC6A49" w14:textId="77777777" w:rsidR="00316022" w:rsidRDefault="00316022" w:rsidP="00316022">
            <w:pPr>
              <w:jc w:val="left"/>
              <w:rPr>
                <w:rFonts w:eastAsia="DengXian"/>
              </w:rPr>
            </w:pPr>
            <w:r>
              <w:rPr>
                <w:rFonts w:eastAsia="DengXian"/>
              </w:rPr>
              <w:t xml:space="preserve">RAN2 already agreed that the UE must itself reacquire SIB19 before validity timer expires. </w:t>
            </w:r>
          </w:p>
          <w:p w14:paraId="74503CD8" w14:textId="25C70C88" w:rsidR="00316022" w:rsidRDefault="00316022" w:rsidP="00316022">
            <w:pPr>
              <w:jc w:val="left"/>
              <w:rPr>
                <w:rFonts w:eastAsia="DengXian"/>
              </w:rPr>
            </w:pPr>
            <w:r>
              <w:rPr>
                <w:rFonts w:eastAsia="DengXian"/>
              </w:rPr>
              <w:t xml:space="preserve">There is no difference if SIB19 UL sync info is valid in the future or immediately when received (but of course if valid immediately </w:t>
            </w:r>
            <w:r>
              <w:rPr>
                <w:rFonts w:eastAsia="DengXian"/>
              </w:rPr>
              <w:lastRenderedPageBreak/>
              <w:t>when received, the UE implementation is easier and can reacquire the UL sync info more seldom).</w:t>
            </w:r>
            <w:r>
              <w:rPr>
                <w:rFonts w:eastAsia="DengXian"/>
              </w:rPr>
              <w:t xml:space="preserve"> </w:t>
            </w:r>
          </w:p>
        </w:tc>
      </w:tr>
      <w:tr w:rsidR="00316022"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16022" w:rsidRDefault="00316022" w:rsidP="003160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16022" w:rsidRDefault="00316022" w:rsidP="00316022">
            <w:pPr>
              <w:jc w:val="left"/>
              <w:rPr>
                <w:rFonts w:eastAsia="DengXian"/>
              </w:rPr>
            </w:pPr>
          </w:p>
        </w:tc>
      </w:tr>
      <w:tr w:rsidR="00316022"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16022" w:rsidRDefault="00316022" w:rsidP="003160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16022" w:rsidRDefault="00316022" w:rsidP="00316022">
            <w:pPr>
              <w:jc w:val="left"/>
              <w:rPr>
                <w:rFonts w:eastAsia="DengXian"/>
              </w:rPr>
            </w:pPr>
          </w:p>
        </w:tc>
      </w:tr>
      <w:tr w:rsidR="00316022"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16022" w:rsidRDefault="00316022" w:rsidP="00316022">
            <w:pPr>
              <w:jc w:val="left"/>
              <w:rPr>
                <w:rFonts w:eastAsia="DengXian"/>
              </w:rPr>
            </w:pPr>
          </w:p>
        </w:tc>
      </w:tr>
      <w:tr w:rsidR="00316022"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16022" w:rsidRDefault="00316022" w:rsidP="00316022">
            <w:pPr>
              <w:jc w:val="left"/>
              <w:rPr>
                <w:rFonts w:eastAsia="DengXian"/>
              </w:rPr>
            </w:pPr>
          </w:p>
        </w:tc>
      </w:tr>
      <w:tr w:rsidR="00316022"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16022" w:rsidRDefault="00316022" w:rsidP="00316022">
            <w:pPr>
              <w:jc w:val="left"/>
              <w:rPr>
                <w:rFonts w:eastAsia="DengXian"/>
              </w:rPr>
            </w:pPr>
          </w:p>
        </w:tc>
      </w:tr>
      <w:tr w:rsidR="00316022"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16022" w:rsidRDefault="00316022" w:rsidP="00316022">
            <w:pPr>
              <w:jc w:val="left"/>
              <w:rPr>
                <w:rFonts w:eastAsia="DengXian"/>
              </w:rPr>
            </w:pPr>
          </w:p>
        </w:tc>
      </w:tr>
      <w:tr w:rsidR="00316022"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16022" w:rsidRDefault="00316022" w:rsidP="00316022">
            <w:pPr>
              <w:jc w:val="left"/>
              <w:rPr>
                <w:rFonts w:eastAsia="DengXian"/>
              </w:rPr>
            </w:pPr>
          </w:p>
        </w:tc>
      </w:tr>
      <w:tr w:rsidR="00316022"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16022" w:rsidRDefault="00316022" w:rsidP="00316022">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16022" w:rsidRDefault="00316022" w:rsidP="003160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16022" w:rsidRDefault="00316022" w:rsidP="00316022">
            <w:pPr>
              <w:jc w:val="left"/>
              <w:rPr>
                <w:rFonts w:eastAsia="DengXian"/>
              </w:rPr>
            </w:pPr>
          </w:p>
        </w:tc>
      </w:tr>
    </w:tbl>
    <w:p w14:paraId="36EA11E3" w14:textId="77777777" w:rsidR="00BE3AF6" w:rsidRDefault="00BE3AF6"/>
    <w:p w14:paraId="4CBCFE44" w14:textId="77777777" w:rsidR="00BE3AF6" w:rsidRDefault="00E003E7">
      <w:pPr>
        <w:pStyle w:val="Heading3"/>
      </w:pPr>
      <w:r>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subframe indicated by </w:t>
            </w:r>
            <w:proofErr w:type="spellStart"/>
            <w:proofErr w:type="gramStart"/>
            <w:r>
              <w:rPr>
                <w:rFonts w:eastAsia="Times New Roman"/>
                <w:i/>
                <w:iCs/>
                <w:highlight w:val="yellow"/>
                <w:lang w:eastAsia="ja-JP"/>
              </w:rPr>
              <w:t>epochTime</w:t>
            </w:r>
            <w:proofErr w:type="spellEnd"/>
            <w:r>
              <w:rPr>
                <w:rFonts w:eastAsia="Times New Roman"/>
                <w:lang w:eastAsia="ja-JP"/>
              </w:rPr>
              <w:t>;</w:t>
            </w:r>
            <w:proofErr w:type="gramEnd"/>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proofErr w:type="gramStart"/>
            <w:r>
              <w:rPr>
                <w:rFonts w:eastAsia="DengXian" w:hint="eastAsia"/>
              </w:rPr>
              <w:t>I</w:t>
            </w:r>
            <w:r>
              <w:rPr>
                <w:rFonts w:eastAsia="DengXian"/>
              </w:rPr>
              <w:t>n order to</w:t>
            </w:r>
            <w:proofErr w:type="gramEnd"/>
            <w:r>
              <w:rPr>
                <w:rFonts w:eastAsia="DengXian"/>
              </w:rPr>
              <w:t xml:space="preserve">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w:t>
            </w:r>
            <w:proofErr w:type="spellStart"/>
            <w:r>
              <w:rPr>
                <w:rFonts w:eastAsia="DengXian"/>
              </w:rPr>
              <w:t>HiSilicon</w:t>
            </w:r>
            <w:proofErr w:type="spellEnd"/>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lastRenderedPageBreak/>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 xml:space="preserve">We </w:t>
            </w:r>
            <w:proofErr w:type="spellStart"/>
            <w:r>
              <w:rPr>
                <w:rFonts w:eastAsia="DengXian"/>
              </w:rPr>
              <w:t>donot</w:t>
            </w:r>
            <w:proofErr w:type="spellEnd"/>
            <w:r>
              <w:rPr>
                <w:rFonts w:eastAsia="DengXian"/>
              </w:rPr>
              <w:t xml:space="preserve">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508C8" w14:paraId="0382E3CB" w14:textId="77777777">
        <w:tc>
          <w:tcPr>
            <w:tcW w:w="1426" w:type="dxa"/>
            <w:shd w:val="clear" w:color="auto" w:fill="auto"/>
          </w:tcPr>
          <w:p w14:paraId="5B0435D6" w14:textId="5271A625" w:rsidR="003508C8" w:rsidRDefault="003508C8" w:rsidP="003F24C5">
            <w:pPr>
              <w:rPr>
                <w:rFonts w:eastAsia="DengXian"/>
              </w:rPr>
            </w:pPr>
            <w:r>
              <w:rPr>
                <w:rFonts w:eastAsia="DengXian" w:hint="eastAsia"/>
              </w:rPr>
              <w:t>CATT</w:t>
            </w:r>
          </w:p>
        </w:tc>
        <w:tc>
          <w:tcPr>
            <w:tcW w:w="2113" w:type="dxa"/>
            <w:shd w:val="clear" w:color="auto" w:fill="auto"/>
          </w:tcPr>
          <w:p w14:paraId="4B9232CD" w14:textId="6CFFACFC" w:rsidR="003508C8" w:rsidRDefault="003508C8" w:rsidP="003F24C5">
            <w:pPr>
              <w:rPr>
                <w:rFonts w:eastAsia="DengXian"/>
              </w:rPr>
            </w:pPr>
            <w:r>
              <w:rPr>
                <w:rFonts w:eastAsia="DengXian"/>
              </w:rPr>
              <w:t>D</w:t>
            </w:r>
            <w:r>
              <w:rPr>
                <w:rFonts w:eastAsia="DengXian" w:hint="eastAsia"/>
              </w:rPr>
              <w:t>isagree</w:t>
            </w:r>
          </w:p>
        </w:tc>
        <w:tc>
          <w:tcPr>
            <w:tcW w:w="5954" w:type="dxa"/>
            <w:shd w:val="clear" w:color="auto" w:fill="auto"/>
          </w:tcPr>
          <w:p w14:paraId="279C2DB1" w14:textId="77777777" w:rsidR="003508C8" w:rsidRDefault="003508C8" w:rsidP="003C7C2D">
            <w:pPr>
              <w:rPr>
                <w:rFonts w:eastAsia="DengXian"/>
              </w:rPr>
            </w:pPr>
            <w:r>
              <w:rPr>
                <w:rFonts w:eastAsia="DengXian"/>
              </w:rPr>
              <w:t>I</w:t>
            </w:r>
            <w:r>
              <w:rPr>
                <w:rFonts w:eastAsia="DengXian" w:hint="eastAsia"/>
              </w:rPr>
              <w:t xml:space="preserve">t is already </w:t>
            </w:r>
            <w:r w:rsidRPr="00C121CF">
              <w:rPr>
                <w:rFonts w:eastAsia="DengXian"/>
              </w:rPr>
              <w:t>illustrate</w:t>
            </w:r>
            <w:r>
              <w:rPr>
                <w:rFonts w:eastAsia="DengXian" w:hint="eastAsia"/>
              </w:rPr>
              <w:t xml:space="preserve">d that </w:t>
            </w:r>
            <w:r>
              <w:rPr>
                <w:rFonts w:eastAsia="DengXian"/>
              </w:rPr>
              <w:t>“</w:t>
            </w:r>
            <w:r>
              <w:rPr>
                <w:rFonts w:eastAsia="DengXian" w:hint="eastAsia"/>
              </w:rPr>
              <w:t xml:space="preserve">start or restart T430 for </w:t>
            </w:r>
            <w:r>
              <w:rPr>
                <w:rFonts w:eastAsia="DengXian"/>
              </w:rPr>
              <w:t>serving</w:t>
            </w:r>
            <w:r>
              <w:rPr>
                <w:rFonts w:eastAsia="DengXian" w:hint="eastAsia"/>
              </w:rPr>
              <w:t xml:space="preserve"> cell</w:t>
            </w:r>
            <w:r>
              <w:rPr>
                <w:rFonts w:eastAsia="DengXian"/>
              </w:rPr>
              <w:t>”</w:t>
            </w:r>
            <w:r>
              <w:rPr>
                <w:rFonts w:eastAsia="DengXian" w:hint="eastAsia"/>
              </w:rPr>
              <w:t xml:space="preserve">, there is no need to </w:t>
            </w:r>
            <w:r w:rsidRPr="00E62617">
              <w:rPr>
                <w:rFonts w:eastAsia="DengXian"/>
              </w:rPr>
              <w:t>emphasize</w:t>
            </w:r>
            <w:r>
              <w:rPr>
                <w:rFonts w:eastAsia="DengXian" w:hint="eastAsia"/>
              </w:rPr>
              <w:t xml:space="preserve"> again, UE will apply the </w:t>
            </w:r>
            <w:proofErr w:type="spellStart"/>
            <w:r w:rsidRPr="00C121CF">
              <w:rPr>
                <w:rFonts w:eastAsia="DengXian"/>
              </w:rPr>
              <w:t>ntn-UlSyncValidityDuration</w:t>
            </w:r>
            <w:proofErr w:type="spellEnd"/>
            <w:r>
              <w:rPr>
                <w:rFonts w:eastAsia="DengXian" w:hint="eastAsia"/>
              </w:rPr>
              <w:t xml:space="preserve"> and </w:t>
            </w:r>
            <w:proofErr w:type="spellStart"/>
            <w:r w:rsidRPr="00C121CF">
              <w:rPr>
                <w:rFonts w:eastAsia="DengXian"/>
              </w:rPr>
              <w:t>epochTime</w:t>
            </w:r>
            <w:proofErr w:type="spellEnd"/>
            <w:r>
              <w:rPr>
                <w:rFonts w:eastAsia="DengXian" w:hint="eastAsia"/>
              </w:rPr>
              <w:t xml:space="preserve"> of serving cell, there will be no </w:t>
            </w:r>
            <w:r w:rsidRPr="00C121CF">
              <w:rPr>
                <w:rFonts w:eastAsia="DengXian"/>
              </w:rPr>
              <w:t>misunderstanding</w:t>
            </w:r>
            <w:r>
              <w:rPr>
                <w:rFonts w:eastAsia="DengXian" w:hint="eastAsia"/>
              </w:rPr>
              <w:t>.</w:t>
            </w:r>
          </w:p>
          <w:p w14:paraId="42B3B711" w14:textId="2D91B9BE" w:rsidR="003508C8" w:rsidRDefault="003508C8" w:rsidP="003F24C5">
            <w:pPr>
              <w:jc w:val="left"/>
              <w:rPr>
                <w:rFonts w:eastAsia="DengXian"/>
              </w:rPr>
            </w:pPr>
            <w:r>
              <w:rPr>
                <w:rFonts w:eastAsia="DengXian"/>
              </w:rPr>
              <w:t>T</w:t>
            </w:r>
            <w:r>
              <w:rPr>
                <w:rFonts w:eastAsia="DengXian" w:hint="eastAsia"/>
              </w:rPr>
              <w:t xml:space="preserve">his is an unnecessary modification, but we can follow the </w:t>
            </w:r>
            <w:r>
              <w:rPr>
                <w:rFonts w:eastAsia="DengXian"/>
              </w:rPr>
              <w:t>majority</w:t>
            </w:r>
            <w:r>
              <w:rPr>
                <w:rFonts w:eastAsia="DengXian"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w:t>
            </w:r>
            <w:proofErr w:type="gramStart"/>
            <w:r>
              <w:rPr>
                <w:rFonts w:eastAsia="Malgun Gothic"/>
                <w:lang w:eastAsia="ko-KR"/>
              </w:rPr>
              <w:t>obvious</w:t>
            </w:r>
            <w:proofErr w:type="gramEnd"/>
            <w:r>
              <w:rPr>
                <w:rFonts w:eastAsia="Malgun Gothic"/>
                <w:lang w:eastAsia="ko-KR"/>
              </w:rPr>
              <w:t xml:space="preserve">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subframe indicated by </w:t>
            </w:r>
            <w:proofErr w:type="spellStart"/>
            <w:r>
              <w:rPr>
                <w:rFonts w:eastAsia="Times New Roman"/>
                <w:i/>
                <w:iCs/>
                <w:lang w:eastAsia="ja-JP"/>
              </w:rPr>
              <w:t>epochTime</w:t>
            </w:r>
            <w:proofErr w:type="spellEnd"/>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 xml:space="preserve">serving </w:t>
              </w:r>
              <w:proofErr w:type="gramStart"/>
              <w:r>
                <w:rPr>
                  <w:rFonts w:eastAsia="Times New Roman"/>
                  <w:lang w:eastAsia="ja-JP"/>
                </w:rPr>
                <w:t>cell</w:t>
              </w:r>
            </w:ins>
            <w:r>
              <w:rPr>
                <w:rFonts w:eastAsia="Times New Roman"/>
                <w:lang w:eastAsia="ja-JP"/>
              </w:rPr>
              <w:t>;</w:t>
            </w:r>
            <w:proofErr w:type="gramEnd"/>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proofErr w:type="spellStart"/>
            <w:r>
              <w:rPr>
                <w:rFonts w:eastAsia="DengXian"/>
              </w:rPr>
              <w:t>ASUSTeK</w:t>
            </w:r>
            <w:proofErr w:type="spellEnd"/>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D67951" w14:paraId="63E8F875" w14:textId="77777777">
        <w:tc>
          <w:tcPr>
            <w:tcW w:w="1426" w:type="dxa"/>
            <w:shd w:val="clear" w:color="auto" w:fill="auto"/>
          </w:tcPr>
          <w:p w14:paraId="72EC7A68" w14:textId="7ED79C5D" w:rsidR="00D67951" w:rsidRDefault="00D67951" w:rsidP="00D67951">
            <w:pPr>
              <w:rPr>
                <w:rFonts w:eastAsia="DengXian"/>
              </w:rPr>
            </w:pPr>
            <w:r>
              <w:rPr>
                <w:rFonts w:eastAsia="DengXian"/>
              </w:rPr>
              <w:t>Ericsson</w:t>
            </w:r>
          </w:p>
        </w:tc>
        <w:tc>
          <w:tcPr>
            <w:tcW w:w="2113" w:type="dxa"/>
            <w:shd w:val="clear" w:color="auto" w:fill="auto"/>
          </w:tcPr>
          <w:p w14:paraId="7520E356" w14:textId="3096A31B" w:rsidR="00D67951" w:rsidRDefault="00D67951" w:rsidP="00D67951">
            <w:pPr>
              <w:rPr>
                <w:rFonts w:eastAsia="DengXian"/>
              </w:rPr>
            </w:pPr>
            <w:r>
              <w:rPr>
                <w:rFonts w:eastAsia="DengXian"/>
              </w:rPr>
              <w:t>Agree</w:t>
            </w:r>
          </w:p>
        </w:tc>
        <w:tc>
          <w:tcPr>
            <w:tcW w:w="5954" w:type="dxa"/>
            <w:shd w:val="clear" w:color="auto" w:fill="auto"/>
          </w:tcPr>
          <w:p w14:paraId="09BE4851" w14:textId="77777777" w:rsidR="00D67951" w:rsidRDefault="00D67951" w:rsidP="00D67951">
            <w:pPr>
              <w:jc w:val="left"/>
              <w:rPr>
                <w:rFonts w:eastAsia="DengXian"/>
              </w:rPr>
            </w:pPr>
          </w:p>
        </w:tc>
      </w:tr>
      <w:tr w:rsidR="00D67951" w14:paraId="2E75E080" w14:textId="77777777">
        <w:tc>
          <w:tcPr>
            <w:tcW w:w="1426" w:type="dxa"/>
            <w:shd w:val="clear" w:color="auto" w:fill="auto"/>
          </w:tcPr>
          <w:p w14:paraId="7B9080B5" w14:textId="77777777" w:rsidR="00D67951" w:rsidRDefault="00D67951" w:rsidP="00D67951">
            <w:pPr>
              <w:rPr>
                <w:rFonts w:eastAsia="DengXian"/>
              </w:rPr>
            </w:pPr>
          </w:p>
        </w:tc>
        <w:tc>
          <w:tcPr>
            <w:tcW w:w="2113" w:type="dxa"/>
            <w:shd w:val="clear" w:color="auto" w:fill="auto"/>
          </w:tcPr>
          <w:p w14:paraId="71A6A8A5" w14:textId="77777777" w:rsidR="00D67951" w:rsidRDefault="00D67951" w:rsidP="00D67951">
            <w:pPr>
              <w:rPr>
                <w:rFonts w:eastAsia="DengXian"/>
              </w:rPr>
            </w:pPr>
          </w:p>
        </w:tc>
        <w:tc>
          <w:tcPr>
            <w:tcW w:w="5954" w:type="dxa"/>
            <w:shd w:val="clear" w:color="auto" w:fill="auto"/>
          </w:tcPr>
          <w:p w14:paraId="21A0BCC0" w14:textId="77777777" w:rsidR="00D67951" w:rsidRDefault="00D67951" w:rsidP="00D67951">
            <w:pPr>
              <w:rPr>
                <w:rFonts w:eastAsia="DengXian"/>
              </w:rPr>
            </w:pPr>
          </w:p>
        </w:tc>
      </w:tr>
      <w:tr w:rsidR="00D67951" w14:paraId="11C9C33D" w14:textId="77777777">
        <w:tc>
          <w:tcPr>
            <w:tcW w:w="1426" w:type="dxa"/>
            <w:shd w:val="clear" w:color="auto" w:fill="auto"/>
          </w:tcPr>
          <w:p w14:paraId="7B3264AA" w14:textId="77777777" w:rsidR="00D67951" w:rsidRDefault="00D67951" w:rsidP="00D67951">
            <w:pPr>
              <w:rPr>
                <w:rFonts w:eastAsia="DengXian"/>
              </w:rPr>
            </w:pPr>
          </w:p>
        </w:tc>
        <w:tc>
          <w:tcPr>
            <w:tcW w:w="2113" w:type="dxa"/>
            <w:shd w:val="clear" w:color="auto" w:fill="auto"/>
          </w:tcPr>
          <w:p w14:paraId="574CC99D" w14:textId="77777777" w:rsidR="00D67951" w:rsidRDefault="00D67951" w:rsidP="00D67951">
            <w:pPr>
              <w:rPr>
                <w:rFonts w:eastAsia="DengXian"/>
              </w:rPr>
            </w:pPr>
          </w:p>
        </w:tc>
        <w:tc>
          <w:tcPr>
            <w:tcW w:w="5954" w:type="dxa"/>
            <w:shd w:val="clear" w:color="auto" w:fill="auto"/>
          </w:tcPr>
          <w:p w14:paraId="37DF6F9E" w14:textId="77777777" w:rsidR="00D67951" w:rsidRDefault="00D67951" w:rsidP="00D67951">
            <w:pPr>
              <w:rPr>
                <w:rFonts w:eastAsia="DengXian"/>
              </w:rPr>
            </w:pPr>
          </w:p>
        </w:tc>
      </w:tr>
      <w:tr w:rsidR="00D67951"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D67951" w:rsidRDefault="00D67951" w:rsidP="00D67951">
            <w:pPr>
              <w:jc w:val="left"/>
              <w:rPr>
                <w:rFonts w:eastAsia="DengXian"/>
              </w:rPr>
            </w:pPr>
          </w:p>
        </w:tc>
      </w:tr>
      <w:tr w:rsidR="00D67951" w14:paraId="78EDE8DA" w14:textId="77777777">
        <w:tc>
          <w:tcPr>
            <w:tcW w:w="1426" w:type="dxa"/>
            <w:shd w:val="clear" w:color="auto" w:fill="auto"/>
          </w:tcPr>
          <w:p w14:paraId="11538F34" w14:textId="77777777" w:rsidR="00D67951" w:rsidRDefault="00D67951" w:rsidP="00D67951">
            <w:pPr>
              <w:rPr>
                <w:rFonts w:eastAsia="DengXian"/>
              </w:rPr>
            </w:pPr>
          </w:p>
        </w:tc>
        <w:tc>
          <w:tcPr>
            <w:tcW w:w="2113" w:type="dxa"/>
            <w:shd w:val="clear" w:color="auto" w:fill="auto"/>
          </w:tcPr>
          <w:p w14:paraId="4DA978C9" w14:textId="77777777" w:rsidR="00D67951" w:rsidRDefault="00D67951" w:rsidP="00D67951">
            <w:pPr>
              <w:rPr>
                <w:rFonts w:eastAsia="DengXian"/>
              </w:rPr>
            </w:pPr>
          </w:p>
        </w:tc>
        <w:tc>
          <w:tcPr>
            <w:tcW w:w="5954" w:type="dxa"/>
            <w:shd w:val="clear" w:color="auto" w:fill="auto"/>
          </w:tcPr>
          <w:p w14:paraId="798B8804" w14:textId="77777777" w:rsidR="00D67951" w:rsidRDefault="00D67951" w:rsidP="00D67951">
            <w:pPr>
              <w:jc w:val="left"/>
              <w:rPr>
                <w:rFonts w:eastAsia="DengXian"/>
              </w:rPr>
            </w:pPr>
          </w:p>
        </w:tc>
      </w:tr>
      <w:tr w:rsidR="00D67951"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67951" w:rsidRDefault="00D67951" w:rsidP="00D67951">
            <w:pPr>
              <w:jc w:val="left"/>
              <w:rPr>
                <w:rFonts w:eastAsia="DengXian"/>
              </w:rPr>
            </w:pPr>
          </w:p>
        </w:tc>
      </w:tr>
      <w:tr w:rsidR="00D67951"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67951" w:rsidRDefault="00D67951" w:rsidP="00D67951">
            <w:pPr>
              <w:jc w:val="left"/>
              <w:rPr>
                <w:rFonts w:eastAsia="DengXian"/>
              </w:rPr>
            </w:pPr>
          </w:p>
        </w:tc>
      </w:tr>
      <w:tr w:rsidR="00D67951"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67951" w:rsidRDefault="00D67951" w:rsidP="00D67951">
            <w:pPr>
              <w:jc w:val="left"/>
              <w:rPr>
                <w:rFonts w:eastAsia="DengXian"/>
              </w:rPr>
            </w:pPr>
          </w:p>
        </w:tc>
      </w:tr>
      <w:tr w:rsidR="00D67951"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67951" w:rsidRDefault="00D67951" w:rsidP="00D67951">
            <w:pPr>
              <w:jc w:val="left"/>
              <w:rPr>
                <w:rFonts w:eastAsia="DengXian"/>
              </w:rPr>
            </w:pPr>
          </w:p>
        </w:tc>
      </w:tr>
      <w:tr w:rsidR="00D67951"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67951" w:rsidRDefault="00D67951" w:rsidP="00D67951">
            <w:pPr>
              <w:jc w:val="left"/>
              <w:rPr>
                <w:rFonts w:eastAsia="DengXian"/>
              </w:rPr>
            </w:pPr>
          </w:p>
        </w:tc>
      </w:tr>
      <w:tr w:rsidR="00D67951"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67951" w:rsidRDefault="00D67951" w:rsidP="00D67951">
            <w:pPr>
              <w:jc w:val="left"/>
              <w:rPr>
                <w:rFonts w:eastAsia="DengXian"/>
              </w:rPr>
            </w:pPr>
          </w:p>
        </w:tc>
      </w:tr>
      <w:tr w:rsidR="00D67951"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67951" w:rsidRDefault="00D67951" w:rsidP="00D67951">
            <w:pPr>
              <w:jc w:val="left"/>
              <w:rPr>
                <w:rFonts w:eastAsia="DengXian"/>
              </w:rPr>
            </w:pPr>
          </w:p>
        </w:tc>
      </w:tr>
      <w:tr w:rsidR="00D67951"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67951" w:rsidRDefault="00D67951" w:rsidP="00D67951">
            <w:pPr>
              <w:jc w:val="left"/>
              <w:rPr>
                <w:rFonts w:eastAsia="DengXian"/>
              </w:rPr>
            </w:pPr>
          </w:p>
        </w:tc>
      </w:tr>
    </w:tbl>
    <w:p w14:paraId="70FA544F" w14:textId="77777777" w:rsidR="00BE3AF6" w:rsidRDefault="00BE3AF6">
      <w:bookmarkStart w:id="16" w:name="_Hlk111539043"/>
      <w:bookmarkEnd w:id="9"/>
    </w:p>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w:t>
            </w:r>
            <w:proofErr w:type="gramStart"/>
            <w:r>
              <w:rPr>
                <w:rFonts w:eastAsia="Times New Roman"/>
                <w:lang w:eastAsia="ja-JP"/>
              </w:rPr>
              <w:t>T400;</w:t>
            </w:r>
            <w:proofErr w:type="gramEnd"/>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w:t>
            </w:r>
            <w:proofErr w:type="gramStart"/>
            <w:r>
              <w:rPr>
                <w:rFonts w:eastAsia="DengXian"/>
              </w:rPr>
              <w:t>cell</w:t>
            </w:r>
            <w:proofErr w:type="gramEnd"/>
            <w:r>
              <w:rPr>
                <w:rFonts w:eastAsia="DengXian"/>
              </w:rPr>
              <w:t xml:space="preserve"> we believe the timer should be stopped. </w:t>
            </w:r>
          </w:p>
          <w:p w14:paraId="1B98EC2F" w14:textId="2F97F3FA" w:rsidR="003F24C5" w:rsidRDefault="003F24C5" w:rsidP="003F24C5">
            <w:pPr>
              <w:rPr>
                <w:rFonts w:eastAsia="DengXian"/>
              </w:rPr>
            </w:pPr>
            <w:proofErr w:type="gramStart"/>
            <w:r>
              <w:rPr>
                <w:rFonts w:eastAsia="DengXian"/>
              </w:rPr>
              <w:t>So</w:t>
            </w:r>
            <w:proofErr w:type="gramEnd"/>
            <w:r>
              <w:rPr>
                <w:rFonts w:eastAsia="DengXian"/>
              </w:rPr>
              <w:t xml:space="preserve">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lastRenderedPageBreak/>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 xml:space="preserve">No need to force UE to stop T430 upon entering idle mode. It can leave </w:t>
            </w:r>
            <w:proofErr w:type="gramStart"/>
            <w:r>
              <w:rPr>
                <w:rFonts w:eastAsia="DengXian"/>
              </w:rPr>
              <w:t>to</w:t>
            </w:r>
            <w:proofErr w:type="gramEnd"/>
            <w:r>
              <w:rPr>
                <w:rFonts w:eastAsia="DengXian"/>
              </w:rPr>
              <w:t xml:space="preserve">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500647" w14:paraId="2A929F6B" w14:textId="77777777">
        <w:tc>
          <w:tcPr>
            <w:tcW w:w="1426" w:type="dxa"/>
            <w:shd w:val="clear" w:color="auto" w:fill="auto"/>
          </w:tcPr>
          <w:p w14:paraId="5DAA79C4" w14:textId="52099B8B" w:rsidR="00500647" w:rsidRDefault="00500647" w:rsidP="003F24C5">
            <w:pPr>
              <w:rPr>
                <w:rFonts w:eastAsia="DengXian"/>
              </w:rPr>
            </w:pPr>
            <w:r>
              <w:rPr>
                <w:rFonts w:eastAsia="DengXian" w:hint="eastAsia"/>
              </w:rPr>
              <w:t>CATT</w:t>
            </w:r>
          </w:p>
        </w:tc>
        <w:tc>
          <w:tcPr>
            <w:tcW w:w="2113" w:type="dxa"/>
            <w:shd w:val="clear" w:color="auto" w:fill="auto"/>
          </w:tcPr>
          <w:p w14:paraId="700E3B3A" w14:textId="55A0F637" w:rsidR="00500647" w:rsidRDefault="00500647" w:rsidP="003F24C5">
            <w:pPr>
              <w:rPr>
                <w:rFonts w:eastAsia="DengXian"/>
              </w:rPr>
            </w:pPr>
            <w:r>
              <w:rPr>
                <w:rFonts w:eastAsia="DengXian"/>
              </w:rPr>
              <w:t>D</w:t>
            </w:r>
            <w:r>
              <w:rPr>
                <w:rFonts w:eastAsia="DengXian" w:hint="eastAsia"/>
              </w:rPr>
              <w:t>isagree</w:t>
            </w:r>
          </w:p>
        </w:tc>
        <w:tc>
          <w:tcPr>
            <w:tcW w:w="5954" w:type="dxa"/>
            <w:shd w:val="clear" w:color="auto" w:fill="auto"/>
          </w:tcPr>
          <w:p w14:paraId="1B128A34" w14:textId="77777777" w:rsidR="00500647" w:rsidRDefault="00500647" w:rsidP="003C7C2D">
            <w:pPr>
              <w:rPr>
                <w:rFonts w:eastAsia="DengXian"/>
              </w:rPr>
            </w:pPr>
            <w:r>
              <w:rPr>
                <w:rFonts w:eastAsia="DengXian"/>
              </w:rPr>
              <w:t>I</w:t>
            </w:r>
            <w:r>
              <w:rPr>
                <w:rFonts w:eastAsia="DengXian" w:hint="eastAsia"/>
              </w:rPr>
              <w:t xml:space="preserve">n this section, UE will perform cell selection later, then the T430 will be stopped anyway. </w:t>
            </w:r>
            <w:r>
              <w:rPr>
                <w:rFonts w:eastAsia="DengXian"/>
              </w:rPr>
              <w:t>H</w:t>
            </w:r>
            <w:r>
              <w:rPr>
                <w:rFonts w:eastAsia="DengXian" w:hint="eastAsia"/>
              </w:rPr>
              <w:t>ence, there is no need to keep T430 running at this step.</w:t>
            </w:r>
          </w:p>
          <w:p w14:paraId="314CA7C9" w14:textId="77777777" w:rsidR="00500647" w:rsidRDefault="00500647" w:rsidP="003C7C2D">
            <w:pPr>
              <w:rPr>
                <w:rFonts w:eastAsia="DengXian"/>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roofErr w:type="gramStart"/>
            <w:r w:rsidRPr="0092480E">
              <w:rPr>
                <w:color w:val="FF0000"/>
              </w:rPr>
              <w:t>];</w:t>
            </w:r>
            <w:proofErr w:type="gramEnd"/>
          </w:p>
          <w:p w14:paraId="6D0316E7" w14:textId="77777777" w:rsidR="00500647" w:rsidRDefault="00500647"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DengXian"/>
              </w:rPr>
            </w:pPr>
            <w:r>
              <w:rPr>
                <w:rFonts w:eastAsia="DengXian"/>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DengXian"/>
              </w:rPr>
            </w:pPr>
            <w:r w:rsidRPr="00FB14A2">
              <w:rPr>
                <w:rFonts w:eastAsia="DengXian"/>
              </w:rPr>
              <w:t>If there is no requirement to maintain valid UL sync info in IDLE/INACTIVE, then if the UE shall not stop T430 when going to IDLE, could be interpreted as the opposite (</w:t>
            </w:r>
            <w:proofErr w:type="gramStart"/>
            <w:r w:rsidRPr="00FB14A2">
              <w:rPr>
                <w:rFonts w:eastAsia="DengXian"/>
              </w:rPr>
              <w:t>i.e.</w:t>
            </w:r>
            <w:proofErr w:type="gramEnd"/>
            <w:r w:rsidRPr="00FB14A2">
              <w:rPr>
                <w:rFonts w:eastAsia="DengXian"/>
              </w:rPr>
              <w:t xml:space="preserve"> as a requirement to maintain UL synch).</w:t>
            </w:r>
          </w:p>
        </w:tc>
      </w:tr>
      <w:tr w:rsidR="00D67951"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D67951" w:rsidRDefault="00D67951" w:rsidP="00D67951">
            <w:pPr>
              <w:jc w:val="left"/>
              <w:rPr>
                <w:rFonts w:eastAsia="DengXian"/>
              </w:rPr>
            </w:pPr>
          </w:p>
        </w:tc>
      </w:tr>
      <w:tr w:rsidR="00D67951"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67951" w:rsidRDefault="00D67951" w:rsidP="00D67951">
            <w:pPr>
              <w:jc w:val="left"/>
              <w:rPr>
                <w:rFonts w:eastAsia="DengXian"/>
              </w:rPr>
            </w:pPr>
          </w:p>
        </w:tc>
      </w:tr>
      <w:tr w:rsidR="00D67951"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D67951" w:rsidRDefault="00D67951" w:rsidP="00D67951">
            <w:pPr>
              <w:jc w:val="left"/>
              <w:rPr>
                <w:rFonts w:eastAsia="DengXian"/>
              </w:rPr>
            </w:pPr>
          </w:p>
        </w:tc>
      </w:tr>
      <w:tr w:rsidR="00D67951"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67951" w:rsidRDefault="00D67951" w:rsidP="00D67951">
            <w:pPr>
              <w:jc w:val="left"/>
              <w:rPr>
                <w:rFonts w:eastAsia="DengXian"/>
              </w:rPr>
            </w:pPr>
          </w:p>
        </w:tc>
      </w:tr>
      <w:tr w:rsidR="00D67951"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67951" w:rsidRDefault="00D67951" w:rsidP="00D67951">
            <w:pPr>
              <w:jc w:val="left"/>
              <w:rPr>
                <w:rFonts w:eastAsia="DengXian"/>
              </w:rPr>
            </w:pPr>
          </w:p>
        </w:tc>
      </w:tr>
      <w:tr w:rsidR="00D67951"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67951" w:rsidRDefault="00D67951" w:rsidP="00D6795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67951" w:rsidRDefault="00D67951" w:rsidP="00D67951">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lastRenderedPageBreak/>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w:t>
            </w:r>
            <w:proofErr w:type="gramStart"/>
            <w:r>
              <w:t>i.e.</w:t>
            </w:r>
            <w:proofErr w:type="gramEnd"/>
            <w:r>
              <w:t xml:space="preserve"> the SFN and sub-frame number indicated in this field refers to the SFN and sub-frame of the serving cell. In case of handover, this field is based on the timing of the target cell, </w:t>
            </w:r>
            <w:proofErr w:type="gramStart"/>
            <w:r>
              <w:t>i.e.</w:t>
            </w:r>
            <w:proofErr w:type="gramEnd"/>
            <w:r>
              <w:t xml:space="preserve"> the SFN and sub-frame number indicated in this field refers to the SFN and sub-frame of the target cell. </w:t>
            </w:r>
            <w:r>
              <w:rPr>
                <w:lang w:eastAsia="zh-CN"/>
              </w:rPr>
              <w:t xml:space="preserve">This field is excluded when determining changes in system information, </w:t>
            </w:r>
            <w:proofErr w:type="gramStart"/>
            <w:r>
              <w:rPr>
                <w:lang w:eastAsia="zh-CN"/>
              </w:rPr>
              <w:t>i.e.</w:t>
            </w:r>
            <w:proofErr w:type="gramEnd"/>
            <w:r>
              <w:rPr>
                <w:lang w:eastAsia="zh-CN"/>
              </w:rPr>
              <w:t xml:space="preserv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w:t>
      </w:r>
      <w:proofErr w:type="spellEnd"/>
      <w:r>
        <w:rPr>
          <w:i/>
          <w:lang w:val="en-US"/>
        </w:rPr>
        <w:t>-Config</w:t>
      </w:r>
      <w:r>
        <w:rPr>
          <w:lang w:val="en-US"/>
        </w:rPr>
        <w:t xml:space="preserve"> provided via </w:t>
      </w:r>
      <w:r>
        <w:rPr>
          <w:i/>
          <w:lang w:val="en-US"/>
        </w:rPr>
        <w:t>NTN-</w:t>
      </w:r>
      <w:proofErr w:type="spellStart"/>
      <w:r>
        <w:rPr>
          <w:i/>
          <w:lang w:val="en-US"/>
        </w:rPr>
        <w:t>NeighCellConfig</w:t>
      </w:r>
      <w:proofErr w:type="spellEnd"/>
      <w:r>
        <w:rPr>
          <w:lang w:val="en-US"/>
        </w:rPr>
        <w:t xml:space="preserve">, the UE uses epoch time for serving </w:t>
      </w:r>
      <w:proofErr w:type="gramStart"/>
      <w:r>
        <w:rPr>
          <w:lang w:val="en-US"/>
        </w:rPr>
        <w:t>cell;</w:t>
      </w:r>
      <w:proofErr w:type="gramEnd"/>
    </w:p>
    <w:p w14:paraId="06F3B4E9" w14:textId="77777777" w:rsidR="00AD5850" w:rsidRDefault="00AD5850" w:rsidP="00AD5850">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w:t>
      </w:r>
      <w:proofErr w:type="gramStart"/>
      <w:r>
        <w:t>scheduled;</w:t>
      </w:r>
      <w:proofErr w:type="gramEnd"/>
    </w:p>
    <w:p w14:paraId="4E6FF083" w14:textId="77777777" w:rsidR="00AD5850" w:rsidRDefault="00AD5850" w:rsidP="00AD5850">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proofErr w:type="spellStart"/>
            <w:r>
              <w:rPr>
                <w:rFonts w:eastAsia="DengXian"/>
              </w:rPr>
              <w:t>Neighbor</w:t>
            </w:r>
            <w:proofErr w:type="spellEnd"/>
            <w:r>
              <w:rPr>
                <w:rFonts w:eastAsia="DengXian"/>
              </w:rPr>
              <w:t xml:space="preserve"> cell anyway </w:t>
            </w:r>
            <w:proofErr w:type="gramStart"/>
            <w:r>
              <w:rPr>
                <w:rFonts w:eastAsia="DengXian"/>
              </w:rPr>
              <w:t>has to</w:t>
            </w:r>
            <w:proofErr w:type="gramEnd"/>
            <w:r>
              <w:rPr>
                <w:rFonts w:eastAsia="DengXian"/>
              </w:rPr>
              <w:t xml:space="preserve">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w:t>
            </w:r>
            <w:proofErr w:type="spellEnd"/>
            <w:r w:rsidRPr="0015402E">
              <w:rPr>
                <w:i/>
                <w:lang w:val="en-US"/>
              </w:rPr>
              <w:t>-Config</w:t>
            </w:r>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DengXian"/>
              </w:rPr>
            </w:pPr>
            <w:r>
              <w:rPr>
                <w:rFonts w:eastAsia="DengXian" w:hint="eastAsia"/>
              </w:rPr>
              <w:t>CATT</w:t>
            </w:r>
          </w:p>
        </w:tc>
        <w:tc>
          <w:tcPr>
            <w:tcW w:w="2113" w:type="dxa"/>
            <w:shd w:val="clear" w:color="auto" w:fill="auto"/>
          </w:tcPr>
          <w:p w14:paraId="4453E154" w14:textId="6CF4E614" w:rsidR="008C3691" w:rsidRDefault="008C3691" w:rsidP="004B5817">
            <w:pPr>
              <w:rPr>
                <w:rFonts w:eastAsia="DengXian"/>
              </w:rPr>
            </w:pPr>
            <w:r>
              <w:rPr>
                <w:rFonts w:eastAsia="DengXian"/>
              </w:rPr>
              <w:t>A</w:t>
            </w:r>
            <w:r>
              <w:rPr>
                <w:rFonts w:eastAsia="DengXian" w:hint="eastAsia"/>
              </w:rPr>
              <w:t>gree</w:t>
            </w:r>
          </w:p>
        </w:tc>
        <w:tc>
          <w:tcPr>
            <w:tcW w:w="5954" w:type="dxa"/>
            <w:shd w:val="clear" w:color="auto" w:fill="auto"/>
          </w:tcPr>
          <w:p w14:paraId="60F82E41" w14:textId="0A2B80C5" w:rsidR="008C3691" w:rsidRDefault="008C3691" w:rsidP="004B5817">
            <w:pPr>
              <w:jc w:val="left"/>
              <w:rPr>
                <w:rFonts w:eastAsia="DengXian"/>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lastRenderedPageBreak/>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DengXian"/>
              </w:rPr>
            </w:pPr>
            <w:r>
              <w:rPr>
                <w:rFonts w:eastAsia="DengXian"/>
              </w:rPr>
              <w:t>Ericsson</w:t>
            </w:r>
          </w:p>
        </w:tc>
        <w:tc>
          <w:tcPr>
            <w:tcW w:w="2113" w:type="dxa"/>
            <w:shd w:val="clear" w:color="auto" w:fill="auto"/>
          </w:tcPr>
          <w:p w14:paraId="17CD7FD7" w14:textId="487A7AE2" w:rsidR="00D67951" w:rsidRDefault="00D67951" w:rsidP="00D67951">
            <w:pPr>
              <w:rPr>
                <w:rFonts w:eastAsia="DengXian"/>
              </w:rPr>
            </w:pPr>
            <w:r>
              <w:rPr>
                <w:rFonts w:eastAsia="DengXian"/>
              </w:rPr>
              <w:t>Agree</w:t>
            </w:r>
          </w:p>
        </w:tc>
        <w:tc>
          <w:tcPr>
            <w:tcW w:w="5954" w:type="dxa"/>
            <w:shd w:val="clear" w:color="auto" w:fill="auto"/>
          </w:tcPr>
          <w:p w14:paraId="41AE286F" w14:textId="1DC9151B" w:rsidR="00D67951" w:rsidRDefault="00D67951" w:rsidP="00D67951">
            <w:pPr>
              <w:rPr>
                <w:rFonts w:eastAsia="DengXian"/>
              </w:rPr>
            </w:pPr>
            <w:r>
              <w:rPr>
                <w:rFonts w:eastAsia="DengXian"/>
              </w:rPr>
              <w:t>Agree with QC, this is already clear from the spec.</w:t>
            </w:r>
          </w:p>
        </w:tc>
      </w:tr>
      <w:tr w:rsidR="00D67951" w14:paraId="4E4B0BAB" w14:textId="77777777" w:rsidTr="004B5817">
        <w:tc>
          <w:tcPr>
            <w:tcW w:w="1426" w:type="dxa"/>
            <w:shd w:val="clear" w:color="auto" w:fill="auto"/>
          </w:tcPr>
          <w:p w14:paraId="4F51B524" w14:textId="77777777" w:rsidR="00D67951" w:rsidRDefault="00D67951" w:rsidP="00D67951">
            <w:pPr>
              <w:rPr>
                <w:rFonts w:eastAsia="DengXian"/>
              </w:rPr>
            </w:pPr>
          </w:p>
        </w:tc>
        <w:tc>
          <w:tcPr>
            <w:tcW w:w="2113" w:type="dxa"/>
            <w:shd w:val="clear" w:color="auto" w:fill="auto"/>
          </w:tcPr>
          <w:p w14:paraId="0C9F0278" w14:textId="77777777" w:rsidR="00D67951" w:rsidRDefault="00D67951" w:rsidP="00D67951">
            <w:pPr>
              <w:rPr>
                <w:rFonts w:eastAsia="DengXian"/>
              </w:rPr>
            </w:pPr>
          </w:p>
        </w:tc>
        <w:tc>
          <w:tcPr>
            <w:tcW w:w="5954" w:type="dxa"/>
            <w:shd w:val="clear" w:color="auto" w:fill="auto"/>
          </w:tcPr>
          <w:p w14:paraId="4B2E67A5" w14:textId="77777777" w:rsidR="00D67951" w:rsidRDefault="00D67951" w:rsidP="00D67951">
            <w:pPr>
              <w:rPr>
                <w:rFonts w:eastAsia="DengXian"/>
              </w:rPr>
            </w:pPr>
          </w:p>
        </w:tc>
      </w:tr>
      <w:tr w:rsidR="00D67951"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D67951" w:rsidRDefault="00D67951" w:rsidP="00D67951">
            <w:pPr>
              <w:rPr>
                <w:rFonts w:eastAsia="DengXian"/>
              </w:rPr>
            </w:pPr>
          </w:p>
        </w:tc>
      </w:tr>
      <w:tr w:rsidR="00D67951"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D67951" w:rsidRDefault="00D67951" w:rsidP="00D67951">
            <w:pPr>
              <w:rPr>
                <w:rFonts w:eastAsia="DengXian"/>
              </w:rPr>
            </w:pPr>
          </w:p>
        </w:tc>
      </w:tr>
      <w:tr w:rsidR="00D67951"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D67951" w:rsidRDefault="00D67951" w:rsidP="00D67951">
            <w:pPr>
              <w:rPr>
                <w:rFonts w:eastAsia="DengXian"/>
              </w:rPr>
            </w:pPr>
          </w:p>
        </w:tc>
      </w:tr>
      <w:tr w:rsidR="00D67951"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D67951" w:rsidRDefault="00D67951" w:rsidP="00D67951">
            <w:pPr>
              <w:rPr>
                <w:rFonts w:eastAsia="DengXian"/>
              </w:rPr>
            </w:pPr>
          </w:p>
        </w:tc>
      </w:tr>
      <w:tr w:rsidR="00D67951"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D67951" w:rsidRDefault="00D67951" w:rsidP="00D67951">
            <w:pPr>
              <w:rPr>
                <w:rFonts w:eastAsia="DengXian"/>
              </w:rPr>
            </w:pPr>
          </w:p>
        </w:tc>
      </w:tr>
      <w:tr w:rsidR="00D67951"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D67951" w:rsidRDefault="00D67951" w:rsidP="00D67951">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proofErr w:type="spellStart"/>
            <w:r>
              <w:rPr>
                <w:rFonts w:eastAsia="DengXian"/>
              </w:rPr>
              <w:lastRenderedPageBreak/>
              <w:t>ASUSTeK</w:t>
            </w:r>
            <w:proofErr w:type="spellEnd"/>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DengXian"/>
              </w:rPr>
            </w:pPr>
            <w:r>
              <w:rPr>
                <w:rFonts w:eastAsia="DengXian" w:hint="eastAsia"/>
              </w:rPr>
              <w:t>CATT</w:t>
            </w:r>
          </w:p>
        </w:tc>
        <w:tc>
          <w:tcPr>
            <w:tcW w:w="2113" w:type="dxa"/>
            <w:shd w:val="clear" w:color="auto" w:fill="auto"/>
          </w:tcPr>
          <w:p w14:paraId="6C89D709" w14:textId="5F02A4C3" w:rsidR="009F7772" w:rsidRDefault="009F7772" w:rsidP="00A93622">
            <w:pPr>
              <w:rPr>
                <w:rFonts w:eastAsia="DengXian"/>
              </w:rPr>
            </w:pPr>
            <w:r>
              <w:rPr>
                <w:rFonts w:eastAsia="DengXian"/>
              </w:rPr>
              <w:t>A</w:t>
            </w:r>
            <w:r>
              <w:rPr>
                <w:rFonts w:eastAsia="DengXian"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DengXian"/>
              </w:rPr>
            </w:pPr>
            <w:r>
              <w:rPr>
                <w:rFonts w:eastAsia="DengXian"/>
              </w:rPr>
              <w:t>Ericsson</w:t>
            </w:r>
          </w:p>
        </w:tc>
        <w:tc>
          <w:tcPr>
            <w:tcW w:w="2113" w:type="dxa"/>
            <w:shd w:val="clear" w:color="auto" w:fill="auto"/>
          </w:tcPr>
          <w:p w14:paraId="4A338272" w14:textId="6297AFC1" w:rsidR="00D67951" w:rsidRDefault="00D67951" w:rsidP="00D67951">
            <w:pPr>
              <w:rPr>
                <w:rFonts w:eastAsia="DengXian"/>
              </w:rPr>
            </w:pPr>
            <w:r>
              <w:rPr>
                <w:rFonts w:eastAsia="DengXian"/>
              </w:rPr>
              <w:t>Agree</w:t>
            </w:r>
          </w:p>
        </w:tc>
        <w:tc>
          <w:tcPr>
            <w:tcW w:w="5954" w:type="dxa"/>
            <w:shd w:val="clear" w:color="auto" w:fill="auto"/>
          </w:tcPr>
          <w:p w14:paraId="35201BB1" w14:textId="77777777" w:rsidR="00D67951" w:rsidRDefault="00D67951" w:rsidP="00D67951">
            <w:pPr>
              <w:rPr>
                <w:rFonts w:eastAsia="DengXian"/>
              </w:rPr>
            </w:pPr>
          </w:p>
        </w:tc>
      </w:tr>
      <w:tr w:rsidR="00D67951" w14:paraId="054E941E" w14:textId="77777777" w:rsidTr="004B5817">
        <w:tc>
          <w:tcPr>
            <w:tcW w:w="1426" w:type="dxa"/>
            <w:shd w:val="clear" w:color="auto" w:fill="auto"/>
          </w:tcPr>
          <w:p w14:paraId="5F400FB3" w14:textId="77777777" w:rsidR="00D67951" w:rsidRDefault="00D67951" w:rsidP="00D67951">
            <w:pPr>
              <w:rPr>
                <w:rFonts w:eastAsia="DengXian"/>
              </w:rPr>
            </w:pPr>
          </w:p>
        </w:tc>
        <w:tc>
          <w:tcPr>
            <w:tcW w:w="2113" w:type="dxa"/>
            <w:shd w:val="clear" w:color="auto" w:fill="auto"/>
          </w:tcPr>
          <w:p w14:paraId="37A71D2B" w14:textId="77777777" w:rsidR="00D67951" w:rsidRDefault="00D67951" w:rsidP="00D67951">
            <w:pPr>
              <w:rPr>
                <w:rFonts w:eastAsia="DengXian"/>
              </w:rPr>
            </w:pPr>
          </w:p>
        </w:tc>
        <w:tc>
          <w:tcPr>
            <w:tcW w:w="5954" w:type="dxa"/>
            <w:shd w:val="clear" w:color="auto" w:fill="auto"/>
          </w:tcPr>
          <w:p w14:paraId="2116DDFA" w14:textId="77777777" w:rsidR="00D67951" w:rsidRDefault="00D67951" w:rsidP="00D67951">
            <w:pPr>
              <w:rPr>
                <w:rFonts w:eastAsia="DengXian"/>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D67951"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D67951" w:rsidRDefault="00D67951" w:rsidP="00D67951">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w:t>
      </w:r>
      <w:proofErr w:type="gramStart"/>
      <w:r>
        <w:t>i.e.</w:t>
      </w:r>
      <w:proofErr w:type="gramEnd"/>
      <w:r>
        <w:t xml:space="preserv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During HO, the target cell’s epoch time (</w:t>
            </w:r>
            <w:proofErr w:type="gramStart"/>
            <w:r>
              <w:t>i.e.</w:t>
            </w:r>
            <w:proofErr w:type="gramEnd"/>
            <w:r>
              <w:t xml:space="preserv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w:t>
      </w:r>
      <w:proofErr w:type="gramStart"/>
      <w:r>
        <w:t>similar to</w:t>
      </w:r>
      <w:proofErr w:type="gramEnd"/>
      <w:r>
        <w:t xml:space="preserve">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lastRenderedPageBreak/>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 xml:space="preserve">When UE receives the HO message, UE needs to remember the time t1 where message is received. Now when UE executes the HO at time t2, it knows what was target SFN at t1. </w:t>
            </w:r>
            <w:proofErr w:type="gramStart"/>
            <w:r>
              <w:rPr>
                <w:rFonts w:eastAsia="DengXian"/>
              </w:rPr>
              <w:t>So</w:t>
            </w:r>
            <w:proofErr w:type="gramEnd"/>
            <w:r>
              <w:rPr>
                <w:rFonts w:eastAsia="DengXian"/>
              </w:rPr>
              <w:t xml:space="preserve">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DengXian"/>
              </w:rPr>
            </w:pPr>
            <w:r>
              <w:rPr>
                <w:rFonts w:eastAsia="DengXian" w:hint="eastAsia"/>
              </w:rPr>
              <w:t>CATT</w:t>
            </w:r>
          </w:p>
        </w:tc>
        <w:tc>
          <w:tcPr>
            <w:tcW w:w="2113" w:type="dxa"/>
            <w:shd w:val="clear" w:color="auto" w:fill="auto"/>
          </w:tcPr>
          <w:p w14:paraId="6721CF0D" w14:textId="0F71064E" w:rsidR="00316AA6" w:rsidRDefault="00316AA6" w:rsidP="004F1AE2">
            <w:pPr>
              <w:rPr>
                <w:rFonts w:eastAsia="DengXian"/>
              </w:rPr>
            </w:pPr>
            <w:r>
              <w:rPr>
                <w:rFonts w:eastAsia="DengXian"/>
              </w:rPr>
              <w:t>O</w:t>
            </w:r>
            <w:r>
              <w:rPr>
                <w:rFonts w:eastAsia="DengXian"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w:t>
            </w:r>
            <w:proofErr w:type="gramStart"/>
            <w:r>
              <w:rPr>
                <w:rFonts w:eastAsiaTheme="minorEastAsia" w:hint="eastAsia"/>
              </w:rPr>
              <w:t>more simple</w:t>
            </w:r>
            <w:proofErr w:type="gramEnd"/>
            <w:r>
              <w:rPr>
                <w:rFonts w:eastAsiaTheme="minorEastAsia" w:hint="eastAsia"/>
              </w:rPr>
              <w:t xml:space="preserv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DengXian"/>
              </w:rPr>
            </w:pPr>
            <w:r>
              <w:rPr>
                <w:rFonts w:eastAsia="DengXian"/>
              </w:rPr>
              <w:lastRenderedPageBreak/>
              <w:t>Ericsson</w:t>
            </w:r>
          </w:p>
        </w:tc>
        <w:tc>
          <w:tcPr>
            <w:tcW w:w="2113" w:type="dxa"/>
            <w:shd w:val="clear" w:color="auto" w:fill="auto"/>
          </w:tcPr>
          <w:p w14:paraId="5F483C3A" w14:textId="4AA569E0" w:rsidR="00D67951" w:rsidRDefault="00D67951" w:rsidP="00D67951">
            <w:pPr>
              <w:rPr>
                <w:rFonts w:eastAsia="DengXian"/>
              </w:rPr>
            </w:pPr>
            <w:r>
              <w:rPr>
                <w:rFonts w:eastAsia="DengXian"/>
              </w:rPr>
              <w:t>Option 5</w:t>
            </w:r>
          </w:p>
        </w:tc>
        <w:tc>
          <w:tcPr>
            <w:tcW w:w="5954" w:type="dxa"/>
            <w:shd w:val="clear" w:color="auto" w:fill="auto"/>
          </w:tcPr>
          <w:p w14:paraId="6F5B099C" w14:textId="77777777" w:rsidR="00D67951" w:rsidRDefault="00D67951" w:rsidP="00D67951">
            <w:pPr>
              <w:rPr>
                <w:rFonts w:eastAsia="DengXian"/>
              </w:rPr>
            </w:pPr>
            <w:r>
              <w:rPr>
                <w:rFonts w:eastAsia="DengXian"/>
              </w:rPr>
              <w:t xml:space="preserve">We agree with QC. </w:t>
            </w:r>
          </w:p>
          <w:p w14:paraId="713B67C4" w14:textId="77777777" w:rsidR="00D67951" w:rsidRDefault="00D67951" w:rsidP="00D67951">
            <w:pPr>
              <w:rPr>
                <w:rFonts w:eastAsia="DengXian"/>
              </w:rPr>
            </w:pPr>
          </w:p>
        </w:tc>
      </w:tr>
      <w:tr w:rsidR="00D67951" w14:paraId="25A9A4DE" w14:textId="77777777" w:rsidTr="004B5817">
        <w:tc>
          <w:tcPr>
            <w:tcW w:w="1426" w:type="dxa"/>
            <w:shd w:val="clear" w:color="auto" w:fill="auto"/>
          </w:tcPr>
          <w:p w14:paraId="5D4FE04A" w14:textId="77777777" w:rsidR="00D67951" w:rsidRDefault="00D67951" w:rsidP="00D67951">
            <w:pPr>
              <w:rPr>
                <w:rFonts w:eastAsia="DengXian"/>
              </w:rPr>
            </w:pPr>
          </w:p>
        </w:tc>
        <w:tc>
          <w:tcPr>
            <w:tcW w:w="2113" w:type="dxa"/>
            <w:shd w:val="clear" w:color="auto" w:fill="auto"/>
          </w:tcPr>
          <w:p w14:paraId="5C5C53A5" w14:textId="77777777" w:rsidR="00D67951" w:rsidRDefault="00D67951" w:rsidP="00D67951">
            <w:pPr>
              <w:rPr>
                <w:rFonts w:eastAsia="DengXian"/>
              </w:rPr>
            </w:pPr>
          </w:p>
        </w:tc>
        <w:tc>
          <w:tcPr>
            <w:tcW w:w="5954" w:type="dxa"/>
            <w:shd w:val="clear" w:color="auto" w:fill="auto"/>
          </w:tcPr>
          <w:p w14:paraId="5D01B5D5" w14:textId="77777777" w:rsidR="00D67951" w:rsidRDefault="00D67951" w:rsidP="00D67951">
            <w:pPr>
              <w:rPr>
                <w:rFonts w:eastAsia="DengXian"/>
              </w:rPr>
            </w:pPr>
          </w:p>
        </w:tc>
      </w:tr>
      <w:tr w:rsidR="00D67951"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D67951" w:rsidRDefault="00D67951" w:rsidP="00D67951">
            <w:pPr>
              <w:rPr>
                <w:rFonts w:eastAsiaTheme="minorEastAsia"/>
              </w:rPr>
            </w:pPr>
          </w:p>
        </w:tc>
      </w:tr>
      <w:tr w:rsidR="00D67951"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D67951" w:rsidRDefault="00D67951" w:rsidP="00D67951">
            <w:pPr>
              <w:rPr>
                <w:rFonts w:eastAsiaTheme="minorEastAsia"/>
              </w:rPr>
            </w:pPr>
          </w:p>
        </w:tc>
      </w:tr>
      <w:tr w:rsidR="00D67951"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D67951" w:rsidRDefault="00D67951" w:rsidP="00D67951">
            <w:pPr>
              <w:rPr>
                <w:rFonts w:eastAsiaTheme="minorEastAsia"/>
              </w:rPr>
            </w:pPr>
          </w:p>
        </w:tc>
      </w:tr>
      <w:tr w:rsidR="00D67951"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D67951" w:rsidRDefault="00D67951" w:rsidP="00D67951">
            <w:pPr>
              <w:rPr>
                <w:rFonts w:eastAsiaTheme="minorEastAsia"/>
              </w:rPr>
            </w:pPr>
          </w:p>
        </w:tc>
      </w:tr>
      <w:tr w:rsidR="00D67951"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D67951" w:rsidRDefault="00D67951" w:rsidP="00D67951">
            <w:pPr>
              <w:rPr>
                <w:rFonts w:eastAsiaTheme="minorEastAsia"/>
              </w:rPr>
            </w:pPr>
          </w:p>
        </w:tc>
      </w:tr>
      <w:tr w:rsidR="00D67951"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D67951" w:rsidRDefault="00D67951" w:rsidP="00D67951">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t>
            </w:r>
            <w:proofErr w:type="gramStart"/>
            <w:r>
              <w:rPr>
                <w:rFonts w:eastAsia="DengXian"/>
              </w:rPr>
              <w:t>would</w:t>
            </w:r>
            <w:proofErr w:type="gramEnd"/>
            <w:r>
              <w:rPr>
                <w:rFonts w:eastAsia="DengXian"/>
              </w:rPr>
              <w:t xml:space="preserve">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DengXian"/>
              </w:rPr>
            </w:pPr>
            <w:r>
              <w:rPr>
                <w:rFonts w:eastAsia="DengXian" w:hint="eastAsia"/>
              </w:rPr>
              <w:t>CATT</w:t>
            </w:r>
          </w:p>
        </w:tc>
        <w:tc>
          <w:tcPr>
            <w:tcW w:w="2113" w:type="dxa"/>
            <w:shd w:val="clear" w:color="auto" w:fill="auto"/>
          </w:tcPr>
          <w:p w14:paraId="24154428" w14:textId="3A8DF205" w:rsidR="0072153F" w:rsidRDefault="0072153F" w:rsidP="004F1AE2">
            <w:pPr>
              <w:rPr>
                <w:rFonts w:eastAsia="DengXian"/>
              </w:rPr>
            </w:pPr>
            <w:r>
              <w:rPr>
                <w:rFonts w:eastAsia="DengXian"/>
              </w:rPr>
              <w:t>O</w:t>
            </w:r>
            <w:r>
              <w:rPr>
                <w:rFonts w:eastAsia="DengXian"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w:t>
            </w:r>
            <w:proofErr w:type="spellStart"/>
            <w:r>
              <w:rPr>
                <w:rFonts w:eastAsiaTheme="minorEastAsia" w:hint="eastAsia"/>
              </w:rPr>
              <w:t>ntn</w:t>
            </w:r>
            <w:proofErr w:type="spellEnd"/>
            <w:r>
              <w:rPr>
                <w:rFonts w:eastAsiaTheme="minorEastAsia" w:hint="eastAsia"/>
              </w:rPr>
              <w:t>-config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xml:space="preserve">, </w:t>
            </w:r>
            <w:proofErr w:type="gramStart"/>
            <w:r>
              <w:rPr>
                <w:rFonts w:eastAsiaTheme="minorEastAsia" w:hint="eastAsia"/>
              </w:rPr>
              <w:t>i.e.</w:t>
            </w:r>
            <w:proofErr w:type="gramEnd"/>
            <w:r>
              <w:rPr>
                <w:rFonts w:eastAsiaTheme="minorEastAsia" w:hint="eastAsia"/>
              </w:rPr>
              <w:t xml:space="preserv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DengXian"/>
              </w:rPr>
            </w:pPr>
            <w:r>
              <w:rPr>
                <w:rFonts w:eastAsia="DengXian"/>
              </w:rPr>
              <w:t>Ericsson</w:t>
            </w:r>
          </w:p>
        </w:tc>
        <w:tc>
          <w:tcPr>
            <w:tcW w:w="2113" w:type="dxa"/>
            <w:shd w:val="clear" w:color="auto" w:fill="auto"/>
          </w:tcPr>
          <w:p w14:paraId="6E3B4F54" w14:textId="51D9734B" w:rsidR="00D67951" w:rsidRDefault="00D67951" w:rsidP="00D67951">
            <w:pPr>
              <w:rPr>
                <w:rFonts w:eastAsia="DengXian"/>
              </w:rPr>
            </w:pPr>
            <w:r>
              <w:rPr>
                <w:rFonts w:eastAsia="DengXian"/>
              </w:rPr>
              <w:t>Option 5</w:t>
            </w:r>
          </w:p>
        </w:tc>
        <w:tc>
          <w:tcPr>
            <w:tcW w:w="5954" w:type="dxa"/>
            <w:shd w:val="clear" w:color="auto" w:fill="auto"/>
          </w:tcPr>
          <w:p w14:paraId="745F3722" w14:textId="201C2C55" w:rsidR="00D67951" w:rsidRDefault="00D67951" w:rsidP="00D67951">
            <w:pPr>
              <w:rPr>
                <w:rFonts w:eastAsia="DengXian"/>
              </w:rPr>
            </w:pPr>
            <w:r>
              <w:rPr>
                <w:rFonts w:eastAsia="DengXian"/>
              </w:rPr>
              <w:t>Same as Q10 and share QCs view.</w:t>
            </w:r>
          </w:p>
        </w:tc>
      </w:tr>
      <w:tr w:rsidR="00D67951" w14:paraId="4DA2AB1F" w14:textId="77777777" w:rsidTr="004B5817">
        <w:tc>
          <w:tcPr>
            <w:tcW w:w="1426" w:type="dxa"/>
            <w:shd w:val="clear" w:color="auto" w:fill="auto"/>
          </w:tcPr>
          <w:p w14:paraId="52269167" w14:textId="77777777" w:rsidR="00D67951" w:rsidRDefault="00D67951" w:rsidP="00D67951">
            <w:pPr>
              <w:rPr>
                <w:rFonts w:eastAsia="DengXian"/>
              </w:rPr>
            </w:pPr>
          </w:p>
        </w:tc>
        <w:tc>
          <w:tcPr>
            <w:tcW w:w="2113" w:type="dxa"/>
            <w:shd w:val="clear" w:color="auto" w:fill="auto"/>
          </w:tcPr>
          <w:p w14:paraId="2CA503AC" w14:textId="77777777" w:rsidR="00D67951" w:rsidRDefault="00D67951" w:rsidP="00D67951">
            <w:pPr>
              <w:rPr>
                <w:rFonts w:eastAsia="DengXian"/>
              </w:rPr>
            </w:pPr>
          </w:p>
        </w:tc>
        <w:tc>
          <w:tcPr>
            <w:tcW w:w="5954" w:type="dxa"/>
            <w:shd w:val="clear" w:color="auto" w:fill="auto"/>
          </w:tcPr>
          <w:p w14:paraId="518A9C80" w14:textId="77777777" w:rsidR="00D67951" w:rsidRDefault="00D67951" w:rsidP="00D67951">
            <w:pPr>
              <w:rPr>
                <w:rFonts w:eastAsia="DengXian"/>
              </w:rPr>
            </w:pPr>
          </w:p>
        </w:tc>
      </w:tr>
      <w:tr w:rsidR="00D67951"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D67951" w:rsidRDefault="00D67951" w:rsidP="00D67951">
            <w:pPr>
              <w:rPr>
                <w:rFonts w:eastAsiaTheme="minorEastAsia"/>
              </w:rPr>
            </w:pPr>
          </w:p>
        </w:tc>
      </w:tr>
      <w:tr w:rsidR="00D67951"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D67951" w:rsidRDefault="00D67951" w:rsidP="00D67951">
            <w:pPr>
              <w:rPr>
                <w:rFonts w:eastAsiaTheme="minorEastAsia"/>
              </w:rPr>
            </w:pPr>
          </w:p>
        </w:tc>
      </w:tr>
      <w:tr w:rsidR="00D67951"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D67951" w:rsidRDefault="00D67951" w:rsidP="00D67951">
            <w:pPr>
              <w:rPr>
                <w:rFonts w:eastAsiaTheme="minorEastAsia"/>
              </w:rPr>
            </w:pPr>
          </w:p>
        </w:tc>
      </w:tr>
      <w:tr w:rsidR="00D67951"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D67951" w:rsidRDefault="00D67951" w:rsidP="00D67951">
            <w:pPr>
              <w:rPr>
                <w:rFonts w:eastAsiaTheme="minorEastAsia"/>
              </w:rPr>
            </w:pPr>
          </w:p>
        </w:tc>
      </w:tr>
      <w:tr w:rsidR="00D67951"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D67951" w:rsidRDefault="00D67951" w:rsidP="00D67951">
            <w:pPr>
              <w:rPr>
                <w:rFonts w:eastAsiaTheme="minorEastAsia"/>
              </w:rPr>
            </w:pPr>
          </w:p>
        </w:tc>
      </w:tr>
      <w:tr w:rsidR="00D67951"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D67951" w:rsidRDefault="00D67951" w:rsidP="00D67951">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Heading3"/>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 xml:space="preserve">We made this comment before, the validity duration should be present even for dedicated signalling case and we should not have the </w:t>
            </w:r>
            <w:proofErr w:type="spellStart"/>
            <w:r>
              <w:rPr>
                <w:rFonts w:eastAsia="DengXian"/>
              </w:rPr>
              <w:t>cond</w:t>
            </w:r>
            <w:proofErr w:type="spellEnd"/>
            <w:r>
              <w:rPr>
                <w:rFonts w:eastAsia="DengXian"/>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w:t>
            </w:r>
            <w:r w:rsidRPr="00764AE3">
              <w:rPr>
                <w:rFonts w:eastAsia="DengXian"/>
              </w:rPr>
              <w:lastRenderedPageBreak/>
              <w:t xml:space="preserve">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w:t>
            </w:r>
            <w:proofErr w:type="gramStart"/>
            <w:r>
              <w:rPr>
                <w:rFonts w:eastAsia="PMingLiU"/>
                <w:lang w:eastAsia="zh-TW"/>
              </w:rPr>
              <w:t>similar to</w:t>
            </w:r>
            <w:proofErr w:type="gramEnd"/>
            <w:r>
              <w:rPr>
                <w:rFonts w:eastAsia="PMingLiU"/>
                <w:lang w:eastAsia="zh-TW"/>
              </w:rPr>
              <w:t xml:space="preserve">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DengXian"/>
                <w:i/>
                <w:iCs/>
              </w:rPr>
              <w:t>ntn-UlSyncValidityDuration</w:t>
            </w:r>
            <w:proofErr w:type="spellEnd"/>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t>Intel</w:t>
            </w:r>
          </w:p>
        </w:tc>
        <w:tc>
          <w:tcPr>
            <w:tcW w:w="2113" w:type="dxa"/>
            <w:shd w:val="clear" w:color="auto" w:fill="auto"/>
          </w:tcPr>
          <w:p w14:paraId="39E14852" w14:textId="0E7BEB24" w:rsidR="004F1AE2" w:rsidRDefault="004F1AE2" w:rsidP="004F1AE2">
            <w:pPr>
              <w:rPr>
                <w:rFonts w:eastAsia="DengXian"/>
              </w:rPr>
            </w:pPr>
            <w:r>
              <w:rPr>
                <w:rFonts w:eastAsia="DengXian"/>
              </w:rPr>
              <w:t>Disagree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DengXian"/>
              </w:rPr>
            </w:pPr>
            <w:r>
              <w:rPr>
                <w:rFonts w:eastAsia="DengXian" w:hint="eastAsia"/>
              </w:rPr>
              <w:t>CATT</w:t>
            </w:r>
          </w:p>
        </w:tc>
        <w:tc>
          <w:tcPr>
            <w:tcW w:w="2113" w:type="dxa"/>
            <w:shd w:val="clear" w:color="auto" w:fill="auto"/>
          </w:tcPr>
          <w:p w14:paraId="6E91C023" w14:textId="2E01AD44" w:rsidR="003A0854" w:rsidRDefault="003A0854" w:rsidP="004F1AE2">
            <w:pPr>
              <w:rPr>
                <w:rFonts w:eastAsia="DengXian"/>
              </w:rPr>
            </w:pPr>
            <w:r>
              <w:rPr>
                <w:rFonts w:eastAsia="DengXian"/>
              </w:rPr>
              <w:t>D</w:t>
            </w:r>
            <w:r>
              <w:rPr>
                <w:rFonts w:eastAsia="DengXian"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DengXian"/>
              </w:rPr>
              <w:t>The</w:t>
            </w:r>
            <w:r>
              <w:rPr>
                <w:rFonts w:eastAsia="DengXian" w:hint="eastAsia"/>
              </w:rPr>
              <w:t xml:space="preserve"> validity duration is generated by target cell, and target cell may </w:t>
            </w:r>
            <w:proofErr w:type="gramStart"/>
            <w:r>
              <w:rPr>
                <w:rFonts w:eastAsia="DengXian" w:hint="eastAsia"/>
              </w:rPr>
              <w:t>has</w:t>
            </w:r>
            <w:proofErr w:type="gramEnd"/>
            <w:r>
              <w:rPr>
                <w:rFonts w:eastAsia="DengXian" w:hint="eastAsia"/>
              </w:rPr>
              <w:t xml:space="preserve"> no idea of </w:t>
            </w:r>
            <w:r>
              <w:rPr>
                <w:rFonts w:eastAsia="DengXian"/>
              </w:rPr>
              <w:t>the</w:t>
            </w:r>
            <w:r>
              <w:rPr>
                <w:rFonts w:eastAsia="DengXian" w:hint="eastAsia"/>
              </w:rPr>
              <w:t xml:space="preserve"> serving cell</w:t>
            </w:r>
            <w:r>
              <w:rPr>
                <w:rFonts w:eastAsia="DengXian"/>
              </w:rPr>
              <w:t>’</w:t>
            </w:r>
            <w:r>
              <w:rPr>
                <w:rFonts w:eastAsia="DengXian" w:hint="eastAsia"/>
              </w:rPr>
              <w:t xml:space="preserve">s validity duration. </w:t>
            </w:r>
            <w:r>
              <w:rPr>
                <w:rFonts w:eastAsia="DengXian"/>
              </w:rPr>
              <w:t>A</w:t>
            </w:r>
            <w:r>
              <w:rPr>
                <w:rFonts w:eastAsia="DengXian" w:hint="eastAsia"/>
              </w:rPr>
              <w:t xml:space="preserve">dditionally, </w:t>
            </w:r>
            <w:r>
              <w:rPr>
                <w:rFonts w:eastAsia="DengXian"/>
              </w:rPr>
              <w:t>the</w:t>
            </w:r>
            <w:r>
              <w:rPr>
                <w:rFonts w:eastAsia="DengXian" w:hint="eastAsia"/>
              </w:rPr>
              <w:t xml:space="preserve"> IE </w:t>
            </w:r>
            <w:r w:rsidRPr="00B55E3E">
              <w:t>ntn-UlSyncValidityDuration-r17</w:t>
            </w:r>
            <w:r>
              <w:rPr>
                <w:rFonts w:hint="eastAsia"/>
              </w:rPr>
              <w:t xml:space="preserve"> </w:t>
            </w:r>
            <w:r>
              <w:rPr>
                <w:rFonts w:eastAsia="DengXian" w:hint="eastAsia"/>
              </w:rPr>
              <w:t xml:space="preserve">is need R, so </w:t>
            </w:r>
            <w:r>
              <w:rPr>
                <w:rFonts w:eastAsia="DengXian"/>
              </w:rPr>
              <w:t>t</w:t>
            </w:r>
            <w:r>
              <w:rPr>
                <w:rFonts w:eastAsia="DengXian" w:hint="eastAsia"/>
              </w:rPr>
              <w:t xml:space="preserve">he mechanism proposed in Q12 is not </w:t>
            </w:r>
            <w:r w:rsidRPr="009766B3">
              <w:rPr>
                <w:rFonts w:eastAsia="DengXian"/>
              </w:rPr>
              <w:t>logical</w:t>
            </w:r>
            <w:r>
              <w:rPr>
                <w:rFonts w:eastAsia="DengXian"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DengXian"/>
              </w:rPr>
            </w:pPr>
            <w:r>
              <w:rPr>
                <w:rFonts w:eastAsia="DengXian"/>
              </w:rPr>
              <w:t>Ericsson</w:t>
            </w:r>
          </w:p>
        </w:tc>
        <w:tc>
          <w:tcPr>
            <w:tcW w:w="2113" w:type="dxa"/>
            <w:shd w:val="clear" w:color="auto" w:fill="auto"/>
          </w:tcPr>
          <w:p w14:paraId="6B9E2E80" w14:textId="3C239D79" w:rsidR="00D67951" w:rsidRDefault="00D67951" w:rsidP="00D67951">
            <w:pPr>
              <w:rPr>
                <w:rFonts w:eastAsia="DengXian"/>
              </w:rPr>
            </w:pPr>
            <w:r>
              <w:rPr>
                <w:rFonts w:eastAsia="DengXian"/>
              </w:rPr>
              <w:t>Disagree</w:t>
            </w:r>
          </w:p>
        </w:tc>
        <w:tc>
          <w:tcPr>
            <w:tcW w:w="5954" w:type="dxa"/>
            <w:shd w:val="clear" w:color="auto" w:fill="auto"/>
          </w:tcPr>
          <w:p w14:paraId="2E6AD69E" w14:textId="35349048" w:rsidR="00D67951" w:rsidRDefault="00D67951" w:rsidP="00D67951">
            <w:pPr>
              <w:rPr>
                <w:rFonts w:eastAsia="DengXian"/>
              </w:rPr>
            </w:pPr>
            <w:r>
              <w:rPr>
                <w:rFonts w:eastAsia="DengXian"/>
              </w:rPr>
              <w:t>Share same view as vivo</w:t>
            </w:r>
          </w:p>
        </w:tc>
      </w:tr>
      <w:tr w:rsidR="00D67951" w14:paraId="5825949A" w14:textId="77777777" w:rsidTr="004B5817">
        <w:tc>
          <w:tcPr>
            <w:tcW w:w="1426" w:type="dxa"/>
            <w:shd w:val="clear" w:color="auto" w:fill="auto"/>
          </w:tcPr>
          <w:p w14:paraId="5D341EA0" w14:textId="77777777" w:rsidR="00D67951" w:rsidRDefault="00D67951" w:rsidP="00D67951">
            <w:pPr>
              <w:rPr>
                <w:rFonts w:eastAsia="DengXian"/>
              </w:rPr>
            </w:pPr>
          </w:p>
        </w:tc>
        <w:tc>
          <w:tcPr>
            <w:tcW w:w="2113" w:type="dxa"/>
            <w:shd w:val="clear" w:color="auto" w:fill="auto"/>
          </w:tcPr>
          <w:p w14:paraId="3387D6E3" w14:textId="77777777" w:rsidR="00D67951" w:rsidRDefault="00D67951" w:rsidP="00D67951">
            <w:pPr>
              <w:rPr>
                <w:rFonts w:eastAsia="DengXian"/>
              </w:rPr>
            </w:pPr>
          </w:p>
        </w:tc>
        <w:tc>
          <w:tcPr>
            <w:tcW w:w="5954" w:type="dxa"/>
            <w:shd w:val="clear" w:color="auto" w:fill="auto"/>
          </w:tcPr>
          <w:p w14:paraId="7D4B987B" w14:textId="77777777" w:rsidR="00D67951" w:rsidRDefault="00D67951" w:rsidP="00D67951">
            <w:pPr>
              <w:rPr>
                <w:rFonts w:eastAsia="DengXian"/>
              </w:rPr>
            </w:pPr>
          </w:p>
        </w:tc>
      </w:tr>
      <w:tr w:rsidR="00D67951"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D67951" w:rsidRDefault="00D67951" w:rsidP="00D67951">
            <w:pPr>
              <w:rPr>
                <w:rFonts w:eastAsiaTheme="minorEastAsia"/>
              </w:rPr>
            </w:pPr>
          </w:p>
        </w:tc>
      </w:tr>
      <w:tr w:rsidR="00D67951"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D67951" w:rsidRDefault="00D67951" w:rsidP="00D67951">
            <w:pPr>
              <w:rPr>
                <w:rFonts w:eastAsiaTheme="minorEastAsia"/>
              </w:rPr>
            </w:pPr>
          </w:p>
        </w:tc>
      </w:tr>
      <w:tr w:rsidR="00D67951"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D67951" w:rsidRDefault="00D67951" w:rsidP="00D67951">
            <w:pPr>
              <w:rPr>
                <w:rFonts w:eastAsiaTheme="minorEastAsia"/>
              </w:rPr>
            </w:pPr>
          </w:p>
        </w:tc>
      </w:tr>
      <w:tr w:rsidR="00D67951"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D67951" w:rsidRDefault="00D67951" w:rsidP="00D67951">
            <w:pPr>
              <w:rPr>
                <w:rFonts w:eastAsiaTheme="minorEastAsia"/>
              </w:rPr>
            </w:pPr>
          </w:p>
        </w:tc>
      </w:tr>
      <w:tr w:rsidR="00D67951"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D67951" w:rsidRDefault="00D67951" w:rsidP="00D67951">
            <w:pPr>
              <w:rPr>
                <w:rFonts w:eastAsiaTheme="minorEastAsia"/>
              </w:rPr>
            </w:pPr>
          </w:p>
        </w:tc>
      </w:tr>
      <w:tr w:rsidR="00D67951"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D67951" w:rsidRDefault="00D67951" w:rsidP="00D67951">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roofErr w:type="gramStart"/>
      <w:r w:rsidRPr="005949ED">
        <w:rPr>
          <w:lang w:val="en-US"/>
        </w:rPr>
        <w:t>);</w:t>
      </w:r>
      <w:proofErr w:type="gramEnd"/>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lastRenderedPageBreak/>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w:t>
      </w:r>
      <w:proofErr w:type="gramStart"/>
      <w:r>
        <w:rPr>
          <w:lang w:eastAsia="ja-JP"/>
        </w:rPr>
        <w:t>a</w:t>
      </w:r>
      <w:proofErr w:type="gramEnd"/>
      <w:r>
        <w:rPr>
          <w:lang w:eastAsia="ja-JP"/>
        </w:rPr>
        <w:t xml:space="preserve"> NTN-config that be valid at the time of CHO execution in the HO message. Without valid target cell NTN-config, the UE </w:t>
      </w:r>
      <w:proofErr w:type="gramStart"/>
      <w:r>
        <w:rPr>
          <w:lang w:eastAsia="ja-JP"/>
        </w:rPr>
        <w:t>has to</w:t>
      </w:r>
      <w:proofErr w:type="gramEnd"/>
      <w:r>
        <w:rPr>
          <w:lang w:eastAsia="ja-JP"/>
        </w:rPr>
        <w:t xml:space="preserve">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 xml:space="preserve">s NTN-config. For simplicity, if NTN-config is absent in </w:t>
            </w:r>
            <w:proofErr w:type="spellStart"/>
            <w:proofErr w:type="gramStart"/>
            <w:r>
              <w:rPr>
                <w:rFonts w:eastAsia="DengXian" w:hint="eastAsia"/>
                <w:lang w:val="en-US"/>
              </w:rPr>
              <w:t>reconfiguarationWithSync,UE</w:t>
            </w:r>
            <w:proofErr w:type="spellEnd"/>
            <w:proofErr w:type="gram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 xml:space="preserve">NTN-config is absent means it is intra-satellite HO, the satellite is </w:t>
            </w:r>
            <w:proofErr w:type="gramStart"/>
            <w:r>
              <w:rPr>
                <w:rFonts w:eastAsia="DengXian"/>
              </w:rPr>
              <w:t>same</w:t>
            </w:r>
            <w:proofErr w:type="gramEnd"/>
            <w:r>
              <w:rPr>
                <w:rFonts w:eastAsia="DengXian"/>
              </w:rPr>
              <w:t xml:space="preserve"> and UE can use the stored one.</w:t>
            </w:r>
          </w:p>
          <w:p w14:paraId="7669FCF4" w14:textId="77777777" w:rsidR="00B645CD" w:rsidRDefault="00B645CD" w:rsidP="004B5817">
            <w:pPr>
              <w:rPr>
                <w:rFonts w:eastAsia="DengXian"/>
              </w:rPr>
            </w:pPr>
            <w:r>
              <w:rPr>
                <w:rFonts w:eastAsia="DengXian"/>
              </w:rPr>
              <w:t xml:space="preserve">See our response in Q10, there is no issue in providing </w:t>
            </w:r>
            <w:proofErr w:type="spellStart"/>
            <w:r>
              <w:rPr>
                <w:rFonts w:eastAsia="DengXian"/>
              </w:rPr>
              <w:t>ntn</w:t>
            </w:r>
            <w:proofErr w:type="spellEnd"/>
            <w:r>
              <w:rPr>
                <w:rFonts w:eastAsia="DengXian"/>
              </w:rPr>
              <w:t>-Config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 xml:space="preserve">f the NTN-config in </w:t>
            </w:r>
            <w:proofErr w:type="spellStart"/>
            <w:r>
              <w:rPr>
                <w:rFonts w:eastAsia="DengXian"/>
              </w:rPr>
              <w:t>RRCReconfiguration</w:t>
            </w:r>
            <w:proofErr w:type="spellEnd"/>
            <w:r>
              <w:rPr>
                <w:rFonts w:eastAsia="DengXian"/>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 xml:space="preserve">The target cell </w:t>
            </w:r>
            <w:proofErr w:type="spellStart"/>
            <w:r>
              <w:rPr>
                <w:rFonts w:eastAsia="DengXian"/>
              </w:rPr>
              <w:t>ntn</w:t>
            </w:r>
            <w:proofErr w:type="spellEnd"/>
            <w:r>
              <w:rPr>
                <w:rFonts w:eastAsia="DengXian"/>
              </w:rPr>
              <w:t>-config can be provided to UE in HO/CHO message but also in SIB19.</w:t>
            </w:r>
          </w:p>
          <w:p w14:paraId="73AD89AB" w14:textId="77777777" w:rsidR="00B645CD" w:rsidRDefault="00B645CD" w:rsidP="004B5817">
            <w:pPr>
              <w:rPr>
                <w:rFonts w:eastAsia="DengXian"/>
              </w:rPr>
            </w:pPr>
            <w:r>
              <w:rPr>
                <w:rFonts w:eastAsia="DengXian"/>
              </w:rPr>
              <w:t xml:space="preserve">In case of CHO, it is likely the </w:t>
            </w:r>
            <w:proofErr w:type="spellStart"/>
            <w:r>
              <w:rPr>
                <w:rFonts w:eastAsia="DengXian"/>
              </w:rPr>
              <w:t>ntn</w:t>
            </w:r>
            <w:proofErr w:type="spellEnd"/>
            <w:r>
              <w:rPr>
                <w:rFonts w:eastAsia="DengXian"/>
              </w:rPr>
              <w:t>-config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w:t>
            </w:r>
            <w:proofErr w:type="spellStart"/>
            <w:r>
              <w:rPr>
                <w:rFonts w:eastAsia="DengXian"/>
              </w:rPr>
              <w:t>ntn</w:t>
            </w:r>
            <w:proofErr w:type="spellEnd"/>
            <w:r>
              <w:rPr>
                <w:rFonts w:eastAsia="DengXian"/>
              </w:rPr>
              <w:t xml:space="preserve">-config from CHO message while it already has a more recent one. </w:t>
            </w:r>
          </w:p>
          <w:p w14:paraId="5B809BE5" w14:textId="77777777" w:rsidR="00B645CD" w:rsidRDefault="00B645CD" w:rsidP="004B5817">
            <w:pPr>
              <w:jc w:val="left"/>
              <w:rPr>
                <w:rFonts w:eastAsia="DengXian"/>
              </w:rPr>
            </w:pPr>
            <w:r>
              <w:rPr>
                <w:rFonts w:eastAsia="DengXian"/>
              </w:rPr>
              <w:t xml:space="preserve">In general, we believe it is likely the </w:t>
            </w:r>
            <w:proofErr w:type="spellStart"/>
            <w:r>
              <w:rPr>
                <w:rFonts w:eastAsia="DengXian"/>
              </w:rPr>
              <w:t>ntn</w:t>
            </w:r>
            <w:proofErr w:type="spellEnd"/>
            <w:r>
              <w:rPr>
                <w:rFonts w:eastAsia="DengXian"/>
              </w:rPr>
              <w:t>-config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 xml:space="preserve">But the case that target cell </w:t>
            </w:r>
            <w:proofErr w:type="spellStart"/>
            <w:r>
              <w:rPr>
                <w:rFonts w:eastAsia="DengXian"/>
              </w:rPr>
              <w:t>ntn</w:t>
            </w:r>
            <w:proofErr w:type="spellEnd"/>
            <w:r>
              <w:rPr>
                <w:rFonts w:eastAsia="DengXian"/>
              </w:rPr>
              <w:t xml:space="preserve">-config from CHO configuration is invalid is rare. The validity duration can be up to 900s, and time window for CHO can be up to 600s. NW can ensure target cell </w:t>
            </w:r>
            <w:proofErr w:type="spellStart"/>
            <w:r>
              <w:rPr>
                <w:rFonts w:eastAsia="DengXian"/>
              </w:rPr>
              <w:t>ntn</w:t>
            </w:r>
            <w:proofErr w:type="spellEnd"/>
            <w:r>
              <w:rPr>
                <w:rFonts w:eastAsia="DengXian"/>
              </w:rPr>
              <w:t>-config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proofErr w:type="spellStart"/>
            <w:r w:rsidRPr="002C26EF">
              <w:rPr>
                <w:rFonts w:eastAsia="DengXian"/>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proofErr w:type="spellStart"/>
            <w:r w:rsidRPr="002C26EF">
              <w:rPr>
                <w:rFonts w:eastAsia="DengXian"/>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 xml:space="preserve">For HO, since the UE executes the HO upon receiving the HO command, NTN-config in the HO command should be valid. But if it is absent in </w:t>
            </w:r>
            <w:proofErr w:type="spellStart"/>
            <w:r w:rsidRPr="00B6274D">
              <w:rPr>
                <w:rFonts w:eastAsia="DengXian"/>
                <w:color w:val="000000" w:themeColor="text1"/>
              </w:rPr>
              <w:t>reconfiguarationWithSync</w:t>
            </w:r>
            <w:proofErr w:type="spellEnd"/>
            <w:r w:rsidRPr="00B6274D">
              <w:rPr>
                <w:rFonts w:eastAsia="DengXian"/>
                <w:color w:val="000000" w:themeColor="text1"/>
              </w:rPr>
              <w:t>,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Disagree</w:t>
            </w:r>
          </w:p>
        </w:tc>
        <w:tc>
          <w:tcPr>
            <w:tcW w:w="5954" w:type="dxa"/>
            <w:shd w:val="clear" w:color="auto" w:fill="auto"/>
          </w:tcPr>
          <w:p w14:paraId="6BDAB23B" w14:textId="77777777" w:rsidR="004F1AE2" w:rsidRDefault="004F1AE2" w:rsidP="004F1AE2">
            <w:pPr>
              <w:jc w:val="left"/>
              <w:rPr>
                <w:rFonts w:eastAsia="DengXian"/>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DengXian"/>
              </w:rPr>
            </w:pPr>
            <w:r>
              <w:rPr>
                <w:rFonts w:eastAsia="DengXian" w:hint="eastAsia"/>
              </w:rPr>
              <w:t>CATT</w:t>
            </w:r>
          </w:p>
        </w:tc>
        <w:tc>
          <w:tcPr>
            <w:tcW w:w="2113" w:type="dxa"/>
            <w:shd w:val="clear" w:color="auto" w:fill="auto"/>
          </w:tcPr>
          <w:p w14:paraId="572FF63C" w14:textId="70282814" w:rsidR="00685846" w:rsidRDefault="00685846" w:rsidP="004F1AE2">
            <w:pPr>
              <w:rPr>
                <w:rFonts w:eastAsia="DengXian"/>
              </w:rPr>
            </w:pPr>
            <w:r>
              <w:rPr>
                <w:rFonts w:eastAsia="DengXian"/>
              </w:rPr>
              <w:t>D</w:t>
            </w:r>
            <w:r>
              <w:rPr>
                <w:rFonts w:eastAsia="DengXian"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NTN-config in SIB19 of serving cell is valid while target NTN-config</w:t>
            </w:r>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 xml:space="preserve">target NTN-config in CHO config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DengXian"/>
              </w:rPr>
            </w:pPr>
            <w:r>
              <w:rPr>
                <w:rFonts w:eastAsia="DengXian"/>
              </w:rPr>
              <w:t>Ericsson</w:t>
            </w:r>
          </w:p>
        </w:tc>
        <w:tc>
          <w:tcPr>
            <w:tcW w:w="2113" w:type="dxa"/>
            <w:shd w:val="clear" w:color="auto" w:fill="auto"/>
          </w:tcPr>
          <w:p w14:paraId="40CA0769" w14:textId="1F09DE29" w:rsidR="00DB03D6" w:rsidRDefault="00DB03D6" w:rsidP="00DB03D6">
            <w:pPr>
              <w:rPr>
                <w:rFonts w:eastAsia="DengXian"/>
              </w:rPr>
            </w:pPr>
            <w:r>
              <w:rPr>
                <w:rFonts w:eastAsia="DengXian"/>
              </w:rPr>
              <w:t>Agree</w:t>
            </w:r>
          </w:p>
        </w:tc>
        <w:tc>
          <w:tcPr>
            <w:tcW w:w="5954" w:type="dxa"/>
            <w:shd w:val="clear" w:color="auto" w:fill="auto"/>
          </w:tcPr>
          <w:p w14:paraId="218B1D77" w14:textId="07D3C6BD" w:rsidR="00DB03D6" w:rsidRDefault="00DB03D6" w:rsidP="00DB03D6">
            <w:pPr>
              <w:rPr>
                <w:rFonts w:eastAsia="DengXian"/>
              </w:rPr>
            </w:pPr>
            <w:r>
              <w:rPr>
                <w:rFonts w:eastAsia="DengXian"/>
              </w:rPr>
              <w:t>We agree with Huawei that this could be solved by NW sending target NTN-config again or by UE acquiring target cell SIB 19 – but it does not harm if the UE</w:t>
            </w:r>
            <w:r>
              <w:rPr>
                <w:rFonts w:eastAsia="DengXian"/>
              </w:rPr>
              <w:t xml:space="preserve"> </w:t>
            </w:r>
            <w:r>
              <w:rPr>
                <w:rFonts w:eastAsia="DengXian"/>
              </w:rPr>
              <w:t xml:space="preserve">can use neighbour cell info from source instead as UE anyway needs updated SIB19 in source to maintain UL sync. </w:t>
            </w:r>
          </w:p>
        </w:tc>
      </w:tr>
      <w:tr w:rsidR="00DB03D6" w14:paraId="1071197C" w14:textId="77777777" w:rsidTr="004B5817">
        <w:tc>
          <w:tcPr>
            <w:tcW w:w="1426" w:type="dxa"/>
            <w:shd w:val="clear" w:color="auto" w:fill="auto"/>
          </w:tcPr>
          <w:p w14:paraId="2C820DE0" w14:textId="77777777" w:rsidR="00DB03D6" w:rsidRDefault="00DB03D6" w:rsidP="00DB03D6">
            <w:pPr>
              <w:rPr>
                <w:rFonts w:eastAsia="DengXian"/>
              </w:rPr>
            </w:pPr>
          </w:p>
        </w:tc>
        <w:tc>
          <w:tcPr>
            <w:tcW w:w="2113" w:type="dxa"/>
            <w:shd w:val="clear" w:color="auto" w:fill="auto"/>
          </w:tcPr>
          <w:p w14:paraId="145B0725" w14:textId="77777777" w:rsidR="00DB03D6" w:rsidRDefault="00DB03D6" w:rsidP="00DB03D6">
            <w:pPr>
              <w:rPr>
                <w:rFonts w:eastAsia="DengXian"/>
              </w:rPr>
            </w:pPr>
          </w:p>
        </w:tc>
        <w:tc>
          <w:tcPr>
            <w:tcW w:w="5954" w:type="dxa"/>
            <w:shd w:val="clear" w:color="auto" w:fill="auto"/>
          </w:tcPr>
          <w:p w14:paraId="032DD5D6" w14:textId="77777777" w:rsidR="00DB03D6" w:rsidRDefault="00DB03D6" w:rsidP="00DB03D6">
            <w:pPr>
              <w:rPr>
                <w:rFonts w:eastAsia="DengXian"/>
              </w:rPr>
            </w:pPr>
          </w:p>
        </w:tc>
      </w:tr>
      <w:tr w:rsidR="00DB03D6"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DB03D6" w:rsidRDefault="00DB03D6" w:rsidP="00DB03D6">
            <w:pPr>
              <w:rPr>
                <w:rFonts w:eastAsiaTheme="minorEastAsia"/>
              </w:rPr>
            </w:pPr>
          </w:p>
        </w:tc>
      </w:tr>
      <w:tr w:rsidR="00DB03D6"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DB03D6" w:rsidRDefault="00DB03D6" w:rsidP="00DB03D6">
            <w:pPr>
              <w:rPr>
                <w:rFonts w:eastAsiaTheme="minorEastAsia"/>
              </w:rPr>
            </w:pPr>
          </w:p>
        </w:tc>
      </w:tr>
      <w:tr w:rsidR="00DB03D6"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DB03D6" w:rsidRDefault="00DB03D6" w:rsidP="00DB03D6">
            <w:pPr>
              <w:rPr>
                <w:rFonts w:eastAsiaTheme="minorEastAsia"/>
              </w:rPr>
            </w:pPr>
          </w:p>
        </w:tc>
      </w:tr>
      <w:tr w:rsidR="00DB03D6"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DB03D6" w:rsidRDefault="00DB03D6" w:rsidP="00DB03D6">
            <w:pPr>
              <w:rPr>
                <w:rFonts w:eastAsiaTheme="minorEastAsia"/>
              </w:rPr>
            </w:pPr>
          </w:p>
        </w:tc>
      </w:tr>
      <w:tr w:rsidR="00DB03D6"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DB03D6" w:rsidRDefault="00DB03D6" w:rsidP="00DB03D6">
            <w:pPr>
              <w:rPr>
                <w:rFonts w:eastAsiaTheme="minorEastAsia"/>
              </w:rPr>
            </w:pPr>
          </w:p>
        </w:tc>
      </w:tr>
      <w:tr w:rsidR="00DB03D6"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DB03D6" w:rsidRDefault="00DB03D6" w:rsidP="00DB03D6">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lastRenderedPageBreak/>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proofErr w:type="spellStart"/>
            <w:r>
              <w:rPr>
                <w:rFonts w:eastAsia="DengXian"/>
                <w:lang w:val="en-US"/>
              </w:rPr>
              <w:t>ASUSTeK</w:t>
            </w:r>
            <w:proofErr w:type="spellEnd"/>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DengXian"/>
              </w:rPr>
            </w:pPr>
            <w:r>
              <w:rPr>
                <w:rFonts w:eastAsia="DengXian"/>
              </w:rPr>
              <w:t xml:space="preserve">Ericsson </w:t>
            </w:r>
          </w:p>
        </w:tc>
        <w:tc>
          <w:tcPr>
            <w:tcW w:w="2113" w:type="dxa"/>
            <w:shd w:val="clear" w:color="auto" w:fill="auto"/>
          </w:tcPr>
          <w:p w14:paraId="03D48A5D" w14:textId="483C2996" w:rsidR="00DB03D6" w:rsidRDefault="00DB03D6" w:rsidP="00DB03D6">
            <w:pPr>
              <w:rPr>
                <w:rFonts w:eastAsia="DengXian"/>
              </w:rPr>
            </w:pPr>
            <w:r>
              <w:rPr>
                <w:rFonts w:eastAsia="DengXian"/>
              </w:rPr>
              <w:t>Agree</w:t>
            </w:r>
          </w:p>
        </w:tc>
        <w:tc>
          <w:tcPr>
            <w:tcW w:w="5954" w:type="dxa"/>
            <w:shd w:val="clear" w:color="auto" w:fill="auto"/>
          </w:tcPr>
          <w:p w14:paraId="0BCCC68A" w14:textId="77777777" w:rsidR="00DB03D6" w:rsidRDefault="00DB03D6" w:rsidP="00DB03D6">
            <w:pPr>
              <w:rPr>
                <w:rFonts w:eastAsia="DengXian"/>
              </w:rPr>
            </w:pPr>
          </w:p>
        </w:tc>
      </w:tr>
      <w:tr w:rsidR="00DB03D6" w14:paraId="10203972" w14:textId="77777777" w:rsidTr="004B5817">
        <w:tc>
          <w:tcPr>
            <w:tcW w:w="1426" w:type="dxa"/>
            <w:shd w:val="clear" w:color="auto" w:fill="auto"/>
          </w:tcPr>
          <w:p w14:paraId="15E7EDA0" w14:textId="77777777" w:rsidR="00DB03D6" w:rsidRDefault="00DB03D6" w:rsidP="00DB03D6">
            <w:pPr>
              <w:rPr>
                <w:rFonts w:eastAsia="DengXian"/>
              </w:rPr>
            </w:pPr>
          </w:p>
        </w:tc>
        <w:tc>
          <w:tcPr>
            <w:tcW w:w="2113" w:type="dxa"/>
            <w:shd w:val="clear" w:color="auto" w:fill="auto"/>
          </w:tcPr>
          <w:p w14:paraId="7D93C15A" w14:textId="77777777" w:rsidR="00DB03D6" w:rsidRDefault="00DB03D6" w:rsidP="00DB03D6">
            <w:pPr>
              <w:rPr>
                <w:rFonts w:eastAsia="DengXian"/>
              </w:rPr>
            </w:pPr>
          </w:p>
        </w:tc>
        <w:tc>
          <w:tcPr>
            <w:tcW w:w="5954" w:type="dxa"/>
            <w:shd w:val="clear" w:color="auto" w:fill="auto"/>
          </w:tcPr>
          <w:p w14:paraId="286D9CAC" w14:textId="77777777" w:rsidR="00DB03D6" w:rsidRDefault="00DB03D6" w:rsidP="00DB03D6">
            <w:pPr>
              <w:jc w:val="left"/>
              <w:rPr>
                <w:rFonts w:eastAsia="DengXian"/>
              </w:rPr>
            </w:pPr>
          </w:p>
        </w:tc>
      </w:tr>
      <w:tr w:rsidR="00DB03D6" w14:paraId="3EF40279" w14:textId="77777777" w:rsidTr="004B5817">
        <w:tc>
          <w:tcPr>
            <w:tcW w:w="1426" w:type="dxa"/>
            <w:shd w:val="clear" w:color="auto" w:fill="auto"/>
          </w:tcPr>
          <w:p w14:paraId="3F487E6A" w14:textId="77777777" w:rsidR="00DB03D6" w:rsidRDefault="00DB03D6" w:rsidP="00DB03D6">
            <w:pPr>
              <w:rPr>
                <w:rFonts w:eastAsia="DengXian"/>
              </w:rPr>
            </w:pPr>
          </w:p>
        </w:tc>
        <w:tc>
          <w:tcPr>
            <w:tcW w:w="2113" w:type="dxa"/>
            <w:shd w:val="clear" w:color="auto" w:fill="auto"/>
          </w:tcPr>
          <w:p w14:paraId="5B268498" w14:textId="77777777" w:rsidR="00DB03D6" w:rsidRDefault="00DB03D6" w:rsidP="00DB03D6">
            <w:pPr>
              <w:rPr>
                <w:rFonts w:eastAsia="DengXian"/>
              </w:rPr>
            </w:pPr>
          </w:p>
        </w:tc>
        <w:tc>
          <w:tcPr>
            <w:tcW w:w="5954" w:type="dxa"/>
            <w:shd w:val="clear" w:color="auto" w:fill="auto"/>
          </w:tcPr>
          <w:p w14:paraId="6FB99E1F" w14:textId="77777777" w:rsidR="00DB03D6" w:rsidRDefault="00DB03D6" w:rsidP="00DB03D6">
            <w:pPr>
              <w:rPr>
                <w:rFonts w:eastAsia="DengXian"/>
              </w:rPr>
            </w:pPr>
          </w:p>
        </w:tc>
      </w:tr>
      <w:tr w:rsidR="00DB03D6" w14:paraId="7075E7C5" w14:textId="77777777" w:rsidTr="004B5817">
        <w:tc>
          <w:tcPr>
            <w:tcW w:w="1426" w:type="dxa"/>
            <w:shd w:val="clear" w:color="auto" w:fill="auto"/>
          </w:tcPr>
          <w:p w14:paraId="320FB57F" w14:textId="77777777" w:rsidR="00DB03D6" w:rsidRDefault="00DB03D6" w:rsidP="00DB03D6">
            <w:pPr>
              <w:rPr>
                <w:rFonts w:eastAsia="DengXian"/>
              </w:rPr>
            </w:pPr>
          </w:p>
        </w:tc>
        <w:tc>
          <w:tcPr>
            <w:tcW w:w="2113" w:type="dxa"/>
            <w:shd w:val="clear" w:color="auto" w:fill="auto"/>
          </w:tcPr>
          <w:p w14:paraId="1FB2A54D" w14:textId="77777777" w:rsidR="00DB03D6" w:rsidRDefault="00DB03D6" w:rsidP="00DB03D6">
            <w:pPr>
              <w:rPr>
                <w:rFonts w:eastAsia="DengXian"/>
              </w:rPr>
            </w:pPr>
          </w:p>
        </w:tc>
        <w:tc>
          <w:tcPr>
            <w:tcW w:w="5954" w:type="dxa"/>
            <w:shd w:val="clear" w:color="auto" w:fill="auto"/>
          </w:tcPr>
          <w:p w14:paraId="237C3E7C" w14:textId="77777777" w:rsidR="00DB03D6" w:rsidRDefault="00DB03D6" w:rsidP="00DB03D6">
            <w:pPr>
              <w:rPr>
                <w:rFonts w:eastAsia="DengXian"/>
              </w:rPr>
            </w:pPr>
          </w:p>
        </w:tc>
      </w:tr>
      <w:tr w:rsidR="00DB03D6" w14:paraId="225EA149" w14:textId="77777777" w:rsidTr="004B5817">
        <w:tc>
          <w:tcPr>
            <w:tcW w:w="1426" w:type="dxa"/>
            <w:shd w:val="clear" w:color="auto" w:fill="auto"/>
          </w:tcPr>
          <w:p w14:paraId="764970C4" w14:textId="77777777" w:rsidR="00DB03D6" w:rsidRDefault="00DB03D6" w:rsidP="00DB03D6">
            <w:pPr>
              <w:rPr>
                <w:rFonts w:eastAsia="DengXian"/>
              </w:rPr>
            </w:pPr>
          </w:p>
        </w:tc>
        <w:tc>
          <w:tcPr>
            <w:tcW w:w="2113" w:type="dxa"/>
            <w:shd w:val="clear" w:color="auto" w:fill="auto"/>
          </w:tcPr>
          <w:p w14:paraId="7A78074F" w14:textId="77777777" w:rsidR="00DB03D6" w:rsidRDefault="00DB03D6" w:rsidP="00DB03D6">
            <w:pPr>
              <w:rPr>
                <w:rFonts w:eastAsia="DengXian"/>
              </w:rPr>
            </w:pPr>
          </w:p>
        </w:tc>
        <w:tc>
          <w:tcPr>
            <w:tcW w:w="5954" w:type="dxa"/>
            <w:shd w:val="clear" w:color="auto" w:fill="auto"/>
          </w:tcPr>
          <w:p w14:paraId="69BD687E" w14:textId="77777777" w:rsidR="00DB03D6" w:rsidRDefault="00DB03D6" w:rsidP="00DB03D6">
            <w:pPr>
              <w:rPr>
                <w:rFonts w:eastAsia="PMingLiU"/>
                <w:lang w:eastAsia="zh-TW"/>
              </w:rPr>
            </w:pPr>
          </w:p>
        </w:tc>
      </w:tr>
      <w:tr w:rsidR="00DB03D6" w14:paraId="715F12FE" w14:textId="77777777" w:rsidTr="004B5817">
        <w:tc>
          <w:tcPr>
            <w:tcW w:w="1426" w:type="dxa"/>
            <w:shd w:val="clear" w:color="auto" w:fill="auto"/>
          </w:tcPr>
          <w:p w14:paraId="235E3C7F" w14:textId="77777777" w:rsidR="00DB03D6" w:rsidRDefault="00DB03D6" w:rsidP="00DB03D6">
            <w:pPr>
              <w:rPr>
                <w:rFonts w:eastAsia="DengXian"/>
              </w:rPr>
            </w:pPr>
          </w:p>
        </w:tc>
        <w:tc>
          <w:tcPr>
            <w:tcW w:w="2113" w:type="dxa"/>
            <w:shd w:val="clear" w:color="auto" w:fill="auto"/>
          </w:tcPr>
          <w:p w14:paraId="714398D8" w14:textId="77777777" w:rsidR="00DB03D6" w:rsidRDefault="00DB03D6" w:rsidP="00DB03D6">
            <w:pPr>
              <w:rPr>
                <w:rFonts w:eastAsia="DengXian"/>
              </w:rPr>
            </w:pPr>
          </w:p>
        </w:tc>
        <w:tc>
          <w:tcPr>
            <w:tcW w:w="5954" w:type="dxa"/>
            <w:shd w:val="clear" w:color="auto" w:fill="auto"/>
          </w:tcPr>
          <w:p w14:paraId="494B85F6" w14:textId="77777777" w:rsidR="00DB03D6" w:rsidRDefault="00DB03D6" w:rsidP="00DB03D6">
            <w:pPr>
              <w:jc w:val="left"/>
              <w:rPr>
                <w:rFonts w:eastAsia="DengXian"/>
              </w:rPr>
            </w:pPr>
          </w:p>
        </w:tc>
      </w:tr>
      <w:tr w:rsidR="00DB03D6" w14:paraId="1B5D4DE3" w14:textId="77777777" w:rsidTr="004B5817">
        <w:tc>
          <w:tcPr>
            <w:tcW w:w="1426" w:type="dxa"/>
            <w:shd w:val="clear" w:color="auto" w:fill="auto"/>
          </w:tcPr>
          <w:p w14:paraId="6768984D" w14:textId="77777777" w:rsidR="00DB03D6" w:rsidRDefault="00DB03D6" w:rsidP="00DB03D6">
            <w:pPr>
              <w:rPr>
                <w:rFonts w:eastAsia="DengXian"/>
              </w:rPr>
            </w:pPr>
          </w:p>
        </w:tc>
        <w:tc>
          <w:tcPr>
            <w:tcW w:w="2113" w:type="dxa"/>
            <w:shd w:val="clear" w:color="auto" w:fill="auto"/>
          </w:tcPr>
          <w:p w14:paraId="32A7AFE5" w14:textId="77777777" w:rsidR="00DB03D6" w:rsidRDefault="00DB03D6" w:rsidP="00DB03D6">
            <w:pPr>
              <w:rPr>
                <w:rFonts w:eastAsia="DengXian"/>
              </w:rPr>
            </w:pPr>
          </w:p>
        </w:tc>
        <w:tc>
          <w:tcPr>
            <w:tcW w:w="5954" w:type="dxa"/>
            <w:shd w:val="clear" w:color="auto" w:fill="auto"/>
          </w:tcPr>
          <w:p w14:paraId="6613A993" w14:textId="77777777" w:rsidR="00DB03D6" w:rsidRDefault="00DB03D6" w:rsidP="00DB03D6">
            <w:pPr>
              <w:rPr>
                <w:rFonts w:eastAsia="PMingLiU"/>
                <w:lang w:eastAsia="zh-TW"/>
              </w:rPr>
            </w:pPr>
          </w:p>
        </w:tc>
      </w:tr>
      <w:tr w:rsidR="00DB03D6" w14:paraId="599368F4" w14:textId="77777777" w:rsidTr="004B5817">
        <w:tc>
          <w:tcPr>
            <w:tcW w:w="1426" w:type="dxa"/>
            <w:shd w:val="clear" w:color="auto" w:fill="auto"/>
          </w:tcPr>
          <w:p w14:paraId="6581BD01" w14:textId="77777777" w:rsidR="00DB03D6" w:rsidRDefault="00DB03D6" w:rsidP="00DB03D6">
            <w:pPr>
              <w:rPr>
                <w:rFonts w:eastAsia="DengXian"/>
              </w:rPr>
            </w:pPr>
          </w:p>
        </w:tc>
        <w:tc>
          <w:tcPr>
            <w:tcW w:w="2113" w:type="dxa"/>
            <w:shd w:val="clear" w:color="auto" w:fill="auto"/>
          </w:tcPr>
          <w:p w14:paraId="3D3CAA67" w14:textId="77777777" w:rsidR="00DB03D6" w:rsidRDefault="00DB03D6" w:rsidP="00DB03D6">
            <w:pPr>
              <w:rPr>
                <w:rFonts w:eastAsia="DengXian"/>
              </w:rPr>
            </w:pPr>
          </w:p>
        </w:tc>
        <w:tc>
          <w:tcPr>
            <w:tcW w:w="5954" w:type="dxa"/>
            <w:shd w:val="clear" w:color="auto" w:fill="auto"/>
          </w:tcPr>
          <w:p w14:paraId="5B61FF7E" w14:textId="77777777" w:rsidR="00DB03D6" w:rsidRDefault="00DB03D6" w:rsidP="00DB03D6">
            <w:pPr>
              <w:rPr>
                <w:rFonts w:eastAsia="PMingLiU"/>
                <w:lang w:eastAsia="zh-TW"/>
              </w:rPr>
            </w:pPr>
          </w:p>
        </w:tc>
      </w:tr>
      <w:tr w:rsidR="00DB03D6" w14:paraId="7989D0CB" w14:textId="77777777" w:rsidTr="004B5817">
        <w:tc>
          <w:tcPr>
            <w:tcW w:w="1426" w:type="dxa"/>
            <w:shd w:val="clear" w:color="auto" w:fill="auto"/>
          </w:tcPr>
          <w:p w14:paraId="072E2CDD" w14:textId="77777777" w:rsidR="00DB03D6" w:rsidRDefault="00DB03D6" w:rsidP="00DB03D6">
            <w:pPr>
              <w:rPr>
                <w:rFonts w:eastAsia="DengXian"/>
              </w:rPr>
            </w:pPr>
          </w:p>
        </w:tc>
        <w:tc>
          <w:tcPr>
            <w:tcW w:w="2113" w:type="dxa"/>
            <w:shd w:val="clear" w:color="auto" w:fill="auto"/>
          </w:tcPr>
          <w:p w14:paraId="117BD40F" w14:textId="77777777" w:rsidR="00DB03D6" w:rsidRDefault="00DB03D6" w:rsidP="00DB03D6">
            <w:pPr>
              <w:rPr>
                <w:rFonts w:eastAsia="DengXian"/>
              </w:rPr>
            </w:pPr>
          </w:p>
        </w:tc>
        <w:tc>
          <w:tcPr>
            <w:tcW w:w="5954" w:type="dxa"/>
            <w:shd w:val="clear" w:color="auto" w:fill="auto"/>
          </w:tcPr>
          <w:p w14:paraId="5682F8A6" w14:textId="77777777" w:rsidR="00DB03D6" w:rsidRDefault="00DB03D6" w:rsidP="00DB03D6">
            <w:pPr>
              <w:rPr>
                <w:rFonts w:eastAsia="DengXian"/>
              </w:rPr>
            </w:pPr>
          </w:p>
        </w:tc>
      </w:tr>
      <w:tr w:rsidR="00DB03D6" w14:paraId="25369D44" w14:textId="77777777" w:rsidTr="004B5817">
        <w:tc>
          <w:tcPr>
            <w:tcW w:w="1426" w:type="dxa"/>
            <w:shd w:val="clear" w:color="auto" w:fill="auto"/>
          </w:tcPr>
          <w:p w14:paraId="371BE971" w14:textId="77777777" w:rsidR="00DB03D6" w:rsidRDefault="00DB03D6" w:rsidP="00DB03D6">
            <w:pPr>
              <w:rPr>
                <w:rFonts w:eastAsia="DengXian"/>
              </w:rPr>
            </w:pPr>
          </w:p>
        </w:tc>
        <w:tc>
          <w:tcPr>
            <w:tcW w:w="2113" w:type="dxa"/>
            <w:shd w:val="clear" w:color="auto" w:fill="auto"/>
          </w:tcPr>
          <w:p w14:paraId="44D76AE5" w14:textId="77777777" w:rsidR="00DB03D6" w:rsidRDefault="00DB03D6" w:rsidP="00DB03D6">
            <w:pPr>
              <w:rPr>
                <w:rFonts w:eastAsia="DengXian"/>
              </w:rPr>
            </w:pPr>
          </w:p>
        </w:tc>
        <w:tc>
          <w:tcPr>
            <w:tcW w:w="5954" w:type="dxa"/>
            <w:shd w:val="clear" w:color="auto" w:fill="auto"/>
          </w:tcPr>
          <w:p w14:paraId="172C9AAD" w14:textId="77777777" w:rsidR="00DB03D6" w:rsidRDefault="00DB03D6" w:rsidP="00DB03D6">
            <w:pPr>
              <w:rPr>
                <w:rFonts w:eastAsia="DengXian"/>
              </w:rPr>
            </w:pPr>
          </w:p>
        </w:tc>
      </w:tr>
      <w:tr w:rsidR="00DB03D6"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DB03D6" w:rsidRDefault="00DB03D6" w:rsidP="00DB03D6">
            <w:pPr>
              <w:rPr>
                <w:rFonts w:eastAsiaTheme="minorEastAsia"/>
              </w:rPr>
            </w:pPr>
          </w:p>
        </w:tc>
      </w:tr>
      <w:tr w:rsidR="00DB03D6"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DB03D6" w:rsidRDefault="00DB03D6" w:rsidP="00DB03D6">
            <w:pPr>
              <w:rPr>
                <w:rFonts w:eastAsiaTheme="minorEastAsia"/>
              </w:rPr>
            </w:pPr>
          </w:p>
        </w:tc>
      </w:tr>
      <w:tr w:rsidR="00DB03D6"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DB03D6" w:rsidRDefault="00DB03D6" w:rsidP="00DB03D6">
            <w:pPr>
              <w:rPr>
                <w:rFonts w:eastAsiaTheme="minorEastAsia"/>
              </w:rPr>
            </w:pPr>
          </w:p>
        </w:tc>
      </w:tr>
      <w:tr w:rsidR="00DB03D6"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DB03D6" w:rsidRDefault="00DB03D6" w:rsidP="00DB03D6">
            <w:pPr>
              <w:rPr>
                <w:rFonts w:eastAsiaTheme="minorEastAsia"/>
              </w:rPr>
            </w:pPr>
          </w:p>
        </w:tc>
      </w:tr>
      <w:tr w:rsidR="00DB03D6"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DB03D6" w:rsidRDefault="00DB03D6" w:rsidP="00DB03D6">
            <w:pPr>
              <w:rPr>
                <w:rFonts w:eastAsiaTheme="minorEastAsia"/>
              </w:rPr>
            </w:pPr>
          </w:p>
        </w:tc>
      </w:tr>
      <w:tr w:rsidR="00DB03D6"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DB03D6" w:rsidRDefault="00DB03D6" w:rsidP="00DB03D6">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19" w:name="_Toc100929562"/>
            <w:r>
              <w:t>5.3.5.5.2</w:t>
            </w:r>
            <w:r>
              <w:tab/>
              <w:t>Reconfiguration with sync</w:t>
            </w:r>
            <w:bookmarkEnd w:id="19"/>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 xml:space="preserve">stop timer T430 if </w:t>
            </w:r>
            <w:proofErr w:type="gramStart"/>
            <w:r>
              <w:rPr>
                <w:color w:val="FF0000"/>
              </w:rPr>
              <w:t>running;</w:t>
            </w:r>
            <w:proofErr w:type="gramEnd"/>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subframe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 xml:space="preserve">serving </w:t>
            </w:r>
            <w:proofErr w:type="gramStart"/>
            <w:r>
              <w:rPr>
                <w:iCs/>
                <w:color w:val="FF0000"/>
                <w:highlight w:val="yellow"/>
              </w:rPr>
              <w:t>cell;</w:t>
            </w:r>
            <w:proofErr w:type="gramEnd"/>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lastRenderedPageBreak/>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t>5.3.5.5.2</w:t>
            </w:r>
            <w:r>
              <w:tab/>
              <w:t>Reconfiguration with sync</w:t>
            </w:r>
          </w:p>
          <w:p w14:paraId="630A76AF" w14:textId="77777777" w:rsidR="00B645CD" w:rsidRDefault="00B645CD" w:rsidP="004B5817">
            <w:bookmarkStart w:id="20"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 xml:space="preserve">stop timer T430 if </w:t>
            </w:r>
            <w:proofErr w:type="gramStart"/>
            <w:r>
              <w:t>running;</w:t>
            </w:r>
            <w:proofErr w:type="gramEnd"/>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w:t>
            </w:r>
            <w:ins w:id="21" w:author="Sequans - Olivier Marco" w:date="2022-09-30T01:20:00Z">
              <w:r>
                <w:t>according to the target cell NTN-config</w:t>
              </w:r>
            </w:ins>
            <w:del w:id="22"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bookmarkEnd w:id="20"/>
            <w:proofErr w:type="gramEnd"/>
          </w:p>
          <w:p w14:paraId="3E2FE31D" w14:textId="77777777" w:rsidR="00B645CD" w:rsidRDefault="00B645CD" w:rsidP="004B5817">
            <w:pPr>
              <w:rPr>
                <w:rFonts w:eastAsia="Times New Roman"/>
                <w:lang w:eastAsia="ja-JP"/>
              </w:rPr>
            </w:pPr>
            <w:ins w:id="23" w:author="Sequans - Olivier Marco" w:date="2022-09-30T11:18:00Z">
              <w:r>
                <w:rPr>
                  <w:rFonts w:eastAsia="Times New Roman"/>
                  <w:lang w:eastAsia="ja-JP"/>
                </w:rPr>
                <w:t>NOTE: target cell N</w:t>
              </w:r>
            </w:ins>
            <w:ins w:id="24" w:author="Sequans - Olivier Marco" w:date="2022-09-30T11:19:00Z">
              <w:r>
                <w:rPr>
                  <w:rFonts w:eastAsia="Times New Roman"/>
                  <w:lang w:eastAsia="ja-JP"/>
                </w:rPr>
                <w:t xml:space="preserve">TN-config might be from </w:t>
              </w:r>
              <w:proofErr w:type="spellStart"/>
              <w:r>
                <w:rPr>
                  <w:i/>
                  <w:iCs/>
                </w:rPr>
                <w:t>reconfiguration</w:t>
              </w:r>
            </w:ins>
            <w:ins w:id="25" w:author="Sequans - Olivier Marco" w:date="2022-09-30T11:20:00Z">
              <w:r>
                <w:rPr>
                  <w:i/>
                  <w:iCs/>
                </w:rPr>
                <w:t>W</w:t>
              </w:r>
            </w:ins>
            <w:ins w:id="26" w:author="Sequans - Olivier Marco" w:date="2022-09-30T11:19:00Z">
              <w:r>
                <w:rPr>
                  <w:i/>
                  <w:iCs/>
                </w:rPr>
                <w:t>ith</w:t>
              </w:r>
            </w:ins>
            <w:ins w:id="27" w:author="Sequans - Olivier Marco" w:date="2022-09-30T11:20:00Z">
              <w:r>
                <w:rPr>
                  <w:i/>
                  <w:iCs/>
                </w:rPr>
                <w:t>S</w:t>
              </w:r>
            </w:ins>
            <w:ins w:id="28" w:author="Sequans - Olivier Marco" w:date="2022-09-30T11:19:00Z">
              <w:r>
                <w:rPr>
                  <w:i/>
                  <w:iCs/>
                </w:rPr>
                <w:t>ync</w:t>
              </w:r>
            </w:ins>
            <w:proofErr w:type="spellEnd"/>
            <w:ins w:id="29"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DengXian"/>
              </w:rPr>
            </w:pPr>
            <w:r>
              <w:rPr>
                <w:rFonts w:eastAsia="DengXian"/>
              </w:rPr>
              <w:t>Ericsson</w:t>
            </w:r>
          </w:p>
        </w:tc>
        <w:tc>
          <w:tcPr>
            <w:tcW w:w="2113" w:type="dxa"/>
            <w:shd w:val="clear" w:color="auto" w:fill="auto"/>
          </w:tcPr>
          <w:p w14:paraId="1D00CB05" w14:textId="31E86E43" w:rsidR="00DB03D6" w:rsidRDefault="00DB03D6" w:rsidP="00DB03D6">
            <w:pPr>
              <w:rPr>
                <w:rFonts w:eastAsia="DengXian"/>
              </w:rPr>
            </w:pPr>
            <w:r>
              <w:rPr>
                <w:rFonts w:eastAsia="DengXian"/>
              </w:rPr>
              <w:t>Agree</w:t>
            </w:r>
          </w:p>
        </w:tc>
        <w:tc>
          <w:tcPr>
            <w:tcW w:w="5954" w:type="dxa"/>
            <w:shd w:val="clear" w:color="auto" w:fill="auto"/>
          </w:tcPr>
          <w:p w14:paraId="427949D2" w14:textId="77777777" w:rsidR="00DB03D6" w:rsidRDefault="00DB03D6" w:rsidP="00DB03D6">
            <w:pPr>
              <w:rPr>
                <w:rFonts w:eastAsia="DengXian"/>
              </w:rPr>
            </w:pPr>
          </w:p>
        </w:tc>
      </w:tr>
      <w:tr w:rsidR="00DB03D6" w14:paraId="6FE6A90F" w14:textId="77777777" w:rsidTr="004B5817">
        <w:tc>
          <w:tcPr>
            <w:tcW w:w="1426" w:type="dxa"/>
            <w:shd w:val="clear" w:color="auto" w:fill="auto"/>
          </w:tcPr>
          <w:p w14:paraId="40714A6E" w14:textId="77777777" w:rsidR="00DB03D6" w:rsidRDefault="00DB03D6" w:rsidP="00DB03D6">
            <w:pPr>
              <w:rPr>
                <w:rFonts w:eastAsia="DengXian"/>
              </w:rPr>
            </w:pPr>
          </w:p>
        </w:tc>
        <w:tc>
          <w:tcPr>
            <w:tcW w:w="2113" w:type="dxa"/>
            <w:shd w:val="clear" w:color="auto" w:fill="auto"/>
          </w:tcPr>
          <w:p w14:paraId="55412EBC" w14:textId="77777777" w:rsidR="00DB03D6" w:rsidRDefault="00DB03D6" w:rsidP="00DB03D6">
            <w:pPr>
              <w:rPr>
                <w:rFonts w:eastAsia="DengXian"/>
              </w:rPr>
            </w:pPr>
          </w:p>
        </w:tc>
        <w:tc>
          <w:tcPr>
            <w:tcW w:w="5954" w:type="dxa"/>
            <w:shd w:val="clear" w:color="auto" w:fill="auto"/>
          </w:tcPr>
          <w:p w14:paraId="40AAB4CB" w14:textId="77777777" w:rsidR="00DB03D6" w:rsidRDefault="00DB03D6" w:rsidP="00DB03D6">
            <w:pPr>
              <w:jc w:val="left"/>
              <w:rPr>
                <w:rFonts w:eastAsia="DengXian"/>
              </w:rPr>
            </w:pPr>
          </w:p>
        </w:tc>
      </w:tr>
      <w:tr w:rsidR="00DB03D6" w14:paraId="1783826A" w14:textId="77777777" w:rsidTr="004B5817">
        <w:tc>
          <w:tcPr>
            <w:tcW w:w="1426" w:type="dxa"/>
            <w:shd w:val="clear" w:color="auto" w:fill="auto"/>
          </w:tcPr>
          <w:p w14:paraId="7EF09211" w14:textId="77777777" w:rsidR="00DB03D6" w:rsidRDefault="00DB03D6" w:rsidP="00DB03D6">
            <w:pPr>
              <w:rPr>
                <w:rFonts w:eastAsia="DengXian"/>
              </w:rPr>
            </w:pPr>
          </w:p>
        </w:tc>
        <w:tc>
          <w:tcPr>
            <w:tcW w:w="2113" w:type="dxa"/>
            <w:shd w:val="clear" w:color="auto" w:fill="auto"/>
          </w:tcPr>
          <w:p w14:paraId="6E208C7C" w14:textId="77777777" w:rsidR="00DB03D6" w:rsidRDefault="00DB03D6" w:rsidP="00DB03D6">
            <w:pPr>
              <w:rPr>
                <w:rFonts w:eastAsia="DengXian"/>
              </w:rPr>
            </w:pPr>
          </w:p>
        </w:tc>
        <w:tc>
          <w:tcPr>
            <w:tcW w:w="5954" w:type="dxa"/>
            <w:shd w:val="clear" w:color="auto" w:fill="auto"/>
          </w:tcPr>
          <w:p w14:paraId="71BA6A0E" w14:textId="77777777" w:rsidR="00DB03D6" w:rsidRDefault="00DB03D6" w:rsidP="00DB03D6">
            <w:pPr>
              <w:rPr>
                <w:rFonts w:eastAsia="DengXian"/>
              </w:rPr>
            </w:pPr>
          </w:p>
        </w:tc>
      </w:tr>
      <w:tr w:rsidR="00DB03D6" w14:paraId="2F35DDCF" w14:textId="77777777" w:rsidTr="004B5817">
        <w:tc>
          <w:tcPr>
            <w:tcW w:w="1426" w:type="dxa"/>
            <w:shd w:val="clear" w:color="auto" w:fill="auto"/>
          </w:tcPr>
          <w:p w14:paraId="2B2EE291" w14:textId="77777777" w:rsidR="00DB03D6" w:rsidRDefault="00DB03D6" w:rsidP="00DB03D6">
            <w:pPr>
              <w:rPr>
                <w:rFonts w:eastAsia="DengXian"/>
              </w:rPr>
            </w:pPr>
          </w:p>
        </w:tc>
        <w:tc>
          <w:tcPr>
            <w:tcW w:w="2113" w:type="dxa"/>
            <w:shd w:val="clear" w:color="auto" w:fill="auto"/>
          </w:tcPr>
          <w:p w14:paraId="40B6A825" w14:textId="77777777" w:rsidR="00DB03D6" w:rsidRDefault="00DB03D6" w:rsidP="00DB03D6">
            <w:pPr>
              <w:rPr>
                <w:rFonts w:eastAsia="DengXian"/>
              </w:rPr>
            </w:pPr>
          </w:p>
        </w:tc>
        <w:tc>
          <w:tcPr>
            <w:tcW w:w="5954" w:type="dxa"/>
            <w:shd w:val="clear" w:color="auto" w:fill="auto"/>
          </w:tcPr>
          <w:p w14:paraId="3A5D7A9E" w14:textId="77777777" w:rsidR="00DB03D6" w:rsidRDefault="00DB03D6" w:rsidP="00DB03D6">
            <w:pPr>
              <w:rPr>
                <w:rFonts w:eastAsia="DengXian"/>
              </w:rPr>
            </w:pPr>
          </w:p>
        </w:tc>
      </w:tr>
      <w:tr w:rsidR="00DB03D6" w14:paraId="68258601" w14:textId="77777777" w:rsidTr="004B5817">
        <w:tc>
          <w:tcPr>
            <w:tcW w:w="1426" w:type="dxa"/>
            <w:shd w:val="clear" w:color="auto" w:fill="auto"/>
          </w:tcPr>
          <w:p w14:paraId="408B22F2" w14:textId="77777777" w:rsidR="00DB03D6" w:rsidRDefault="00DB03D6" w:rsidP="00DB03D6">
            <w:pPr>
              <w:rPr>
                <w:rFonts w:eastAsia="DengXian"/>
              </w:rPr>
            </w:pPr>
          </w:p>
        </w:tc>
        <w:tc>
          <w:tcPr>
            <w:tcW w:w="2113" w:type="dxa"/>
            <w:shd w:val="clear" w:color="auto" w:fill="auto"/>
          </w:tcPr>
          <w:p w14:paraId="34C8621A" w14:textId="77777777" w:rsidR="00DB03D6" w:rsidRDefault="00DB03D6" w:rsidP="00DB03D6">
            <w:pPr>
              <w:rPr>
                <w:rFonts w:eastAsia="DengXian"/>
              </w:rPr>
            </w:pPr>
          </w:p>
        </w:tc>
        <w:tc>
          <w:tcPr>
            <w:tcW w:w="5954" w:type="dxa"/>
            <w:shd w:val="clear" w:color="auto" w:fill="auto"/>
          </w:tcPr>
          <w:p w14:paraId="06683E2A" w14:textId="77777777" w:rsidR="00DB03D6" w:rsidRDefault="00DB03D6" w:rsidP="00DB03D6">
            <w:pPr>
              <w:rPr>
                <w:rFonts w:eastAsia="PMingLiU"/>
                <w:lang w:eastAsia="zh-TW"/>
              </w:rPr>
            </w:pPr>
          </w:p>
        </w:tc>
      </w:tr>
      <w:tr w:rsidR="00DB03D6" w14:paraId="458BB475" w14:textId="77777777" w:rsidTr="004B5817">
        <w:tc>
          <w:tcPr>
            <w:tcW w:w="1426" w:type="dxa"/>
            <w:shd w:val="clear" w:color="auto" w:fill="auto"/>
          </w:tcPr>
          <w:p w14:paraId="0292CFC6" w14:textId="77777777" w:rsidR="00DB03D6" w:rsidRDefault="00DB03D6" w:rsidP="00DB03D6">
            <w:pPr>
              <w:rPr>
                <w:rFonts w:eastAsia="DengXian"/>
              </w:rPr>
            </w:pPr>
          </w:p>
        </w:tc>
        <w:tc>
          <w:tcPr>
            <w:tcW w:w="2113" w:type="dxa"/>
            <w:shd w:val="clear" w:color="auto" w:fill="auto"/>
          </w:tcPr>
          <w:p w14:paraId="553998A0" w14:textId="77777777" w:rsidR="00DB03D6" w:rsidRDefault="00DB03D6" w:rsidP="00DB03D6">
            <w:pPr>
              <w:rPr>
                <w:rFonts w:eastAsia="DengXian"/>
              </w:rPr>
            </w:pPr>
          </w:p>
        </w:tc>
        <w:tc>
          <w:tcPr>
            <w:tcW w:w="5954" w:type="dxa"/>
            <w:shd w:val="clear" w:color="auto" w:fill="auto"/>
          </w:tcPr>
          <w:p w14:paraId="1DA106B9" w14:textId="77777777" w:rsidR="00DB03D6" w:rsidRDefault="00DB03D6" w:rsidP="00DB03D6">
            <w:pPr>
              <w:jc w:val="left"/>
              <w:rPr>
                <w:rFonts w:eastAsia="DengXian"/>
              </w:rPr>
            </w:pPr>
          </w:p>
        </w:tc>
      </w:tr>
      <w:tr w:rsidR="00DB03D6" w14:paraId="100B6782" w14:textId="77777777" w:rsidTr="004B5817">
        <w:tc>
          <w:tcPr>
            <w:tcW w:w="1426" w:type="dxa"/>
            <w:shd w:val="clear" w:color="auto" w:fill="auto"/>
          </w:tcPr>
          <w:p w14:paraId="1B96D0C3" w14:textId="77777777" w:rsidR="00DB03D6" w:rsidRDefault="00DB03D6" w:rsidP="00DB03D6">
            <w:pPr>
              <w:rPr>
                <w:rFonts w:eastAsia="DengXian"/>
              </w:rPr>
            </w:pPr>
          </w:p>
        </w:tc>
        <w:tc>
          <w:tcPr>
            <w:tcW w:w="2113" w:type="dxa"/>
            <w:shd w:val="clear" w:color="auto" w:fill="auto"/>
          </w:tcPr>
          <w:p w14:paraId="03D37DAB" w14:textId="77777777" w:rsidR="00DB03D6" w:rsidRDefault="00DB03D6" w:rsidP="00DB03D6">
            <w:pPr>
              <w:rPr>
                <w:rFonts w:eastAsia="DengXian"/>
              </w:rPr>
            </w:pPr>
          </w:p>
        </w:tc>
        <w:tc>
          <w:tcPr>
            <w:tcW w:w="5954" w:type="dxa"/>
            <w:shd w:val="clear" w:color="auto" w:fill="auto"/>
          </w:tcPr>
          <w:p w14:paraId="6388BEC5" w14:textId="77777777" w:rsidR="00DB03D6" w:rsidRDefault="00DB03D6" w:rsidP="00DB03D6">
            <w:pPr>
              <w:rPr>
                <w:rFonts w:eastAsia="PMingLiU"/>
                <w:lang w:eastAsia="zh-TW"/>
              </w:rPr>
            </w:pPr>
          </w:p>
        </w:tc>
      </w:tr>
      <w:tr w:rsidR="00DB03D6" w14:paraId="2A067EF0" w14:textId="77777777" w:rsidTr="004B5817">
        <w:tc>
          <w:tcPr>
            <w:tcW w:w="1426" w:type="dxa"/>
            <w:shd w:val="clear" w:color="auto" w:fill="auto"/>
          </w:tcPr>
          <w:p w14:paraId="208E94D6" w14:textId="77777777" w:rsidR="00DB03D6" w:rsidRDefault="00DB03D6" w:rsidP="00DB03D6">
            <w:pPr>
              <w:rPr>
                <w:rFonts w:eastAsia="DengXian"/>
              </w:rPr>
            </w:pPr>
          </w:p>
        </w:tc>
        <w:tc>
          <w:tcPr>
            <w:tcW w:w="2113" w:type="dxa"/>
            <w:shd w:val="clear" w:color="auto" w:fill="auto"/>
          </w:tcPr>
          <w:p w14:paraId="18F08879" w14:textId="77777777" w:rsidR="00DB03D6" w:rsidRDefault="00DB03D6" w:rsidP="00DB03D6">
            <w:pPr>
              <w:rPr>
                <w:rFonts w:eastAsia="DengXian"/>
              </w:rPr>
            </w:pPr>
          </w:p>
        </w:tc>
        <w:tc>
          <w:tcPr>
            <w:tcW w:w="5954" w:type="dxa"/>
            <w:shd w:val="clear" w:color="auto" w:fill="auto"/>
          </w:tcPr>
          <w:p w14:paraId="5EB03C4F" w14:textId="77777777" w:rsidR="00DB03D6" w:rsidRDefault="00DB03D6" w:rsidP="00DB03D6">
            <w:pPr>
              <w:rPr>
                <w:rFonts w:eastAsia="PMingLiU"/>
                <w:lang w:eastAsia="zh-TW"/>
              </w:rPr>
            </w:pPr>
          </w:p>
        </w:tc>
      </w:tr>
      <w:tr w:rsidR="00DB03D6" w14:paraId="26166D2C" w14:textId="77777777" w:rsidTr="004B5817">
        <w:tc>
          <w:tcPr>
            <w:tcW w:w="1426" w:type="dxa"/>
            <w:shd w:val="clear" w:color="auto" w:fill="auto"/>
          </w:tcPr>
          <w:p w14:paraId="564087AA" w14:textId="77777777" w:rsidR="00DB03D6" w:rsidRDefault="00DB03D6" w:rsidP="00DB03D6">
            <w:pPr>
              <w:rPr>
                <w:rFonts w:eastAsia="DengXian"/>
              </w:rPr>
            </w:pPr>
          </w:p>
        </w:tc>
        <w:tc>
          <w:tcPr>
            <w:tcW w:w="2113" w:type="dxa"/>
            <w:shd w:val="clear" w:color="auto" w:fill="auto"/>
          </w:tcPr>
          <w:p w14:paraId="04A173BB" w14:textId="77777777" w:rsidR="00DB03D6" w:rsidRDefault="00DB03D6" w:rsidP="00DB03D6">
            <w:pPr>
              <w:rPr>
                <w:rFonts w:eastAsia="DengXian"/>
              </w:rPr>
            </w:pPr>
          </w:p>
        </w:tc>
        <w:tc>
          <w:tcPr>
            <w:tcW w:w="5954" w:type="dxa"/>
            <w:shd w:val="clear" w:color="auto" w:fill="auto"/>
          </w:tcPr>
          <w:p w14:paraId="40E180C9" w14:textId="77777777" w:rsidR="00DB03D6" w:rsidRDefault="00DB03D6" w:rsidP="00DB03D6">
            <w:pPr>
              <w:rPr>
                <w:rFonts w:eastAsia="DengXian"/>
              </w:rPr>
            </w:pPr>
          </w:p>
        </w:tc>
      </w:tr>
      <w:tr w:rsidR="00DB03D6" w14:paraId="62CA40BE" w14:textId="77777777" w:rsidTr="004B5817">
        <w:tc>
          <w:tcPr>
            <w:tcW w:w="1426" w:type="dxa"/>
            <w:shd w:val="clear" w:color="auto" w:fill="auto"/>
          </w:tcPr>
          <w:p w14:paraId="4566F5C5" w14:textId="77777777" w:rsidR="00DB03D6" w:rsidRDefault="00DB03D6" w:rsidP="00DB03D6">
            <w:pPr>
              <w:rPr>
                <w:rFonts w:eastAsia="DengXian"/>
              </w:rPr>
            </w:pPr>
          </w:p>
        </w:tc>
        <w:tc>
          <w:tcPr>
            <w:tcW w:w="2113" w:type="dxa"/>
            <w:shd w:val="clear" w:color="auto" w:fill="auto"/>
          </w:tcPr>
          <w:p w14:paraId="19EF56AB" w14:textId="77777777" w:rsidR="00DB03D6" w:rsidRDefault="00DB03D6" w:rsidP="00DB03D6">
            <w:pPr>
              <w:rPr>
                <w:rFonts w:eastAsia="DengXian"/>
              </w:rPr>
            </w:pPr>
          </w:p>
        </w:tc>
        <w:tc>
          <w:tcPr>
            <w:tcW w:w="5954" w:type="dxa"/>
            <w:shd w:val="clear" w:color="auto" w:fill="auto"/>
          </w:tcPr>
          <w:p w14:paraId="0DDC9845" w14:textId="77777777" w:rsidR="00DB03D6" w:rsidRDefault="00DB03D6" w:rsidP="00DB03D6">
            <w:pPr>
              <w:rPr>
                <w:rFonts w:eastAsia="DengXian"/>
              </w:rPr>
            </w:pPr>
          </w:p>
        </w:tc>
      </w:tr>
      <w:tr w:rsidR="00DB03D6"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DB03D6" w:rsidRDefault="00DB03D6" w:rsidP="00DB03D6">
            <w:pPr>
              <w:rPr>
                <w:rFonts w:eastAsiaTheme="minorEastAsia"/>
              </w:rPr>
            </w:pPr>
          </w:p>
        </w:tc>
      </w:tr>
      <w:tr w:rsidR="00DB03D6"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DB03D6" w:rsidRDefault="00DB03D6" w:rsidP="00DB03D6">
            <w:pPr>
              <w:rPr>
                <w:rFonts w:eastAsiaTheme="minorEastAsia"/>
              </w:rPr>
            </w:pPr>
          </w:p>
        </w:tc>
      </w:tr>
      <w:tr w:rsidR="00DB03D6"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DB03D6" w:rsidRDefault="00DB03D6" w:rsidP="00DB03D6">
            <w:pPr>
              <w:rPr>
                <w:rFonts w:eastAsiaTheme="minorEastAsia"/>
              </w:rPr>
            </w:pPr>
          </w:p>
        </w:tc>
      </w:tr>
      <w:tr w:rsidR="00DB03D6"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DB03D6" w:rsidRDefault="00DB03D6" w:rsidP="00DB03D6">
            <w:pPr>
              <w:rPr>
                <w:rFonts w:eastAsiaTheme="minorEastAsia"/>
              </w:rPr>
            </w:pPr>
          </w:p>
        </w:tc>
      </w:tr>
      <w:tr w:rsidR="00DB03D6"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DB03D6" w:rsidRDefault="00DB03D6" w:rsidP="00DB03D6">
            <w:pPr>
              <w:rPr>
                <w:rFonts w:eastAsiaTheme="minorEastAsia"/>
              </w:rPr>
            </w:pPr>
          </w:p>
        </w:tc>
      </w:tr>
      <w:tr w:rsidR="00DB03D6"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DB03D6" w:rsidRDefault="00DB03D6" w:rsidP="00DB03D6">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lastRenderedPageBreak/>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 xml:space="preserve">Why the timer </w:t>
            </w:r>
            <w:proofErr w:type="gramStart"/>
            <w:r>
              <w:rPr>
                <w:rFonts w:eastAsia="DengXian"/>
                <w:lang w:val="en-US"/>
              </w:rPr>
              <w:t>has to</w:t>
            </w:r>
            <w:proofErr w:type="gramEnd"/>
            <w:r>
              <w:rPr>
                <w:rFonts w:eastAsia="DengXian"/>
                <w:lang w:val="en-US"/>
              </w:rPr>
              <w:t xml:space="preserve">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proofErr w:type="gramStart"/>
            <w:r>
              <w:rPr>
                <w:rFonts w:eastAsia="DengXian"/>
              </w:rPr>
              <w:t>Considering its functionality, there</w:t>
            </w:r>
            <w:proofErr w:type="gramEnd"/>
            <w:r>
              <w:rPr>
                <w:rFonts w:eastAsia="DengXian"/>
              </w:rPr>
              <w:t xml:space="preserv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proofErr w:type="spellStart"/>
            <w:r>
              <w:rPr>
                <w:rFonts w:eastAsia="DengXian"/>
                <w:color w:val="000000" w:themeColor="text1"/>
              </w:rPr>
              <w:t>ASUSTeK</w:t>
            </w:r>
            <w:proofErr w:type="spellEnd"/>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w:t>
            </w:r>
            <w:proofErr w:type="gramStart"/>
            <w:r>
              <w:rPr>
                <w:rFonts w:eastAsia="PMingLiU"/>
                <w:color w:val="000000" w:themeColor="text1"/>
                <w:lang w:eastAsia="zh-TW"/>
              </w:rPr>
              <w:t>e.g.</w:t>
            </w:r>
            <w:proofErr w:type="gramEnd"/>
            <w:r>
              <w:rPr>
                <w:rFonts w:eastAsia="PMingLiU"/>
                <w:color w:val="000000" w:themeColor="text1"/>
                <w:lang w:eastAsia="zh-TW"/>
              </w:rPr>
              <w:t xml:space="preserve">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DengXian"/>
              </w:rPr>
            </w:pPr>
            <w:r>
              <w:rPr>
                <w:rFonts w:eastAsia="DengXian" w:hint="eastAsia"/>
                <w:lang w:val="en-US"/>
              </w:rPr>
              <w:t>CATT</w:t>
            </w:r>
          </w:p>
        </w:tc>
        <w:tc>
          <w:tcPr>
            <w:tcW w:w="2113" w:type="dxa"/>
            <w:shd w:val="clear" w:color="auto" w:fill="auto"/>
          </w:tcPr>
          <w:p w14:paraId="5F6F820F" w14:textId="1CCB1B6B" w:rsidR="00633EC8" w:rsidRDefault="00633EC8" w:rsidP="004F1AE2">
            <w:pPr>
              <w:rPr>
                <w:rFonts w:eastAsia="DengXian"/>
              </w:rPr>
            </w:pPr>
            <w:r>
              <w:rPr>
                <w:rFonts w:eastAsia="DengXian"/>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DengXian"/>
              </w:rPr>
            </w:pPr>
            <w:r>
              <w:rPr>
                <w:rFonts w:eastAsia="DengXian"/>
              </w:rPr>
              <w:t>Ericsson</w:t>
            </w:r>
          </w:p>
        </w:tc>
        <w:tc>
          <w:tcPr>
            <w:tcW w:w="2113" w:type="dxa"/>
            <w:shd w:val="clear" w:color="auto" w:fill="auto"/>
          </w:tcPr>
          <w:p w14:paraId="6DC08D62" w14:textId="635A2DF5" w:rsidR="00DB03D6" w:rsidRDefault="00DB03D6" w:rsidP="00DB03D6">
            <w:pPr>
              <w:rPr>
                <w:rFonts w:eastAsia="DengXian"/>
              </w:rPr>
            </w:pPr>
            <w:r>
              <w:rPr>
                <w:rFonts w:eastAsia="DengXian"/>
              </w:rPr>
              <w:t>Agree</w:t>
            </w:r>
          </w:p>
        </w:tc>
        <w:tc>
          <w:tcPr>
            <w:tcW w:w="5954" w:type="dxa"/>
            <w:shd w:val="clear" w:color="auto" w:fill="auto"/>
          </w:tcPr>
          <w:p w14:paraId="0EFCED61" w14:textId="77777777" w:rsidR="00DB03D6" w:rsidRDefault="00DB03D6" w:rsidP="00DB03D6">
            <w:pPr>
              <w:rPr>
                <w:rFonts w:eastAsia="PMingLiU"/>
                <w:lang w:eastAsia="zh-TW"/>
              </w:rPr>
            </w:pPr>
          </w:p>
        </w:tc>
      </w:tr>
      <w:tr w:rsidR="00DB03D6" w14:paraId="42D8B502" w14:textId="77777777" w:rsidTr="004B5817">
        <w:tc>
          <w:tcPr>
            <w:tcW w:w="1426" w:type="dxa"/>
            <w:shd w:val="clear" w:color="auto" w:fill="auto"/>
          </w:tcPr>
          <w:p w14:paraId="50C0A7F2" w14:textId="77777777" w:rsidR="00DB03D6" w:rsidRDefault="00DB03D6" w:rsidP="00DB03D6">
            <w:pPr>
              <w:rPr>
                <w:rFonts w:eastAsia="DengXian"/>
              </w:rPr>
            </w:pPr>
          </w:p>
        </w:tc>
        <w:tc>
          <w:tcPr>
            <w:tcW w:w="2113" w:type="dxa"/>
            <w:shd w:val="clear" w:color="auto" w:fill="auto"/>
          </w:tcPr>
          <w:p w14:paraId="09F7D3FF" w14:textId="77777777" w:rsidR="00DB03D6" w:rsidRDefault="00DB03D6" w:rsidP="00DB03D6">
            <w:pPr>
              <w:rPr>
                <w:rFonts w:eastAsia="DengXian"/>
              </w:rPr>
            </w:pPr>
          </w:p>
        </w:tc>
        <w:tc>
          <w:tcPr>
            <w:tcW w:w="5954" w:type="dxa"/>
            <w:shd w:val="clear" w:color="auto" w:fill="auto"/>
          </w:tcPr>
          <w:p w14:paraId="038C9264" w14:textId="77777777" w:rsidR="00DB03D6" w:rsidRDefault="00DB03D6" w:rsidP="00DB03D6">
            <w:pPr>
              <w:rPr>
                <w:rFonts w:eastAsia="DengXian"/>
              </w:rPr>
            </w:pPr>
          </w:p>
        </w:tc>
      </w:tr>
      <w:tr w:rsidR="00DB03D6" w14:paraId="2E900A43" w14:textId="77777777" w:rsidTr="004B5817">
        <w:tc>
          <w:tcPr>
            <w:tcW w:w="1426" w:type="dxa"/>
            <w:shd w:val="clear" w:color="auto" w:fill="auto"/>
          </w:tcPr>
          <w:p w14:paraId="0EA4EDCA" w14:textId="77777777" w:rsidR="00DB03D6" w:rsidRDefault="00DB03D6" w:rsidP="00DB03D6">
            <w:pPr>
              <w:rPr>
                <w:rFonts w:eastAsia="DengXian"/>
              </w:rPr>
            </w:pPr>
          </w:p>
        </w:tc>
        <w:tc>
          <w:tcPr>
            <w:tcW w:w="2113" w:type="dxa"/>
            <w:shd w:val="clear" w:color="auto" w:fill="auto"/>
          </w:tcPr>
          <w:p w14:paraId="68430C9D" w14:textId="77777777" w:rsidR="00DB03D6" w:rsidRDefault="00DB03D6" w:rsidP="00DB03D6">
            <w:pPr>
              <w:rPr>
                <w:rFonts w:eastAsia="DengXian"/>
              </w:rPr>
            </w:pPr>
          </w:p>
        </w:tc>
        <w:tc>
          <w:tcPr>
            <w:tcW w:w="5954" w:type="dxa"/>
            <w:shd w:val="clear" w:color="auto" w:fill="auto"/>
          </w:tcPr>
          <w:p w14:paraId="6F47BFA5" w14:textId="77777777" w:rsidR="00DB03D6" w:rsidRDefault="00DB03D6" w:rsidP="00DB03D6">
            <w:pPr>
              <w:rPr>
                <w:rFonts w:eastAsia="DengXian"/>
              </w:rPr>
            </w:pPr>
          </w:p>
        </w:tc>
      </w:tr>
      <w:tr w:rsidR="00DB03D6"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DB03D6" w:rsidRDefault="00DB03D6" w:rsidP="00DB03D6">
            <w:pPr>
              <w:rPr>
                <w:rFonts w:eastAsiaTheme="minorEastAsia"/>
              </w:rPr>
            </w:pPr>
          </w:p>
        </w:tc>
      </w:tr>
      <w:tr w:rsidR="00DB03D6"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DB03D6" w:rsidRDefault="00DB03D6" w:rsidP="00DB03D6">
            <w:pPr>
              <w:rPr>
                <w:rFonts w:eastAsiaTheme="minorEastAsia"/>
              </w:rPr>
            </w:pPr>
          </w:p>
        </w:tc>
      </w:tr>
      <w:tr w:rsidR="00DB03D6"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DB03D6" w:rsidRDefault="00DB03D6" w:rsidP="00DB03D6">
            <w:pPr>
              <w:rPr>
                <w:rFonts w:eastAsiaTheme="minorEastAsia"/>
              </w:rPr>
            </w:pPr>
          </w:p>
        </w:tc>
      </w:tr>
      <w:tr w:rsidR="00DB03D6"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DB03D6" w:rsidRDefault="00DB03D6" w:rsidP="00DB03D6">
            <w:pPr>
              <w:rPr>
                <w:rFonts w:eastAsiaTheme="minorEastAsia"/>
              </w:rPr>
            </w:pPr>
          </w:p>
        </w:tc>
      </w:tr>
      <w:tr w:rsidR="00DB03D6"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DB03D6" w:rsidRDefault="00DB03D6" w:rsidP="00DB03D6">
            <w:pPr>
              <w:rPr>
                <w:rFonts w:eastAsiaTheme="minorEastAsia"/>
              </w:rPr>
            </w:pPr>
          </w:p>
        </w:tc>
      </w:tr>
      <w:tr w:rsidR="00DB03D6"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DB03D6" w:rsidRDefault="00DB03D6" w:rsidP="00DB03D6">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Upon UE selecting a suitable cell in RRC re-establishment procedure (</w:t>
      </w:r>
      <w:proofErr w:type="gramStart"/>
      <w:r>
        <w:t>e.g.</w:t>
      </w:r>
      <w:proofErr w:type="gramEnd"/>
      <w:r>
        <w:t xml:space="preserve">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 xml:space="preserve">ensure having valid and up to date essential system information as specified in clause </w:t>
            </w:r>
            <w:proofErr w:type="gramStart"/>
            <w:r>
              <w:t>5.2.2.2;</w:t>
            </w:r>
            <w:proofErr w:type="gramEnd"/>
          </w:p>
          <w:p w14:paraId="3F998118" w14:textId="77777777" w:rsidR="00B645CD" w:rsidRDefault="00B645CD" w:rsidP="004B5817">
            <w:pPr>
              <w:pStyle w:val="B1"/>
              <w:rPr>
                <w:ins w:id="30" w:author="Samsung (Shiyang Leng)" w:date="2022-10-10T22:25:00Z"/>
              </w:rPr>
            </w:pPr>
            <w:ins w:id="31" w:author="Samsung (Shiyang Leng)" w:date="2022-10-10T22:25:00Z">
              <w:r>
                <w:t>1&gt;</w:t>
              </w:r>
              <w:r>
                <w:tab/>
                <w:t>if the selected cell is an NTN cell:</w:t>
              </w:r>
            </w:ins>
          </w:p>
          <w:p w14:paraId="7EFA3E78" w14:textId="77777777" w:rsidR="00B645CD" w:rsidRDefault="00B645CD" w:rsidP="004B5817">
            <w:pPr>
              <w:pStyle w:val="B2"/>
            </w:pPr>
            <w:ins w:id="32" w:author="Samsung (Shiyang Leng)" w:date="2022-10-10T22:25:00Z">
              <w:r>
                <w:t>2&gt;</w:t>
              </w:r>
              <w:r>
                <w:tab/>
                <w:t xml:space="preserve">acquire SIB19 as defined in clause </w:t>
              </w:r>
              <w:proofErr w:type="gramStart"/>
              <w:r>
                <w:t>5.2.2.3.2;</w:t>
              </w:r>
            </w:ins>
            <w:proofErr w:type="gramEnd"/>
          </w:p>
          <w:p w14:paraId="613B901B" w14:textId="77777777" w:rsidR="00B645CD" w:rsidRDefault="00B645CD" w:rsidP="004B5817">
            <w:pPr>
              <w:pStyle w:val="B1"/>
            </w:pPr>
            <w:r>
              <w:t>1&gt;</w:t>
            </w:r>
            <w:r>
              <w:tab/>
              <w:t xml:space="preserve">stop timer </w:t>
            </w:r>
            <w:proofErr w:type="gramStart"/>
            <w:r>
              <w:t>T311;</w:t>
            </w:r>
            <w:proofErr w:type="gramEnd"/>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subframe indicated by </w:t>
            </w:r>
            <w:proofErr w:type="spellStart"/>
            <w:proofErr w:type="gramStart"/>
            <w:r>
              <w:rPr>
                <w:i/>
                <w:iCs/>
              </w:rPr>
              <w:t>epochTime</w:t>
            </w:r>
            <w:proofErr w:type="spellEnd"/>
            <w:r>
              <w:t>;</w:t>
            </w:r>
            <w:proofErr w:type="gramEnd"/>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3"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 xml:space="preserve">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t>
            </w:r>
            <w:proofErr w:type="gramStart"/>
            <w:r>
              <w:rPr>
                <w:rFonts w:eastAsia="DengXian" w:hint="eastAsia"/>
                <w:lang w:val="en-US"/>
              </w:rPr>
              <w:t>We</w:t>
            </w:r>
            <w:proofErr w:type="gramEnd"/>
            <w:r>
              <w:rPr>
                <w:rFonts w:eastAsia="DengXian" w:hint="eastAsia"/>
                <w:lang w:val="en-US"/>
              </w:rPr>
              <w:t xml:space="preserve"> think it would be enough:</w:t>
            </w:r>
          </w:p>
          <w:p w14:paraId="50FE85D2" w14:textId="77777777" w:rsidR="00B645CD" w:rsidRDefault="00B645CD" w:rsidP="004B5817">
            <w:pPr>
              <w:pStyle w:val="Heading4"/>
              <w:rPr>
                <w:rFonts w:eastAsia="MS Mincho"/>
              </w:rPr>
            </w:pPr>
            <w:bookmarkStart w:id="34" w:name="_Toc100929532"/>
            <w:r>
              <w:rPr>
                <w:rFonts w:eastAsia="MS Mincho"/>
              </w:rPr>
              <w:t>5.2.2.5</w:t>
            </w:r>
            <w:r>
              <w:rPr>
                <w:rFonts w:eastAsia="MS Mincho"/>
              </w:rPr>
              <w:tab/>
              <w:t>Essential system information missing</w:t>
            </w:r>
            <w:bookmarkEnd w:id="34"/>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5" w:author="xiaowei-xiaomi" w:date="2022-09-27T19:44:00Z"/>
                <w:rFonts w:eastAsia="SimSun"/>
                <w:lang w:val="en-US"/>
              </w:rPr>
            </w:pPr>
            <w:ins w:id="36" w:author="xiaowei-xiaomi" w:date="2022-09-27T19:44:00Z">
              <w:r>
                <w:t>NOTE:</w:t>
              </w:r>
              <w:r>
                <w:tab/>
              </w:r>
            </w:ins>
            <w:ins w:id="37" w:author="xiaowei-xiaomi" w:date="2022-10-12T11:59:00Z">
              <w:r>
                <w:rPr>
                  <w:rFonts w:eastAsia="SimSun" w:hint="eastAsia"/>
                  <w:lang w:val="en-US"/>
                </w:rPr>
                <w:t>SIB19 is essential</w:t>
              </w:r>
            </w:ins>
            <w:ins w:id="38"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lastRenderedPageBreak/>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w:t>
            </w:r>
            <w:proofErr w:type="spellEnd"/>
            <w:r>
              <w:rPr>
                <w:rFonts w:eastAsia="DengXian"/>
              </w:rPr>
              <w:t>-config.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DengXian"/>
              </w:rPr>
            </w:pPr>
            <w:r>
              <w:rPr>
                <w:rFonts w:eastAsia="DengXian"/>
              </w:rPr>
              <w:t>CATT</w:t>
            </w:r>
          </w:p>
        </w:tc>
        <w:tc>
          <w:tcPr>
            <w:tcW w:w="2113" w:type="dxa"/>
            <w:shd w:val="clear" w:color="auto" w:fill="auto"/>
          </w:tcPr>
          <w:p w14:paraId="74D598FF" w14:textId="761131F4" w:rsidR="00633EC8" w:rsidRDefault="00633EC8" w:rsidP="004B5817">
            <w:pPr>
              <w:rPr>
                <w:rFonts w:eastAsia="DengXian"/>
              </w:rPr>
            </w:pPr>
            <w:r>
              <w:rPr>
                <w:rFonts w:eastAsia="DengXian"/>
              </w:rPr>
              <w:t>None</w:t>
            </w:r>
          </w:p>
        </w:tc>
        <w:tc>
          <w:tcPr>
            <w:tcW w:w="5954" w:type="dxa"/>
            <w:shd w:val="clear" w:color="auto" w:fill="auto"/>
          </w:tcPr>
          <w:p w14:paraId="415B6985" w14:textId="5E129CFE" w:rsidR="00633EC8" w:rsidRDefault="00633EC8" w:rsidP="004B5817">
            <w:pPr>
              <w:jc w:val="left"/>
              <w:rPr>
                <w:rFonts w:eastAsia="DengXian"/>
              </w:rPr>
            </w:pPr>
            <w:r>
              <w:rPr>
                <w:rFonts w:eastAsia="DengXian"/>
              </w:rPr>
              <w:t>A</w:t>
            </w:r>
            <w:r w:rsidR="004C1649">
              <w:rPr>
                <w:rFonts w:eastAsia="DengXian" w:hint="eastAsia"/>
              </w:rPr>
              <w:t>gree with X</w:t>
            </w:r>
            <w:r>
              <w:rPr>
                <w:rFonts w:eastAsia="DengXian"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DengXian"/>
              </w:rPr>
            </w:pPr>
            <w:r>
              <w:rPr>
                <w:rFonts w:eastAsia="DengXian"/>
              </w:rPr>
              <w:t>Ericsson</w:t>
            </w:r>
          </w:p>
        </w:tc>
        <w:tc>
          <w:tcPr>
            <w:tcW w:w="2113" w:type="dxa"/>
            <w:shd w:val="clear" w:color="auto" w:fill="auto"/>
          </w:tcPr>
          <w:p w14:paraId="0759A772" w14:textId="3C53E86E" w:rsidR="00DB03D6" w:rsidRDefault="00DB03D6" w:rsidP="00DB03D6">
            <w:pPr>
              <w:rPr>
                <w:rFonts w:eastAsia="DengXian"/>
              </w:rPr>
            </w:pPr>
            <w:r>
              <w:rPr>
                <w:rFonts w:eastAsia="DengXian"/>
              </w:rPr>
              <w:t>Option 3</w:t>
            </w:r>
          </w:p>
        </w:tc>
        <w:tc>
          <w:tcPr>
            <w:tcW w:w="5954" w:type="dxa"/>
            <w:shd w:val="clear" w:color="auto" w:fill="auto"/>
          </w:tcPr>
          <w:p w14:paraId="366700FC" w14:textId="77777777" w:rsidR="00DB03D6" w:rsidRDefault="00DB03D6" w:rsidP="00DB03D6">
            <w:pPr>
              <w:rPr>
                <w:rFonts w:eastAsia="DengXian"/>
              </w:rPr>
            </w:pPr>
            <w:r>
              <w:rPr>
                <w:rFonts w:eastAsia="DengXian"/>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DengXian"/>
              </w:rPr>
            </w:pPr>
            <w:r>
              <w:rPr>
                <w:rFonts w:eastAsia="DengXian"/>
              </w:rPr>
              <w:t>It is not yet an agreement that SIB19 is specified as Essential SI of Clause 5.2.2.5</w:t>
            </w:r>
          </w:p>
          <w:p w14:paraId="3A070378" w14:textId="77777777" w:rsidR="00DB03D6" w:rsidRDefault="00DB03D6" w:rsidP="00DB03D6">
            <w:pPr>
              <w:rPr>
                <w:rFonts w:eastAsia="DengXian"/>
              </w:rPr>
            </w:pPr>
          </w:p>
          <w:p w14:paraId="1579832E" w14:textId="3A1CF101" w:rsidR="00DB03D6" w:rsidRDefault="00DB03D6" w:rsidP="00DB03D6">
            <w:pPr>
              <w:rPr>
                <w:rFonts w:eastAsia="PMingLiU"/>
                <w:lang w:eastAsia="zh-TW"/>
              </w:rPr>
            </w:pPr>
            <w:r>
              <w:rPr>
                <w:rFonts w:eastAsia="DengXian"/>
              </w:rPr>
              <w:t>RAN2 needs to discuss and make such clear agreement if consensus. If no consensus on essentiality, option 1 or 2 is fine.</w:t>
            </w:r>
          </w:p>
        </w:tc>
      </w:tr>
      <w:tr w:rsidR="00DB03D6" w14:paraId="38A369E3" w14:textId="77777777" w:rsidTr="004B5817">
        <w:tc>
          <w:tcPr>
            <w:tcW w:w="1426" w:type="dxa"/>
            <w:shd w:val="clear" w:color="auto" w:fill="auto"/>
          </w:tcPr>
          <w:p w14:paraId="27F84096" w14:textId="77777777" w:rsidR="00DB03D6" w:rsidRDefault="00DB03D6" w:rsidP="00DB03D6">
            <w:pPr>
              <w:rPr>
                <w:rFonts w:eastAsia="DengXian"/>
              </w:rPr>
            </w:pPr>
          </w:p>
        </w:tc>
        <w:tc>
          <w:tcPr>
            <w:tcW w:w="2113" w:type="dxa"/>
            <w:shd w:val="clear" w:color="auto" w:fill="auto"/>
          </w:tcPr>
          <w:p w14:paraId="79D2887D" w14:textId="77777777" w:rsidR="00DB03D6" w:rsidRDefault="00DB03D6" w:rsidP="00DB03D6">
            <w:pPr>
              <w:rPr>
                <w:rFonts w:eastAsia="DengXian"/>
              </w:rPr>
            </w:pPr>
          </w:p>
        </w:tc>
        <w:tc>
          <w:tcPr>
            <w:tcW w:w="5954" w:type="dxa"/>
            <w:shd w:val="clear" w:color="auto" w:fill="auto"/>
          </w:tcPr>
          <w:p w14:paraId="1CCB26FD" w14:textId="77777777" w:rsidR="00DB03D6" w:rsidRDefault="00DB03D6" w:rsidP="00DB03D6">
            <w:pPr>
              <w:rPr>
                <w:rFonts w:eastAsia="DengXian"/>
              </w:rPr>
            </w:pPr>
          </w:p>
        </w:tc>
      </w:tr>
      <w:tr w:rsidR="00DB03D6" w14:paraId="7F45DC02" w14:textId="77777777" w:rsidTr="004B5817">
        <w:tc>
          <w:tcPr>
            <w:tcW w:w="1426" w:type="dxa"/>
            <w:shd w:val="clear" w:color="auto" w:fill="auto"/>
          </w:tcPr>
          <w:p w14:paraId="70220938" w14:textId="77777777" w:rsidR="00DB03D6" w:rsidRDefault="00DB03D6" w:rsidP="00DB03D6">
            <w:pPr>
              <w:rPr>
                <w:rFonts w:eastAsia="DengXian"/>
              </w:rPr>
            </w:pPr>
          </w:p>
        </w:tc>
        <w:tc>
          <w:tcPr>
            <w:tcW w:w="2113" w:type="dxa"/>
            <w:shd w:val="clear" w:color="auto" w:fill="auto"/>
          </w:tcPr>
          <w:p w14:paraId="64C8AECA" w14:textId="77777777" w:rsidR="00DB03D6" w:rsidRDefault="00DB03D6" w:rsidP="00DB03D6">
            <w:pPr>
              <w:rPr>
                <w:rFonts w:eastAsia="DengXian"/>
              </w:rPr>
            </w:pPr>
          </w:p>
        </w:tc>
        <w:tc>
          <w:tcPr>
            <w:tcW w:w="5954" w:type="dxa"/>
            <w:shd w:val="clear" w:color="auto" w:fill="auto"/>
          </w:tcPr>
          <w:p w14:paraId="01E6688F" w14:textId="77777777" w:rsidR="00DB03D6" w:rsidRDefault="00DB03D6" w:rsidP="00DB03D6">
            <w:pPr>
              <w:rPr>
                <w:rFonts w:eastAsia="DengXian"/>
              </w:rPr>
            </w:pPr>
          </w:p>
        </w:tc>
      </w:tr>
      <w:tr w:rsidR="00DB03D6"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DB03D6" w:rsidRDefault="00DB03D6" w:rsidP="00DB03D6">
            <w:pPr>
              <w:rPr>
                <w:rFonts w:eastAsiaTheme="minorEastAsia"/>
              </w:rPr>
            </w:pPr>
          </w:p>
        </w:tc>
      </w:tr>
      <w:tr w:rsidR="00DB03D6"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DB03D6" w:rsidRDefault="00DB03D6" w:rsidP="00DB03D6">
            <w:pPr>
              <w:rPr>
                <w:rFonts w:eastAsiaTheme="minorEastAsia"/>
              </w:rPr>
            </w:pPr>
          </w:p>
        </w:tc>
      </w:tr>
      <w:tr w:rsidR="00DB03D6"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DB03D6" w:rsidRDefault="00DB03D6" w:rsidP="00DB03D6">
            <w:pPr>
              <w:rPr>
                <w:rFonts w:eastAsiaTheme="minorEastAsia"/>
              </w:rPr>
            </w:pPr>
          </w:p>
        </w:tc>
      </w:tr>
      <w:tr w:rsidR="00DB03D6"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DB03D6" w:rsidRDefault="00DB03D6" w:rsidP="00DB03D6">
            <w:pPr>
              <w:rPr>
                <w:rFonts w:eastAsiaTheme="minorEastAsia"/>
              </w:rPr>
            </w:pPr>
          </w:p>
        </w:tc>
      </w:tr>
      <w:tr w:rsidR="00DB03D6"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DB03D6" w:rsidRDefault="00DB03D6" w:rsidP="00DB03D6">
            <w:pPr>
              <w:rPr>
                <w:rFonts w:eastAsiaTheme="minorEastAsia"/>
              </w:rPr>
            </w:pPr>
          </w:p>
        </w:tc>
      </w:tr>
      <w:tr w:rsidR="00DB03D6"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DB03D6" w:rsidRDefault="00DB03D6" w:rsidP="00DB03D6">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lastRenderedPageBreak/>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w:t>
            </w:r>
            <w:proofErr w:type="gramStart"/>
            <w:r>
              <w:rPr>
                <w:rFonts w:eastAsia="Batang"/>
                <w:color w:val="FF0000"/>
                <w:lang w:eastAsia="en-GB"/>
              </w:rPr>
              <w:t>i.e.</w:t>
            </w:r>
            <w:proofErr w:type="gramEnd"/>
            <w:r>
              <w:rPr>
                <w:rFonts w:eastAsia="Batang"/>
                <w:color w:val="FF0000"/>
                <w:lang w:eastAsia="en-GB"/>
              </w:rPr>
              <w:t xml:space="preserv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proofErr w:type="gramStart"/>
            <w:r>
              <w:rPr>
                <w:rFonts w:eastAsia="Batang"/>
                <w:i/>
                <w:iCs/>
                <w:color w:val="FF0000"/>
                <w:lang w:eastAsia="en-GB"/>
              </w:rPr>
              <w:t>reconfigurationWithSync</w:t>
            </w:r>
            <w:proofErr w:type="spellEnd"/>
            <w:r>
              <w:rPr>
                <w:rFonts w:eastAsia="Batang"/>
                <w:color w:val="FF0000"/>
                <w:lang w:eastAsia="en-GB"/>
              </w:rPr>
              <w:t xml:space="preserve"> ,</w:t>
            </w:r>
            <w:proofErr w:type="gram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proofErr w:type="spellStart"/>
            <w:r>
              <w:rPr>
                <w:rFonts w:eastAsia="DengXian"/>
              </w:rPr>
              <w:t>Applge</w:t>
            </w:r>
            <w:proofErr w:type="spellEnd"/>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DengXian"/>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DengXian"/>
              </w:rPr>
            </w:pPr>
            <w:r>
              <w:rPr>
                <w:rFonts w:eastAsia="DengXian"/>
              </w:rPr>
              <w:t>Ericsson</w:t>
            </w:r>
          </w:p>
        </w:tc>
        <w:tc>
          <w:tcPr>
            <w:tcW w:w="2113" w:type="dxa"/>
            <w:shd w:val="clear" w:color="auto" w:fill="auto"/>
          </w:tcPr>
          <w:p w14:paraId="73E8077E" w14:textId="1C4261C3" w:rsidR="00DB03D6" w:rsidRDefault="00DB03D6" w:rsidP="00DB03D6">
            <w:pPr>
              <w:rPr>
                <w:rFonts w:eastAsia="DengXian"/>
              </w:rPr>
            </w:pPr>
            <w:r>
              <w:rPr>
                <w:rFonts w:eastAsia="DengXian"/>
              </w:rPr>
              <w:t>Agree</w:t>
            </w:r>
          </w:p>
        </w:tc>
        <w:tc>
          <w:tcPr>
            <w:tcW w:w="5954" w:type="dxa"/>
            <w:shd w:val="clear" w:color="auto" w:fill="auto"/>
          </w:tcPr>
          <w:p w14:paraId="27746962" w14:textId="77777777" w:rsidR="00DB03D6" w:rsidRDefault="00DB03D6" w:rsidP="00DB03D6">
            <w:pPr>
              <w:rPr>
                <w:rFonts w:eastAsia="PMingLiU"/>
                <w:lang w:eastAsia="zh-TW"/>
              </w:rPr>
            </w:pPr>
          </w:p>
        </w:tc>
      </w:tr>
      <w:tr w:rsidR="00DB03D6" w14:paraId="638CBC4F" w14:textId="77777777" w:rsidTr="004B5817">
        <w:tc>
          <w:tcPr>
            <w:tcW w:w="1426" w:type="dxa"/>
            <w:shd w:val="clear" w:color="auto" w:fill="auto"/>
          </w:tcPr>
          <w:p w14:paraId="4807B448" w14:textId="77777777" w:rsidR="00DB03D6" w:rsidRDefault="00DB03D6" w:rsidP="00DB03D6">
            <w:pPr>
              <w:rPr>
                <w:rFonts w:eastAsia="DengXian"/>
              </w:rPr>
            </w:pPr>
          </w:p>
        </w:tc>
        <w:tc>
          <w:tcPr>
            <w:tcW w:w="2113" w:type="dxa"/>
            <w:shd w:val="clear" w:color="auto" w:fill="auto"/>
          </w:tcPr>
          <w:p w14:paraId="6A9C0CA3" w14:textId="77777777" w:rsidR="00DB03D6" w:rsidRDefault="00DB03D6" w:rsidP="00DB03D6">
            <w:pPr>
              <w:rPr>
                <w:rFonts w:eastAsia="DengXian"/>
              </w:rPr>
            </w:pPr>
          </w:p>
        </w:tc>
        <w:tc>
          <w:tcPr>
            <w:tcW w:w="5954" w:type="dxa"/>
            <w:shd w:val="clear" w:color="auto" w:fill="auto"/>
          </w:tcPr>
          <w:p w14:paraId="7F9DCB49" w14:textId="77777777" w:rsidR="00DB03D6" w:rsidRDefault="00DB03D6" w:rsidP="00DB03D6">
            <w:pPr>
              <w:rPr>
                <w:rFonts w:eastAsia="PMingLiU"/>
                <w:lang w:eastAsia="zh-TW"/>
              </w:rPr>
            </w:pPr>
          </w:p>
        </w:tc>
      </w:tr>
      <w:tr w:rsidR="00DB03D6" w14:paraId="095CDA01" w14:textId="77777777" w:rsidTr="004B5817">
        <w:tc>
          <w:tcPr>
            <w:tcW w:w="1426" w:type="dxa"/>
            <w:shd w:val="clear" w:color="auto" w:fill="auto"/>
          </w:tcPr>
          <w:p w14:paraId="2921083B" w14:textId="77777777" w:rsidR="00DB03D6" w:rsidRDefault="00DB03D6" w:rsidP="00DB03D6">
            <w:pPr>
              <w:rPr>
                <w:rFonts w:eastAsia="DengXian"/>
              </w:rPr>
            </w:pPr>
          </w:p>
        </w:tc>
        <w:tc>
          <w:tcPr>
            <w:tcW w:w="2113" w:type="dxa"/>
            <w:shd w:val="clear" w:color="auto" w:fill="auto"/>
          </w:tcPr>
          <w:p w14:paraId="734577A1" w14:textId="77777777" w:rsidR="00DB03D6" w:rsidRDefault="00DB03D6" w:rsidP="00DB03D6">
            <w:pPr>
              <w:rPr>
                <w:rFonts w:eastAsia="DengXian"/>
              </w:rPr>
            </w:pPr>
          </w:p>
        </w:tc>
        <w:tc>
          <w:tcPr>
            <w:tcW w:w="5954" w:type="dxa"/>
            <w:shd w:val="clear" w:color="auto" w:fill="auto"/>
          </w:tcPr>
          <w:p w14:paraId="4B0B3E2B" w14:textId="77777777" w:rsidR="00DB03D6" w:rsidRDefault="00DB03D6" w:rsidP="00DB03D6">
            <w:pPr>
              <w:rPr>
                <w:rFonts w:eastAsia="DengXian"/>
              </w:rPr>
            </w:pPr>
          </w:p>
        </w:tc>
      </w:tr>
      <w:tr w:rsidR="00DB03D6" w14:paraId="0AC1B21A" w14:textId="77777777" w:rsidTr="004B5817">
        <w:tc>
          <w:tcPr>
            <w:tcW w:w="1426" w:type="dxa"/>
            <w:shd w:val="clear" w:color="auto" w:fill="auto"/>
          </w:tcPr>
          <w:p w14:paraId="4A241ECC" w14:textId="77777777" w:rsidR="00DB03D6" w:rsidRDefault="00DB03D6" w:rsidP="00DB03D6">
            <w:pPr>
              <w:rPr>
                <w:rFonts w:eastAsia="DengXian"/>
              </w:rPr>
            </w:pPr>
          </w:p>
        </w:tc>
        <w:tc>
          <w:tcPr>
            <w:tcW w:w="2113" w:type="dxa"/>
            <w:shd w:val="clear" w:color="auto" w:fill="auto"/>
          </w:tcPr>
          <w:p w14:paraId="66BE480E" w14:textId="77777777" w:rsidR="00DB03D6" w:rsidRDefault="00DB03D6" w:rsidP="00DB03D6">
            <w:pPr>
              <w:rPr>
                <w:rFonts w:eastAsia="DengXian"/>
              </w:rPr>
            </w:pPr>
          </w:p>
        </w:tc>
        <w:tc>
          <w:tcPr>
            <w:tcW w:w="5954" w:type="dxa"/>
            <w:shd w:val="clear" w:color="auto" w:fill="auto"/>
          </w:tcPr>
          <w:p w14:paraId="2CDF3A06" w14:textId="77777777" w:rsidR="00DB03D6" w:rsidRDefault="00DB03D6" w:rsidP="00DB03D6">
            <w:pPr>
              <w:rPr>
                <w:rFonts w:eastAsia="DengXian"/>
              </w:rPr>
            </w:pPr>
          </w:p>
        </w:tc>
      </w:tr>
      <w:tr w:rsidR="00DB03D6"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DB03D6" w:rsidRDefault="00DB03D6" w:rsidP="00DB03D6">
            <w:pPr>
              <w:rPr>
                <w:rFonts w:eastAsiaTheme="minorEastAsia"/>
              </w:rPr>
            </w:pPr>
          </w:p>
        </w:tc>
      </w:tr>
      <w:tr w:rsidR="00DB03D6"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DB03D6" w:rsidRDefault="00DB03D6" w:rsidP="00DB03D6">
            <w:pPr>
              <w:rPr>
                <w:rFonts w:eastAsiaTheme="minorEastAsia"/>
              </w:rPr>
            </w:pPr>
          </w:p>
        </w:tc>
      </w:tr>
      <w:tr w:rsidR="00DB03D6"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DB03D6" w:rsidRDefault="00DB03D6" w:rsidP="00DB03D6">
            <w:pPr>
              <w:rPr>
                <w:rFonts w:eastAsiaTheme="minorEastAsia"/>
              </w:rPr>
            </w:pPr>
          </w:p>
        </w:tc>
      </w:tr>
      <w:tr w:rsidR="00DB03D6"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DB03D6" w:rsidRDefault="00DB03D6" w:rsidP="00DB03D6">
            <w:pPr>
              <w:rPr>
                <w:rFonts w:eastAsiaTheme="minorEastAsia"/>
              </w:rPr>
            </w:pPr>
          </w:p>
        </w:tc>
      </w:tr>
      <w:tr w:rsidR="00DB03D6"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DB03D6" w:rsidRDefault="00DB03D6" w:rsidP="00DB03D6">
            <w:pPr>
              <w:rPr>
                <w:rFonts w:eastAsiaTheme="minorEastAsia"/>
              </w:rPr>
            </w:pPr>
          </w:p>
        </w:tc>
      </w:tr>
      <w:tr w:rsidR="00DB03D6"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DB03D6" w:rsidRDefault="00DB03D6" w:rsidP="00DB03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DB03D6" w:rsidRDefault="00DB03D6" w:rsidP="00DB03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DB03D6" w:rsidRDefault="00DB03D6" w:rsidP="00DB03D6">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E4BF" w14:textId="77777777" w:rsidR="00AE6C8A" w:rsidRDefault="00AE6C8A">
      <w:pPr>
        <w:spacing w:after="0"/>
      </w:pPr>
      <w:r>
        <w:separator/>
      </w:r>
    </w:p>
  </w:endnote>
  <w:endnote w:type="continuationSeparator" w:id="0">
    <w:p w14:paraId="411B6E5E" w14:textId="77777777" w:rsidR="00AE6C8A" w:rsidRDefault="00AE6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449D400A" w:rsidR="003C7C2D" w:rsidRDefault="003C7C2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F0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F04">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E3A0" w14:textId="77777777" w:rsidR="00AE6C8A" w:rsidRDefault="00AE6C8A">
      <w:pPr>
        <w:spacing w:after="0"/>
      </w:pPr>
      <w:r>
        <w:separator/>
      </w:r>
    </w:p>
  </w:footnote>
  <w:footnote w:type="continuationSeparator" w:id="0">
    <w:p w14:paraId="4F923B06" w14:textId="77777777" w:rsidR="00AE6C8A" w:rsidRDefault="00AE6C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3C7C2D" w:rsidRDefault="003C7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5"/>
  </w:num>
  <w:num w:numId="5">
    <w:abstractNumId w:val="20"/>
  </w:num>
  <w:num w:numId="6">
    <w:abstractNumId w:val="16"/>
  </w:num>
  <w:num w:numId="7">
    <w:abstractNumId w:val="17"/>
  </w:num>
  <w:num w:numId="8">
    <w:abstractNumId w:val="9"/>
  </w:num>
  <w:num w:numId="9">
    <w:abstractNumId w:val="19"/>
  </w:num>
  <w:num w:numId="10">
    <w:abstractNumId w:val="18"/>
  </w:num>
  <w:num w:numId="11">
    <w:abstractNumId w:val="7"/>
  </w:num>
  <w:num w:numId="12">
    <w:abstractNumId w:val="14"/>
  </w:num>
  <w:num w:numId="13">
    <w:abstractNumId w:val="1"/>
  </w:num>
  <w:num w:numId="14">
    <w:abstractNumId w:val="13"/>
  </w:num>
  <w:num w:numId="15">
    <w:abstractNumId w:val="11"/>
  </w:num>
  <w:num w:numId="16">
    <w:abstractNumId w:val="15"/>
  </w:num>
  <w:num w:numId="17">
    <w:abstractNumId w:val="8"/>
  </w:num>
  <w:num w:numId="18">
    <w:abstractNumId w:val="10"/>
  </w:num>
  <w:num w:numId="19">
    <w:abstractNumId w:val="6"/>
  </w:num>
  <w:num w:numId="20">
    <w:abstractNumId w:val="0"/>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6CAE"/>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3D6"/>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28E0-3F79-405A-AE49-8EF2E5F2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27</Pages>
  <Words>7581</Words>
  <Characters>43215</Characters>
  <Application>Microsoft Office Word</Application>
  <DocSecurity>0</DocSecurity>
  <Lines>360</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50695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 (Robert)</cp:lastModifiedBy>
  <cp:revision>5</cp:revision>
  <cp:lastPrinted>2008-01-31T00:09:00Z</cp:lastPrinted>
  <dcterms:created xsi:type="dcterms:W3CDTF">2022-10-13T11:21:00Z</dcterms:created>
  <dcterms:modified xsi:type="dcterms:W3CDTF">2022-10-13T11:27:00Z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