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tabs>
          <w:tab w:val="right" w:pos="8640"/>
        </w:tabs>
        <w:rPr>
          <w:b/>
          <w:sz w:val="24"/>
          <w:lang w:eastAsia="en-GB"/>
        </w:rPr>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wkQspgFAACLFgAADgAAAGRycy9lMm9Eb2MueG1s7Vjdk5s2EH/vTP8H&#10;hYc8dNIYCZDAiS+cfR/JTD4bX6d9aKcYZMMEEEH4fJe/visJfOCzc5eZPvTBnjlOSKvfan+7Wl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E27N2bPAAAA/wAAAA8AAAAAAAAAAQAgAAAAIgAAAGRycy9kb3du&#10;cmV2LnhtbFBLAQIUABQAAAAIAIdO4kCbCRCymAUAAIsWAAAOAAAAAAAAAAEAIAAAAB4BAABkcnMv&#10;ZTJvRG9jLnhtbFBLBQYAAAAABgAGAFkBAAAo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#118-e</w:t>
      </w:r>
      <w:r>
        <w:rPr>
          <w:b/>
          <w:sz w:val="24"/>
          <w:lang w:eastAsia="en-GB"/>
        </w:rPr>
        <w:tab/>
      </w:r>
      <w:r>
        <w:rPr>
          <w:b/>
          <w:sz w:val="24"/>
          <w:lang w:eastAsia="en-GB"/>
        </w:rPr>
        <w:t xml:space="preserve">R2-22xxxxx  </w:t>
      </w:r>
    </w:p>
    <w:p>
      <w:pPr>
        <w:pStyle w:val="41"/>
        <w:tabs>
          <w:tab w:val="right" w:pos="8640"/>
        </w:tabs>
        <w:spacing w:after="180"/>
        <w:rPr>
          <w:rFonts w:cs="Arial"/>
          <w:b/>
          <w:bCs/>
          <w:sz w:val="28"/>
          <w:szCs w:val="32"/>
          <w:lang w:val="pt-PT"/>
        </w:rPr>
      </w:pPr>
      <w:r>
        <w:rPr>
          <w:b/>
          <w:bCs/>
          <w:sz w:val="24"/>
          <w:szCs w:val="24"/>
        </w:rPr>
        <w:t>Online, May 9 - 20, 202</w:t>
      </w:r>
      <w:r>
        <w:rPr>
          <w:sz w:val="22"/>
          <w:szCs w:val="22"/>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TsgPpYFAACLFgAADgAAAGRycy9lMm9Eb2MueG1s7Vjdk5s2EH/vTP8H&#10;hYc8dNIYCZDAiS+cfR/JTD4bX6d9aKcYZMMEEEH4fJe/visJfOCzc5eZPvTBnjlOSKvfan+7Wl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BNuzdmzwAAAP8AAAAPAAAAAAAAAAEAIAAAACIAAABkcnMvZG93bnJl&#10;di54bWxQSwECFAAUAAAACACHTuJAeTsgPpYFAACLFgAADgAAAAAAAAABACAAAAAeAQAAZHJzL2Uy&#10;b0RvYy54bWxQSwUGAAAAAAYABgBZAQAAJ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p>
    <w:p>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6.14.1.2</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hint="eastAsia" w:ascii="Arial" w:hAnsi="Arial"/>
          <w:bCs/>
          <w:sz w:val="24"/>
        </w:rPr>
        <w:t>China</w:t>
      </w:r>
      <w:r>
        <w:rPr>
          <w:rFonts w:ascii="Arial" w:hAnsi="Arial"/>
          <w:bCs/>
          <w:sz w:val="24"/>
        </w:rPr>
        <w:t xml:space="preserve"> Unicom (Rapporteur)</w:t>
      </w:r>
    </w:p>
    <w:p>
      <w:pPr>
        <w:tabs>
          <w:tab w:val="left" w:pos="1985"/>
        </w:tabs>
        <w:spacing w:after="240" w:afterLines="10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r>
      <w:r>
        <w:rPr>
          <w:rFonts w:ascii="Arial" w:hAnsi="Arial"/>
          <w:bCs/>
          <w:sz w:val="24"/>
        </w:rPr>
        <w:t>Report of [AT118-e][079][QoE] 38300</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pPr>
        <w:pStyle w:val="2"/>
      </w:pPr>
      <w:r>
        <w:t>Introduction</w:t>
      </w:r>
    </w:p>
    <w:p>
      <w:pPr>
        <w:spacing w:after="60"/>
      </w:pPr>
      <w:r>
        <w:t xml:space="preserve">This document </w:t>
      </w:r>
      <w:r>
        <w:rPr>
          <w:lang w:eastAsia="zh-CN"/>
        </w:rPr>
        <w:t>is</w:t>
      </w:r>
      <w:r>
        <w:t xml:space="preserve"> capturing the following discussion:</w:t>
      </w:r>
    </w:p>
    <w:p>
      <w:pPr>
        <w:pStyle w:val="66"/>
        <w:numPr>
          <w:ilvl w:val="0"/>
          <w:numId w:val="3"/>
        </w:numPr>
        <w:spacing w:line="240" w:lineRule="auto"/>
        <w:rPr>
          <w:rFonts w:ascii="Times New Roman" w:hAnsi="Times New Roman"/>
          <w:szCs w:val="20"/>
          <w:lang w:val="en-US" w:eastAsia="zh-CN"/>
        </w:rPr>
      </w:pPr>
      <w:r>
        <w:rPr>
          <w:rFonts w:ascii="Times New Roman" w:hAnsi="Times New Roman"/>
          <w:szCs w:val="20"/>
        </w:rPr>
        <w:t>[AT118-e][079][QoE] 38300 (China Unicom)</w:t>
      </w:r>
    </w:p>
    <w:p>
      <w:pPr>
        <w:pStyle w:val="67"/>
        <w:rPr>
          <w:rFonts w:ascii="Times New Roman" w:hAnsi="Times New Roman"/>
          <w:szCs w:val="20"/>
        </w:rPr>
      </w:pPr>
      <w:r>
        <w:rPr>
          <w:rFonts w:ascii="Times New Roman" w:hAnsi="Times New Roman"/>
          <w:szCs w:val="20"/>
        </w:rPr>
        <w:tab/>
      </w:r>
      <w:r>
        <w:rPr>
          <w:rFonts w:ascii="Times New Roman" w:hAnsi="Times New Roman"/>
          <w:szCs w:val="20"/>
        </w:rPr>
        <w:t>Scope: Take into account online progress, address offline FFSes and non-treated proposals.  Consider CR proposals, Review Rapporteur CR resolutions. Determine agreeable parts. Update CR to reflect agreeable parts and agree CR. Can consider LS out if agreed to be needed.</w:t>
      </w:r>
    </w:p>
    <w:p>
      <w:pPr>
        <w:pStyle w:val="67"/>
        <w:rPr>
          <w:rFonts w:ascii="Times New Roman" w:hAnsi="Times New Roman"/>
          <w:szCs w:val="20"/>
        </w:rPr>
      </w:pPr>
      <w:r>
        <w:rPr>
          <w:rFonts w:ascii="Times New Roman" w:hAnsi="Times New Roman"/>
          <w:szCs w:val="20"/>
        </w:rPr>
        <w:tab/>
      </w:r>
      <w:r>
        <w:rPr>
          <w:rFonts w:ascii="Times New Roman" w:hAnsi="Times New Roman"/>
          <w:szCs w:val="20"/>
        </w:rPr>
        <w:t>Consider: R2-2204591, R2-2204848, R2-2204847, R2-2205440, R2-2205943</w:t>
      </w:r>
    </w:p>
    <w:p>
      <w:pPr>
        <w:pStyle w:val="67"/>
        <w:rPr>
          <w:rFonts w:ascii="Times New Roman" w:hAnsi="Times New Roman"/>
          <w:szCs w:val="20"/>
        </w:rPr>
      </w:pPr>
      <w:r>
        <w:rPr>
          <w:rFonts w:ascii="Times New Roman" w:hAnsi="Times New Roman"/>
          <w:szCs w:val="20"/>
        </w:rPr>
        <w:tab/>
      </w:r>
      <w:r>
        <w:rPr>
          <w:rFonts w:ascii="Times New Roman" w:hAnsi="Times New Roman"/>
          <w:szCs w:val="20"/>
        </w:rPr>
        <w:t>Intended outcome: Report, Agreed CR (in the end)</w:t>
      </w:r>
    </w:p>
    <w:p>
      <w:pPr>
        <w:pStyle w:val="67"/>
        <w:rPr>
          <w:rFonts w:ascii="Times New Roman" w:hAnsi="Times New Roman"/>
          <w:szCs w:val="20"/>
        </w:rPr>
      </w:pPr>
      <w:r>
        <w:rPr>
          <w:rFonts w:ascii="Times New Roman" w:hAnsi="Times New Roman"/>
          <w:szCs w:val="20"/>
        </w:rPr>
        <w:tab/>
      </w:r>
      <w:r>
        <w:rPr>
          <w:rFonts w:ascii="Times New Roman" w:hAnsi="Times New Roman"/>
          <w:szCs w:val="20"/>
        </w:rPr>
        <w:t xml:space="preserve">Deadline: CB W2 Wed (if needed), CR can be finally agreed in a post-meeting disc. </w:t>
      </w:r>
    </w:p>
    <w:p>
      <w:pPr>
        <w:pStyle w:val="66"/>
        <w:numPr>
          <w:ilvl w:val="0"/>
          <w:numId w:val="0"/>
        </w:numPr>
        <w:spacing w:line="240" w:lineRule="auto"/>
        <w:ind w:left="1619"/>
        <w:rPr>
          <w:rFonts w:ascii="Times New Roman" w:hAnsi="Times New Roman"/>
          <w:szCs w:val="20"/>
        </w:rPr>
      </w:pPr>
    </w:p>
    <w:p>
      <w:pPr>
        <w:pStyle w:val="67"/>
        <w:rPr>
          <w:rFonts w:ascii="Times New Roman" w:hAnsi="Times New Roman"/>
          <w:szCs w:val="20"/>
        </w:rPr>
      </w:pPr>
      <w:r>
        <w:rPr>
          <w:rFonts w:ascii="Times New Roman" w:hAnsi="Times New Roman"/>
          <w:szCs w:val="20"/>
        </w:rPr>
        <w:tab/>
      </w:r>
      <w:r>
        <w:rPr>
          <w:rFonts w:ascii="Times New Roman" w:hAnsi="Times New Roman"/>
          <w:szCs w:val="20"/>
        </w:rPr>
        <w:t xml:space="preserve"> </w:t>
      </w:r>
    </w:p>
    <w:p>
      <w:pPr>
        <w:spacing w:after="60"/>
        <w:rPr>
          <w:b/>
          <w:bCs/>
        </w:rPr>
      </w:pPr>
      <w:r>
        <w:rPr>
          <w:b/>
          <w:bCs/>
        </w:rPr>
        <w:t>This email discussion is divided into two phases:</w:t>
      </w:r>
    </w:p>
    <w:p>
      <w:pPr>
        <w:spacing w:after="60"/>
        <w:rPr>
          <w:b/>
          <w:bCs/>
        </w:rPr>
      </w:pPr>
      <w:r>
        <w:rPr>
          <w:b/>
          <w:bCs/>
        </w:rPr>
        <w:t xml:space="preserve">Phase 1: Collect comments for proposals in companies’ contributions. Deadline: </w:t>
      </w:r>
      <w:r>
        <w:rPr>
          <w:b/>
          <w:bCs/>
          <w:highlight w:val="yellow"/>
        </w:rPr>
        <w:t>Tuesday May 17, 2022, 12:00 UTC</w:t>
      </w:r>
      <w:r>
        <w:rPr>
          <w:b/>
          <w:bCs/>
        </w:rPr>
        <w:t>. And then the rapp will provide a summary, and if needed, some CB online discussions may be needed.</w:t>
      </w:r>
    </w:p>
    <w:p>
      <w:pPr>
        <w:spacing w:after="60"/>
        <w:rPr>
          <w:b/>
          <w:bCs/>
        </w:rPr>
      </w:pPr>
      <w:r>
        <w:rPr>
          <w:b/>
          <w:bCs/>
        </w:rPr>
        <w:t xml:space="preserve">Phase 2: Discuss the 38.300 CR and then agree on the final version. Dealine: </w:t>
      </w:r>
      <w:r>
        <w:rPr>
          <w:b/>
          <w:bCs/>
          <w:highlight w:val="yellow"/>
        </w:rPr>
        <w:t>Friday May 20, 2022, 10:00 UTC.</w:t>
      </w:r>
      <w:r>
        <w:rPr>
          <w:b/>
          <w:bCs/>
        </w:rPr>
        <w:t xml:space="preserve"> As indicated above, if the CR still needs more time to be checked, it will be finally agreed in a post-meeting disc.</w:t>
      </w:r>
    </w:p>
    <w:p>
      <w:pPr>
        <w:spacing w:after="60"/>
      </w:pPr>
    </w:p>
    <w:p>
      <w:pPr>
        <w:spacing w:after="60"/>
        <w:rPr>
          <w:b/>
          <w:bCs/>
        </w:rPr>
      </w:pPr>
      <w:r>
        <w:rPr>
          <w:b/>
          <w:bCs/>
        </w:rPr>
        <w:t xml:space="preserve">This discussion document only includes potential controversial changes proposal. Other minor editorial and potentially less controversial changes have been captured in </w:t>
      </w:r>
      <w:r>
        <w:rPr>
          <w:b/>
          <w:bCs/>
          <w:u w:val="single"/>
        </w:rPr>
        <w:t>R2-22xxxxx draft 38.300 CR with minor changes for QoE</w:t>
      </w:r>
      <w:r>
        <w:rPr>
          <w:b/>
          <w:bCs/>
        </w:rPr>
        <w:t>.</w:t>
      </w:r>
    </w:p>
    <w:p>
      <w:pPr>
        <w:spacing w:after="60"/>
      </w:pPr>
    </w:p>
    <w:p>
      <w:pPr>
        <w:pStyle w:val="2"/>
      </w:pPr>
      <w:r>
        <w:t>Phase 1: Discussion</w:t>
      </w:r>
    </w:p>
    <w:p>
      <w:pPr>
        <w:pStyle w:val="3"/>
      </w:pPr>
      <w:r>
        <w:t>On section: 21.2</w:t>
      </w:r>
      <w:r>
        <w:tab/>
      </w:r>
      <w:r>
        <w:t>QoE Measurement Configuration</w:t>
      </w:r>
    </w:p>
    <w:p>
      <w:pPr>
        <w:rPr>
          <w:rFonts w:ascii="Arial" w:hAnsi="Arial" w:cs="Arial"/>
          <w:sz w:val="24"/>
          <w:szCs w:val="24"/>
        </w:rPr>
      </w:pPr>
      <w:r>
        <w:rPr>
          <w:rFonts w:ascii="Arial" w:hAnsi="Arial" w:cs="Arial"/>
          <w:sz w:val="24"/>
          <w:szCs w:val="24"/>
        </w:rPr>
        <w:t>Proposals from R2-2204847 on QoE Measurement Collection Activation and Reporting: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numPr>
                <w:ilvl w:val="0"/>
                <w:numId w:val="0"/>
              </w:numPr>
              <w:ind w:left="720" w:hanging="720"/>
            </w:pPr>
            <w:r>
              <w:t>21.2.1</w:t>
            </w:r>
            <w:r>
              <w:tab/>
            </w:r>
            <w:r>
              <w:t>QoE Measurement Collection Activation and Reporting</w:t>
            </w:r>
          </w:p>
          <w:p>
            <w:pPr>
              <w:rPr>
                <w:lang w:val="en-US" w:eastAsia="zh-CN"/>
              </w:rPr>
            </w:pPr>
            <w:r>
              <w:t>…</w:t>
            </w:r>
          </w:p>
          <w:p>
            <w:r>
              <w:t>The QoE measurement collection is handled by application layer measurement configuration and measurement reporting, supported in RRC_CONNECTED state only. 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w:t>
            </w:r>
            <w:del w:id="0" w:author="R2-2204847" w:date="2022-05-12T22:41:00Z">
              <w:r>
                <w:rPr/>
                <w:delText xml:space="preserve">higher </w:delText>
              </w:r>
            </w:del>
            <w:ins w:id="1" w:author="R2-2204847" w:date="2022-05-12T22:41:00Z">
              <w:r>
                <w:rPr/>
                <w:t xml:space="preserve">application </w:t>
              </w:r>
            </w:ins>
            <w:r>
              <w:t xml:space="preserve">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w:t>
            </w:r>
            <w:del w:id="2" w:author="R2-2204847" w:date="2022-05-12T22:41:00Z">
              <w:r>
                <w:rPr/>
                <w:delText xml:space="preserve"> measConfigAppLayerId</w:delText>
              </w:r>
            </w:del>
            <w:ins w:id="3" w:author="R2-2204847" w:date="2022-05-12T22:41:00Z">
              <w:r>
                <w:rPr/>
                <w:t>n</w:t>
              </w:r>
            </w:ins>
            <w:ins w:id="4" w:author="R2-2204847" w:date="2022-05-12T22:41:00Z">
              <w:r>
                <w:rPr>
                  <w:i/>
                </w:rPr>
                <w:t xml:space="preserve"> </w:t>
              </w:r>
            </w:ins>
            <w:ins w:id="5" w:author="R2-2204847" w:date="2022-05-12T22:41:00Z">
              <w:r>
                <w:rPr/>
                <w:t>RRC</w:t>
              </w:r>
            </w:ins>
            <w:ins w:id="6" w:author="R2-2204847" w:date="2022-05-12T22:42:00Z">
              <w:r>
                <w:rPr/>
                <w:t xml:space="preserve"> identifier</w:t>
              </w:r>
            </w:ins>
            <w:r>
              <w:t xml:space="preserve"> conveyed in the RRC signalling is used to identify the </w:t>
            </w:r>
            <w:r>
              <w:rPr>
                <w:rFonts w:hint="eastAsia"/>
                <w:lang w:eastAsia="zh-CN"/>
              </w:rPr>
              <w:t>a</w:t>
            </w:r>
            <w:r>
              <w:t xml:space="preserve">pplication layer measurement configuration </w:t>
            </w:r>
            <w:r>
              <w:rPr>
                <w:rFonts w:hint="eastAsia"/>
                <w:lang w:eastAsia="zh-CN"/>
              </w:rPr>
              <w:t xml:space="preserve">and report </w:t>
            </w:r>
            <w:r>
              <w:t>between the gNB and the UE. 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the QoE Reference</w:t>
            </w:r>
            <w:r>
              <w:rPr>
                <w:lang w:eastAsia="zh-CN"/>
              </w:rPr>
              <w:t>.</w:t>
            </w:r>
            <w:r>
              <w:t xml:space="preserv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tc>
      </w:tr>
    </w:tbl>
    <w:p>
      <w:pPr>
        <w:rPr>
          <w:b/>
          <w:bCs/>
        </w:rPr>
      </w:pPr>
    </w:p>
    <w:p>
      <w:pPr>
        <w:rPr>
          <w:b/>
          <w:bCs/>
        </w:rPr>
      </w:pPr>
      <w:r>
        <w:rPr>
          <w:b/>
          <w:bCs/>
        </w:rPr>
        <w:t>Q1: Do you agree to</w:t>
      </w:r>
      <w:r>
        <w:t xml:space="preserve"> </w:t>
      </w:r>
      <w:r>
        <w:rPr>
          <w:b/>
          <w:bCs/>
        </w:rPr>
        <w:t xml:space="preserve">replacing the term “higher layer” with “application layer” and replaced the “measConfigAppLayerId” with “RRC identifier” based QoE proposed by R2-2204847 from section 21.2 on QoE Measurement Collection Activation and Reporting?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No for “application layer”</w:t>
            </w:r>
          </w:p>
          <w:p>
            <w:r>
              <w:t>Yes for “RRC identifier”</w:t>
            </w:r>
          </w:p>
          <w:p/>
        </w:tc>
        <w:tc>
          <w:tcPr>
            <w:tcW w:w="5316" w:type="dxa"/>
          </w:tcPr>
          <w:p>
            <w:r>
              <w:t>On whether we change “higher layer” to “application layer”, we do not think this is needed. It is already clear that we are talking about “Application Layer Measurement Reports”.</w:t>
            </w:r>
          </w:p>
          <w:p>
            <w:r>
              <w:t xml:space="preserve">On the “RRC identifier”, we support this change to have better consistency (currently the word “RRC identifier” is already used in the subsequent sentence).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w:t>
            </w:r>
          </w:p>
        </w:tc>
        <w:tc>
          <w:tcPr>
            <w:tcW w:w="5316" w:type="dxa"/>
          </w:tcPr>
          <w:p>
            <w:r>
              <w:t xml:space="preserve">Proponent. </w:t>
            </w:r>
          </w:p>
          <w:p>
            <w:r>
              <w:t>Regarding the 1</w:t>
            </w:r>
            <w:r>
              <w:rPr>
                <w:vertAlign w:val="superscript"/>
              </w:rPr>
              <w:t>st</w:t>
            </w:r>
            <w:r>
              <w:t xml:space="preserve"> change: it’s about consistent use of terminology. E.g. in 21.2.2 it is said </w:t>
            </w:r>
            <w:r>
              <w:rPr>
                <w:i/>
                <w:iCs/>
              </w:rPr>
              <w:t xml:space="preserve">“The UE discards the reports received from </w:t>
            </w:r>
            <w:r>
              <w:rPr>
                <w:i/>
                <w:iCs/>
                <w:highlight w:val="yellow"/>
              </w:rPr>
              <w:t>application layer</w:t>
            </w:r>
            <w:r>
              <w:rPr>
                <w:i/>
                <w:iCs/>
              </w:rPr>
              <w:t xml:space="preserve"> when it has no associated application layer measurement configuration configured.”</w:t>
            </w:r>
          </w:p>
          <w:p>
            <w:r>
              <w:t>Regarding the 2</w:t>
            </w:r>
            <w:r>
              <w:rPr>
                <w:vertAlign w:val="superscript"/>
              </w:rPr>
              <w:t>nd</w:t>
            </w:r>
            <w:r>
              <w:t xml:space="preserve"> change: we think that such stage 3 detail can be omitted from stage 2. This change also applies for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H</w:t>
            </w:r>
            <w:r>
              <w:rPr>
                <w:lang w:eastAsia="zh-CN"/>
              </w:rPr>
              <w:t>uawei, HiSilicon</w:t>
            </w:r>
          </w:p>
        </w:tc>
        <w:tc>
          <w:tcPr>
            <w:tcW w:w="1890" w:type="dxa"/>
          </w:tcPr>
          <w:p>
            <w:pPr>
              <w:rPr>
                <w:lang w:eastAsia="zh-CN"/>
              </w:rPr>
            </w:pPr>
            <w:r>
              <w:rPr>
                <w:rFonts w:hint="eastAsia"/>
                <w:lang w:eastAsia="zh-CN"/>
              </w:rPr>
              <w:t>Y</w:t>
            </w:r>
            <w:r>
              <w:rPr>
                <w:lang w:eastAsia="zh-CN"/>
              </w:rPr>
              <w:t>es for “</w:t>
            </w:r>
            <w:r>
              <w:t>RRC identifier</w:t>
            </w:r>
            <w:r>
              <w:rPr>
                <w:lang w:eastAsia="zh-CN"/>
              </w:rPr>
              <w:t>”</w:t>
            </w:r>
          </w:p>
        </w:tc>
        <w:tc>
          <w:tcPr>
            <w:tcW w:w="5316" w:type="dxa"/>
          </w:tcPr>
          <w:p>
            <w:pPr>
              <w:rPr>
                <w:lang w:eastAsia="zh-CN"/>
              </w:rPr>
            </w:pPr>
            <w:r>
              <w:rPr>
                <w:lang w:eastAsia="zh-CN"/>
              </w:rPr>
              <w:t>The “</w:t>
            </w:r>
            <w:r>
              <w:t>RRC identifier</w:t>
            </w:r>
            <w:r>
              <w:rPr>
                <w:lang w:eastAsia="zh-CN"/>
              </w:rPr>
              <w:t>” has been used in other places for NR QoE, so it is ok to have it. No strong view on the other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r>
              <w:t>No to “RRC identifier”</w:t>
            </w:r>
          </w:p>
        </w:tc>
        <w:tc>
          <w:tcPr>
            <w:tcW w:w="5316" w:type="dxa"/>
          </w:tcPr>
          <w:p>
            <w:r>
              <w:t>No strong view on “application layer”. We prefer to use measConfigAppLayerId as it is then clearer which ID that is meant.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Yes for “RRC identifier”</w:t>
            </w:r>
          </w:p>
        </w:tc>
        <w:tc>
          <w:tcPr>
            <w:tcW w:w="5316" w:type="dxa"/>
          </w:tcPr>
          <w:p>
            <w:r>
              <w:t>Use of “higher layer” is aligned with RRC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PMingLiU"/>
                <w:lang w:eastAsia="zh-TW"/>
              </w:rPr>
            </w:pPr>
            <w:r>
              <w:rPr>
                <w:rFonts w:hint="eastAsia" w:eastAsia="PMingLiU"/>
                <w:lang w:eastAsia="zh-TW"/>
              </w:rPr>
              <w:t>I</w:t>
            </w:r>
            <w:r>
              <w:rPr>
                <w:rFonts w:eastAsia="PMingLiU"/>
                <w:lang w:eastAsia="zh-TW"/>
              </w:rPr>
              <w:t>TRI</w:t>
            </w:r>
          </w:p>
        </w:tc>
        <w:tc>
          <w:tcPr>
            <w:tcW w:w="1890" w:type="dxa"/>
          </w:tcPr>
          <w:p>
            <w:pPr>
              <w:rPr>
                <w:rFonts w:eastAsia="PMingLiU"/>
                <w:lang w:eastAsia="zh-TW"/>
              </w:rPr>
            </w:pPr>
            <w:r>
              <w:rPr>
                <w:rFonts w:eastAsia="PMingLiU"/>
                <w:lang w:eastAsia="zh-TW"/>
              </w:rPr>
              <w:t>No for “RRC identifier”</w:t>
            </w:r>
          </w:p>
        </w:tc>
        <w:tc>
          <w:tcPr>
            <w:tcW w:w="5316" w:type="dxa"/>
          </w:tcPr>
          <w:p>
            <w:r>
              <w:t xml:space="preserve">We think that measConfigAppLayerId may still be used here for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r>
              <w:t>No for “RRC identifier”</w:t>
            </w:r>
          </w:p>
        </w:tc>
        <w:tc>
          <w:tcPr>
            <w:tcW w:w="5316" w:type="dxa"/>
          </w:tcPr>
          <w:p>
            <w:r>
              <w:t>measConfigAppLayerId is much more clear to read and understand.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rPr>
                <w:rFonts w:hint="eastAsia"/>
                <w:lang w:eastAsia="zh-CN"/>
              </w:rPr>
              <w:t>Intel</w:t>
            </w:r>
          </w:p>
        </w:tc>
        <w:tc>
          <w:tcPr>
            <w:tcW w:w="1890" w:type="dxa"/>
          </w:tcPr>
          <w:p>
            <w:r>
              <w:rPr>
                <w:rFonts w:hint="eastAsia"/>
                <w:lang w:eastAsia="zh-CN"/>
              </w:rPr>
              <w:t>Y</w:t>
            </w:r>
            <w:r>
              <w:rPr>
                <w:lang w:eastAsia="zh-CN"/>
              </w:rPr>
              <w:t>es for “</w:t>
            </w:r>
            <w:r>
              <w:t>RRC identifier</w:t>
            </w:r>
            <w:r>
              <w:rPr>
                <w:lang w:eastAsia="zh-CN"/>
              </w:rPr>
              <w:t>”</w:t>
            </w:r>
          </w:p>
        </w:tc>
        <w:tc>
          <w:tcPr>
            <w:tcW w:w="5316" w:type="dxa"/>
          </w:tcPr>
          <w:p>
            <w:r>
              <w:t>Agree with HW’s comment, otherwise, we might need to align all RRC identifier and measConfigAppLayerId in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lang w:val="en-US" w:eastAsia="zh-CN"/>
              </w:rPr>
            </w:pPr>
            <w:r>
              <w:rPr>
                <w:rFonts w:hint="default"/>
                <w:lang w:val="en-US" w:eastAsia="zh-CN"/>
              </w:rPr>
              <w:t>ZTE</w:t>
            </w:r>
          </w:p>
        </w:tc>
        <w:tc>
          <w:tcPr>
            <w:tcW w:w="1890" w:type="dxa"/>
          </w:tcPr>
          <w:p>
            <w:pPr>
              <w:rPr>
                <w:rFonts w:hint="eastAsia"/>
                <w:lang w:eastAsia="zh-CN"/>
              </w:rPr>
            </w:pPr>
            <w:r>
              <w:t>No for “RRC identifier”</w:t>
            </w:r>
          </w:p>
        </w:tc>
        <w:tc>
          <w:tcPr>
            <w:tcW w:w="5316" w:type="dxa"/>
          </w:tcPr>
          <w:p>
            <w:pPr>
              <w:rPr>
                <w:rFonts w:hint="default"/>
                <w:lang w:val="en-US"/>
              </w:rPr>
            </w:pPr>
            <w:r>
              <w:rPr>
                <w:rFonts w:hint="default"/>
                <w:lang w:val="en-US"/>
              </w:rPr>
              <w:t xml:space="preserve">No clearly view on why we shall change to </w:t>
            </w:r>
            <w:r>
              <w:t>“RRC identifier”</w:t>
            </w:r>
            <w:r>
              <w:rPr>
                <w:rFonts w:hint="default"/>
                <w:lang w:val="en-US"/>
              </w:rPr>
              <w:t>.</w:t>
            </w:r>
          </w:p>
        </w:tc>
      </w:tr>
    </w:tbl>
    <w:p/>
    <w:p>
      <w:pPr>
        <w:pStyle w:val="3"/>
      </w:pPr>
      <w:r>
        <w:t>On section: 21.2</w:t>
      </w:r>
      <w:r>
        <w:tab/>
      </w:r>
      <w:r>
        <w:t>QoE Measurement Configuration</w:t>
      </w:r>
    </w:p>
    <w:p>
      <w:r>
        <w:rPr>
          <w:rFonts w:ascii="Arial" w:hAnsi="Arial" w:cs="Arial"/>
          <w:sz w:val="24"/>
          <w:szCs w:val="24"/>
        </w:rPr>
        <w:t>Proposals from R2-2205943:</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4"/>
              <w:numPr>
                <w:ilvl w:val="0"/>
                <w:numId w:val="0"/>
              </w:numPr>
              <w:ind w:left="720" w:hanging="720"/>
            </w:pPr>
            <w:r>
              <w:t>21.2.3</w:t>
            </w:r>
            <w:r>
              <w:tab/>
            </w:r>
            <w:r>
              <w:t>Handling of QMC during RAN Overload</w:t>
            </w:r>
          </w:p>
          <w:p>
            <w:pPr>
              <w:rPr>
                <w:lang w:eastAsia="zh-CN"/>
              </w:rPr>
            </w:pPr>
            <w:r>
              <w:rPr>
                <w:lang w:eastAsia="zh-CN"/>
              </w:rPr>
              <w:t xml:space="preserve">QoE Measurement Collection pause/resume procedure is used to </w:t>
            </w:r>
            <w:ins w:id="7" w:author="R2-2205943" w:date="2022-05-12T16:11:00Z">
              <w:r>
                <w:rPr>
                  <w:lang w:eastAsia="zh-CN"/>
                </w:rPr>
                <w:t>pause/resume reporting of one or multiple QoE configurations</w:t>
              </w:r>
            </w:ins>
            <w:del w:id="8" w:author="R2-2205943" w:date="2022-05-12T16:11:00Z">
              <w:r>
                <w:rPr>
                  <w:lang w:eastAsia="zh-CN"/>
                </w:rPr>
                <w:delText>pause/resume the reporting for all QoE reports or to pause/resume QoE reporting per QoE configuration</w:delText>
              </w:r>
            </w:del>
            <w:r>
              <w:rPr>
                <w:lang w:eastAsia="zh-CN"/>
              </w:rPr>
              <w:t xml:space="preserve"> in a UE in RAN overload situation.</w:t>
            </w:r>
          </w:p>
          <w:p>
            <w:pPr>
              <w:rPr>
                <w:lang w:eastAsia="zh-CN"/>
              </w:rPr>
            </w:pPr>
            <w:r>
              <w:rPr>
                <w:lang w:eastAsia="zh-CN"/>
              </w:rPr>
              <w:t>gNB can use the</w:t>
            </w:r>
            <w:r>
              <w:rPr>
                <w:i/>
                <w:lang w:eastAsia="zh-CN"/>
              </w:rPr>
              <w:t xml:space="preserve"> RRCReconfiguration</w:t>
            </w:r>
            <w:r>
              <w:rPr>
                <w:lang w:eastAsia="zh-CN"/>
              </w:rPr>
              <w:t xml:space="preserve"> message to temporarily stop application layer measurement reports associated to one or multiple application layer measurement configurations from being sent from the UE to the gNB. When the UE receives the QoE pause indication, UE temporarily stores application layer measurement reports in AS layer</w:t>
            </w:r>
            <w:ins w:id="9" w:author="R2-2205943" w:date="2022-05-12T16:12:00Z">
              <w:r>
                <w:rPr>
                  <w:lang w:eastAsia="zh-CN"/>
                </w:rPr>
                <w:t xml:space="preserve"> except for RAN visible QoE metrics</w:t>
              </w:r>
            </w:ins>
            <w:r>
              <w:rPr>
                <w:lang w:eastAsia="zh-CN"/>
              </w:rPr>
              <w:t>. When the UE receives the QoE resume indication, UE sends the stored application layer measurement reports to the gNB.</w:t>
            </w:r>
          </w:p>
        </w:tc>
      </w:tr>
    </w:tbl>
    <w:p>
      <w:pPr>
        <w:rPr>
          <w:lang w:val="en-US"/>
        </w:rPr>
      </w:pPr>
    </w:p>
    <w:p>
      <w:pPr>
        <w:rPr>
          <w:b/>
          <w:bCs/>
        </w:rPr>
      </w:pPr>
      <w:r>
        <w:rPr>
          <w:b/>
          <w:bCs/>
        </w:rPr>
        <w:t>Q2: Do you agree on the simplified text and the addition to clarify</w:t>
      </w:r>
      <w:r>
        <w:rPr>
          <w:b/>
          <w:bCs/>
          <w:lang w:eastAsia="zh-CN"/>
        </w:rPr>
        <w:t xml:space="preserve"> that</w:t>
      </w:r>
      <w:r>
        <w:rPr>
          <w:b/>
          <w:bCs/>
        </w:rPr>
        <w:t xml:space="preserve"> UE does not store RAN visible QoE metrics proposed by R2-2204994?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Yes</w:t>
            </w:r>
          </w:p>
        </w:tc>
        <w:tc>
          <w:tcPr>
            <w:tcW w:w="5316" w:type="dxa"/>
          </w:tcPr>
          <w:p>
            <w:r>
              <w:t>We are fine with these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 (1</w:t>
            </w:r>
            <w:r>
              <w:rPr>
                <w:vertAlign w:val="superscript"/>
              </w:rPr>
              <w:t>st</w:t>
            </w:r>
            <w:r>
              <w:t xml:space="preserve"> change), </w:t>
            </w:r>
          </w:p>
          <w:p>
            <w:r>
              <w:t>No (2</w:t>
            </w:r>
            <w:r>
              <w:rPr>
                <w:vertAlign w:val="superscript"/>
              </w:rPr>
              <w:t>nd</w:t>
            </w:r>
            <w:r>
              <w:t xml:space="preserve"> change)</w:t>
            </w:r>
          </w:p>
        </w:tc>
        <w:tc>
          <w:tcPr>
            <w:tcW w:w="5316" w:type="dxa"/>
          </w:tcPr>
          <w:p>
            <w:r>
              <w:t>On the 2</w:t>
            </w:r>
            <w:r>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Huawei, HiSilicon</w:t>
            </w:r>
          </w:p>
        </w:tc>
        <w:tc>
          <w:tcPr>
            <w:tcW w:w="1890" w:type="dxa"/>
          </w:tcPr>
          <w:p>
            <w:pPr>
              <w:rPr>
                <w:lang w:eastAsia="zh-CN"/>
              </w:rPr>
            </w:pPr>
            <w:r>
              <w:rPr>
                <w:rFonts w:hint="eastAsia"/>
                <w:lang w:eastAsia="zh-CN"/>
              </w:rPr>
              <w:t>Y</w:t>
            </w:r>
            <w:r>
              <w:rPr>
                <w:lang w:eastAsia="zh-CN"/>
              </w:rPr>
              <w:t>es</w:t>
            </w:r>
          </w:p>
        </w:tc>
        <w:tc>
          <w:tcPr>
            <w:tcW w:w="5316" w:type="dxa"/>
          </w:tcPr>
          <w:p>
            <w:pPr>
              <w:rPr>
                <w:lang w:eastAsia="zh-CN"/>
              </w:rPr>
            </w:pPr>
            <w:r>
              <w:rPr>
                <w:rFonts w:hint="eastAsia"/>
                <w:lang w:eastAsia="zh-CN"/>
              </w:rPr>
              <w:t>P</w:t>
            </w:r>
            <w:r>
              <w:rPr>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r>
              <w:t>Yes to first, no to second.</w:t>
            </w:r>
          </w:p>
        </w:tc>
        <w:tc>
          <w:tcPr>
            <w:tcW w:w="5316" w:type="dxa"/>
          </w:tcPr>
          <w:p>
            <w:r>
              <w:t xml:space="preserve">First change is fine. We would prefer not to do the second change, or to modify it. If we agree on terminology for “legacy QoE”, we could add it after “UE temporarily stores </w:t>
            </w:r>
            <w:r>
              <w:rPr>
                <w:color w:val="FF0000"/>
              </w:rPr>
              <w:t>OAM</w:t>
            </w:r>
            <w:r>
              <w:t xml:space="preserve"> application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Yes for the first change</w:t>
            </w:r>
          </w:p>
          <w:p>
            <w:r>
              <w:t>No for the second</w:t>
            </w:r>
          </w:p>
        </w:tc>
        <w:tc>
          <w:tcPr>
            <w:tcW w:w="5316" w:type="dxa"/>
          </w:tcPr>
          <w:p>
            <w:r>
              <w:t>Pause does not impose “exception” for RAN visible QoE – it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PMingLiU"/>
                <w:lang w:eastAsia="zh-TW"/>
              </w:rPr>
            </w:pPr>
            <w:r>
              <w:rPr>
                <w:rFonts w:hint="eastAsia" w:eastAsia="PMingLiU"/>
                <w:lang w:eastAsia="zh-TW"/>
              </w:rPr>
              <w:t>I</w:t>
            </w:r>
            <w:r>
              <w:rPr>
                <w:rFonts w:eastAsia="PMingLiU"/>
                <w:lang w:eastAsia="zh-TW"/>
              </w:rPr>
              <w:t>TRI</w:t>
            </w:r>
          </w:p>
        </w:tc>
        <w:tc>
          <w:tcPr>
            <w:tcW w:w="1890" w:type="dxa"/>
          </w:tcPr>
          <w:p>
            <w:r>
              <w:rPr>
                <w:rFonts w:hint="eastAsia"/>
                <w:lang w:eastAsia="zh-CN"/>
              </w:rPr>
              <w:t>Y</w:t>
            </w:r>
            <w:r>
              <w:rPr>
                <w:lang w:eastAsia="zh-CN"/>
              </w:rPr>
              <w:t>es</w:t>
            </w:r>
          </w:p>
        </w:tc>
        <w:tc>
          <w:tcPr>
            <w:tcW w:w="5316" w:type="dxa"/>
          </w:tcPr>
          <w:p>
            <w:r>
              <w:rPr>
                <w:rFonts w:hint="eastAsia"/>
                <w:lang w:eastAsia="zh-CN"/>
              </w:rPr>
              <w:t>P</w:t>
            </w:r>
            <w:r>
              <w:rPr>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pPr>
              <w:rPr>
                <w:lang w:eastAsia="zh-CN"/>
              </w:rPr>
            </w:pPr>
            <w:r>
              <w:rPr>
                <w:rFonts w:hint="eastAsia"/>
                <w:lang w:eastAsia="zh-CN"/>
              </w:rPr>
              <w:t>Y</w:t>
            </w:r>
            <w:r>
              <w:rPr>
                <w:lang w:eastAsia="zh-CN"/>
              </w:rPr>
              <w:t>es (1</w:t>
            </w:r>
            <w:r>
              <w:rPr>
                <w:vertAlign w:val="superscript"/>
                <w:lang w:eastAsia="zh-CN"/>
              </w:rPr>
              <w:t xml:space="preserve">st </w:t>
            </w:r>
            <w:r>
              <w:t>change</w:t>
            </w:r>
            <w:r>
              <w:rPr>
                <w:lang w:eastAsia="zh-CN"/>
              </w:rPr>
              <w:t>)</w:t>
            </w:r>
          </w:p>
          <w:p>
            <w:pPr>
              <w:rPr>
                <w:lang w:eastAsia="zh-CN"/>
              </w:rPr>
            </w:pPr>
            <w:r>
              <w:t>No (2</w:t>
            </w:r>
            <w:r>
              <w:rPr>
                <w:vertAlign w:val="superscript"/>
              </w:rPr>
              <w:t>nd</w:t>
            </w:r>
            <w:r>
              <w:t xml:space="preserve"> change)</w:t>
            </w:r>
          </w:p>
        </w:tc>
        <w:tc>
          <w:tcPr>
            <w:tcW w:w="5316" w:type="dxa"/>
          </w:tcPr>
          <w:p>
            <w:pPr>
              <w:rPr>
                <w:lang w:eastAsia="zh-CN"/>
              </w:rPr>
            </w:pPr>
            <w:r>
              <w:rPr>
                <w:rFonts w:hint="eastAsia"/>
                <w:lang w:eastAsia="zh-CN"/>
              </w:rPr>
              <w:t>F</w:t>
            </w:r>
            <w:r>
              <w:rPr>
                <w:lang w:eastAsia="zh-CN"/>
              </w:rPr>
              <w:t>or the 2</w:t>
            </w:r>
            <w:r>
              <w:rPr>
                <w:vertAlign w:val="superscript"/>
                <w:lang w:eastAsia="zh-CN"/>
              </w:rPr>
              <w:t>nd</w:t>
            </w:r>
            <w:r>
              <w:rPr>
                <w:lang w:eastAsia="zh-CN"/>
              </w:rPr>
              <w:t xml:space="preserve"> change, there is no need to keep the duplicated text which has been described in 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rPr>
                <w:lang w:eastAsia="zh-CN"/>
              </w:rPr>
              <w:t>Intel</w:t>
            </w:r>
          </w:p>
        </w:tc>
        <w:tc>
          <w:tcPr>
            <w:tcW w:w="1890" w:type="dxa"/>
          </w:tcPr>
          <w:p>
            <w:r>
              <w:t>Yes (1</w:t>
            </w:r>
            <w:r>
              <w:rPr>
                <w:vertAlign w:val="superscript"/>
              </w:rPr>
              <w:t>st</w:t>
            </w:r>
            <w:r>
              <w:t xml:space="preserve"> change), </w:t>
            </w:r>
          </w:p>
          <w:p>
            <w:pPr>
              <w:rPr>
                <w:rFonts w:hint="eastAsia"/>
                <w:lang w:eastAsia="zh-CN"/>
              </w:rPr>
            </w:pPr>
            <w:r>
              <w:t>No (2</w:t>
            </w:r>
            <w:r>
              <w:rPr>
                <w:vertAlign w:val="superscript"/>
              </w:rPr>
              <w:t>nd</w:t>
            </w:r>
            <w:r>
              <w:t xml:space="preserve"> change)</w:t>
            </w:r>
          </w:p>
        </w:tc>
        <w:tc>
          <w:tcPr>
            <w:tcW w:w="5316" w:type="dxa"/>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lang w:val="en-US" w:eastAsia="zh-CN"/>
              </w:rPr>
            </w:pPr>
            <w:r>
              <w:rPr>
                <w:rFonts w:hint="default"/>
                <w:lang w:val="en-US" w:eastAsia="zh-CN"/>
              </w:rPr>
              <w:t>ZTE</w:t>
            </w:r>
          </w:p>
        </w:tc>
        <w:tc>
          <w:tcPr>
            <w:tcW w:w="1890" w:type="dxa"/>
          </w:tcPr>
          <w:p>
            <w:pPr>
              <w:rPr>
                <w:rFonts w:hint="default"/>
                <w:lang w:val="en-US"/>
              </w:rPr>
            </w:pPr>
            <w:r>
              <w:rPr>
                <w:rFonts w:hint="default"/>
                <w:lang w:val="en-US"/>
              </w:rPr>
              <w:t>Yes</w:t>
            </w:r>
          </w:p>
        </w:tc>
        <w:tc>
          <w:tcPr>
            <w:tcW w:w="5316" w:type="dxa"/>
          </w:tcPr>
          <w:p>
            <w:pPr>
              <w:rPr>
                <w:rFonts w:hint="default"/>
                <w:lang w:val="en-US" w:eastAsia="zh-CN"/>
              </w:rPr>
            </w:pPr>
            <w:r>
              <w:rPr>
                <w:rFonts w:hint="default"/>
                <w:lang w:val="en-US" w:eastAsia="zh-CN"/>
              </w:rPr>
              <w:t>We are fine for these changes.</w:t>
            </w:r>
          </w:p>
        </w:tc>
      </w:tr>
    </w:tbl>
    <w:p>
      <w:pPr>
        <w:rPr>
          <w:lang w:val="en-US"/>
        </w:rPr>
      </w:pPr>
    </w:p>
    <w:p>
      <w:pPr>
        <w:pStyle w:val="3"/>
      </w:pPr>
      <w:r>
        <w:t>On section: 21.4</w:t>
      </w:r>
      <w:r>
        <w:tab/>
      </w:r>
      <w:r>
        <w:t>RAN Visible QoE Measurements</w:t>
      </w:r>
    </w:p>
    <w:p>
      <w:r>
        <w:rPr>
          <w:rFonts w:ascii="Arial" w:hAnsi="Arial" w:cs="Arial"/>
          <w:sz w:val="24"/>
          <w:szCs w:val="24"/>
        </w:rPr>
        <w:t>Proposals from R2-2205943 and R2-2204847 to remove the undefined words and reword the text.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
              <w:numPr>
                <w:ilvl w:val="0"/>
                <w:numId w:val="0"/>
              </w:numPr>
              <w:ind w:left="576" w:hanging="576"/>
            </w:pPr>
            <w:r>
              <w:t>21.4</w:t>
            </w:r>
            <w:r>
              <w:tab/>
            </w:r>
            <w:r>
              <w:t>RAN Visible QoE Measurements</w:t>
            </w:r>
          </w:p>
          <w:p>
            <w:pPr>
              <w:ind w:left="0" w:firstLine="0"/>
              <w:textAlignment w:val="auto"/>
              <w:pPrChange w:id="10"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11" w:author="R2-2205943" w:date="2022-05-12T16:36:00Z">
              <w:r>
                <w:rPr/>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pPr>
              <w:rPr>
                <w:lang w:eastAsia="zh-CN"/>
              </w:rPr>
            </w:pPr>
            <w:r>
              <w:rPr>
                <w:lang w:eastAsia="zh-CN"/>
              </w:rPr>
              <w:t>…</w:t>
            </w:r>
          </w:p>
          <w:p>
            <w:pPr>
              <w:spacing w:line="240" w:lineRule="auto"/>
              <w:rPr>
                <w:ins w:id="12" w:author="R2-2204847" w:date="2022-05-12T23:37:00Z"/>
              </w:rPr>
            </w:pPr>
            <w:ins w:id="13" w:author="R2-2204847" w:date="2022-05-12T23:37:00Z">
              <w:r>
                <w:rPr/>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ins>
            <w:ins w:id="14" w:author="R2-2204847" w:date="2022-05-12T23:37:00Z">
              <w:r>
                <w:rPr>
                  <w:i/>
                </w:rPr>
                <w:t>RRCReconfiguration</w:t>
              </w:r>
            </w:ins>
            <w:ins w:id="15" w:author="R2-2204847" w:date="2022-05-12T23:37:00Z">
              <w:r>
                <w:rPr/>
                <w:t xml:space="preserve"> message at any time.</w:t>
              </w:r>
            </w:ins>
          </w:p>
          <w:p>
            <w:pPr>
              <w:spacing w:line="240" w:lineRule="auto"/>
              <w:rPr>
                <w:ins w:id="16" w:author="R2-2204847" w:date="2022-05-12T23:37:00Z"/>
              </w:rPr>
            </w:pPr>
            <w:ins w:id="17" w:author="R2-2204847" w:date="2022-05-12T23:37:00Z">
              <w:r>
                <w:rPr/>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pPr>
              <w:spacing w:line="240" w:lineRule="auto"/>
            </w:pPr>
            <w:del w:id="18" w:author="R2-2204847" w:date="2022-05-12T23:37:00Z">
              <w:r>
                <w:rPr/>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del>
            <w:del w:id="19" w:author="R2-2204847" w:date="2022-05-12T23:37:00Z">
              <w:r>
                <w:rPr>
                  <w:i/>
                </w:rPr>
                <w:delText>measConfigAppLayerId</w:delText>
              </w:r>
            </w:del>
            <w:del w:id="20" w:author="R2-2204847" w:date="2022-05-12T23:37:00Z">
              <w:r>
                <w:rPr/>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del>
            <w:del w:id="21" w:author="R2-2204847" w:date="2022-05-12T23:37:00Z">
              <w:r>
                <w:rPr>
                  <w:i/>
                </w:rPr>
                <w:delText>MeasurementReportAppLayer</w:delText>
              </w:r>
            </w:del>
            <w:del w:id="22" w:author="R2-2204847" w:date="2022-05-12T23:37:00Z">
              <w:r>
                <w:rPr/>
                <w:delText xml:space="preserve"> message. gNB can release one or multiple RAN visible application layer measurement configurations from the UE in one RRC message at any time.</w:delText>
              </w:r>
            </w:del>
          </w:p>
          <w:p>
            <w:pPr>
              <w:spacing w:line="240" w:lineRule="auto"/>
              <w:rPr>
                <w:lang w:eastAsia="zh-CN"/>
              </w:rPr>
            </w:pPr>
            <w:r>
              <w:rPr>
                <w:lang w:eastAsia="zh-CN"/>
              </w:rPr>
              <w:t>…</w:t>
            </w:r>
          </w:p>
        </w:tc>
      </w:tr>
    </w:tbl>
    <w:p/>
    <w:p>
      <w:pPr>
        <w:rPr>
          <w:b/>
          <w:bCs/>
        </w:rPr>
      </w:pPr>
      <w:r>
        <w:rPr>
          <w:b/>
          <w:bCs/>
        </w:rPr>
        <w:t xml:space="preserve">Q3a: Do you agree to remove the undefined “RAN visible QoE values” proposed by R2-2205943?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Yes and also …</w:t>
            </w:r>
          </w:p>
        </w:tc>
        <w:tc>
          <w:tcPr>
            <w:tcW w:w="5316" w:type="dxa"/>
          </w:tcPr>
          <w:p>
            <w:r>
              <w:t>We tend to think the whole bracket can be removed actually, as these examples do not provide too much more information and seem to be redundant from our perspective:</w:t>
            </w:r>
          </w:p>
          <w:p/>
          <w:p>
            <w:r>
              <w:t xml:space="preserve">RAN visible QoE measurements </w:t>
            </w:r>
            <w:r>
              <w:rPr>
                <w:strike/>
                <w:color w:val="FF0000"/>
              </w:rPr>
              <w:t>(e.g., RAN visible QoE metrics</w:t>
            </w:r>
            <w:del w:id="23" w:author="R2-2205943" w:date="2022-05-12T16:36:00Z">
              <w:r>
                <w:rPr>
                  <w:color w:val="FF0000"/>
                </w:rPr>
                <w:delText xml:space="preserve">, </w:delText>
              </w:r>
            </w:del>
            <w:del w:id="24" w:author="R2-2205943" w:date="2022-05-12T16:36:00Z">
              <w:r>
                <w:rPr/>
                <w:delText>RAN visible QoE values</w:delText>
              </w:r>
            </w:del>
            <w:r>
              <w:rPr>
                <w:strike/>
                <w:color w:val="FF0000"/>
              </w:rPr>
              <w:t xml:space="preserve">) </w:t>
            </w:r>
            <w:r>
              <w:t>could be utilized by the NG-RAN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 but</w:t>
            </w:r>
          </w:p>
        </w:tc>
        <w:tc>
          <w:tcPr>
            <w:tcW w:w="5316" w:type="dxa"/>
          </w:tcPr>
          <w:p>
            <w:r>
              <w:t>We wonder about the example part “e.g., RAN visible QoE metrics”. Are there are types of RAN visible QoE measurements? To be clear we suggest to replace it by the following:</w:t>
            </w:r>
          </w:p>
          <w:p>
            <w:r>
              <w:t>“RAN visible QoE measurements (</w:t>
            </w:r>
            <w:r>
              <w:rPr>
                <w:color w:val="FF0000"/>
              </w:rPr>
              <w:t xml:space="preserve">i.e., collected </w:t>
            </w:r>
            <w:r>
              <w:t>RAN visible QoE metrics)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H</w:t>
            </w:r>
            <w:r>
              <w:rPr>
                <w:lang w:eastAsia="zh-CN"/>
              </w:rPr>
              <w:t>ua</w:t>
            </w:r>
            <w:r>
              <w:rPr>
                <w:rFonts w:hint="eastAsia"/>
                <w:lang w:eastAsia="zh-CN"/>
              </w:rPr>
              <w:t>w</w:t>
            </w:r>
            <w:r>
              <w:rPr>
                <w:lang w:eastAsia="zh-CN"/>
              </w:rPr>
              <w:t>ei, HiSilicon</w:t>
            </w:r>
          </w:p>
        </w:tc>
        <w:tc>
          <w:tcPr>
            <w:tcW w:w="1890" w:type="dxa"/>
          </w:tcPr>
          <w:p>
            <w:pPr>
              <w:rPr>
                <w:lang w:eastAsia="zh-CN"/>
              </w:rPr>
            </w:pPr>
            <w:r>
              <w:rPr>
                <w:rFonts w:hint="eastAsia"/>
                <w:lang w:eastAsia="zh-CN"/>
              </w:rPr>
              <w:t>L</w:t>
            </w:r>
            <w:r>
              <w:rPr>
                <w:lang w:eastAsia="zh-CN"/>
              </w:rPr>
              <w:t>eave the “RAN visible QoE values” as it is</w:t>
            </w:r>
          </w:p>
        </w:tc>
        <w:tc>
          <w:tcPr>
            <w:tcW w:w="5316" w:type="dxa"/>
          </w:tcPr>
          <w:p>
            <w:pPr>
              <w:rPr>
                <w:lang w:eastAsia="zh-CN"/>
              </w:rPr>
            </w:pPr>
            <w:r>
              <w:rPr>
                <w:lang w:eastAsia="zh-CN"/>
              </w:rPr>
              <w:t>We proposed this change because we did not find anything about it in previous RAN2 agreements.</w:t>
            </w:r>
          </w:p>
          <w:p>
            <w:r>
              <w:rPr>
                <w:lang w:eastAsia="zh-CN"/>
              </w:rPr>
              <w:t>We re-checked the text “RAN visible QoE values”. At RAN3#115-e meeting, there were some agreements on QoE values:</w:t>
            </w:r>
          </w:p>
          <w:p>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r>
              <w:rPr>
                <w:rFonts w:cs="Calibri"/>
                <w:color w:val="00B050"/>
                <w:sz w:val="16"/>
                <w:szCs w:val="16"/>
              </w:rPr>
              <w:t>Send an LS asking SA4 input on how RVQOE values can be defined, for the metrics selected for RVQOE support and whether the UE can generate RVQOE values.</w:t>
            </w:r>
          </w:p>
          <w:p/>
          <w:p>
            <w:pPr>
              <w:rPr>
                <w:lang w:eastAsia="zh-CN"/>
              </w:rPr>
            </w:pPr>
            <w:r>
              <w:rPr>
                <w:rFonts w:hint="eastAsia"/>
                <w:lang w:eastAsia="zh-CN"/>
              </w:rPr>
              <w:t>A</w:t>
            </w:r>
            <w:r>
              <w:rPr>
                <w:lang w:eastAsia="zh-CN"/>
              </w:rPr>
              <w:t xml:space="preserve">nd then the text was agreed in the following BL CR (later merged to the final TS 38.300 CR).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r>
              <w:rPr>
                <w:i/>
              </w:rPr>
              <w:t>R2-2204174</w:t>
            </w:r>
            <w:r>
              <w:rPr>
                <w:i/>
              </w:rPr>
              <w:tab/>
            </w:r>
            <w:r>
              <w:rPr>
                <w:i/>
              </w:rPr>
              <w:t>38.300 BL CR for Introduction of QoE measurements in NR</w:t>
            </w:r>
            <w:r>
              <w:rPr>
                <w:i/>
              </w:rPr>
              <w:tab/>
            </w:r>
            <w:r>
              <w:rPr>
                <w:i/>
              </w:rPr>
              <w:t>R3 (China Unicom, Ericsson, ZTE, Huawei, Nokia, Nokia Shanghai Bell, Samsung,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tc>
        <w:tc>
          <w:tcPr>
            <w:tcW w:w="5316" w:type="dxa"/>
          </w:tcPr>
          <w:p>
            <w:r>
              <w:t xml:space="preserve">We think the first change is not needed. It is a bit hard to see the purpose of the clarification within brackets. We think the whole part within brackets can be removed, it doesn’t clarify anything. </w:t>
            </w:r>
          </w:p>
          <w:p>
            <w:r>
              <w:t>The second change is fine, but we would prefer to use measConfigAppLayerId instead of RRC identifier. Using RRC identifier puts extra burden on the reader to find out what the RRC identifier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Yes, but</w:t>
            </w:r>
          </w:p>
        </w:tc>
        <w:tc>
          <w:tcPr>
            <w:tcW w:w="5316" w:type="dxa"/>
          </w:tcPr>
          <w:p>
            <w: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PMingLiU"/>
                <w:lang w:eastAsia="zh-TW"/>
              </w:rPr>
            </w:pPr>
            <w:r>
              <w:rPr>
                <w:rFonts w:hint="eastAsia" w:eastAsia="PMingLiU"/>
                <w:lang w:eastAsia="zh-TW"/>
              </w:rPr>
              <w:t>I</w:t>
            </w:r>
            <w:r>
              <w:rPr>
                <w:rFonts w:eastAsia="PMingLiU"/>
                <w:lang w:eastAsia="zh-TW"/>
              </w:rPr>
              <w:t>TRI</w:t>
            </w:r>
          </w:p>
        </w:tc>
        <w:tc>
          <w:tcPr>
            <w:tcW w:w="1890" w:type="dxa"/>
          </w:tcPr>
          <w:p>
            <w:r>
              <w:t>Yes, but</w:t>
            </w:r>
          </w:p>
        </w:tc>
        <w:tc>
          <w:tcPr>
            <w:tcW w:w="5316" w:type="dxa"/>
          </w:tcPr>
          <w:p>
            <w:r>
              <w:t xml:space="preserve">Agree with Apple to remove the whole bracket. RAN visible QoE metrics are defined in the subsequent sentences.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pPr>
              <w:rPr>
                <w:lang w:eastAsia="zh-CN"/>
              </w:rPr>
            </w:pPr>
          </w:p>
        </w:tc>
        <w:tc>
          <w:tcPr>
            <w:tcW w:w="5316" w:type="dxa"/>
          </w:tcPr>
          <w:p>
            <w:pPr>
              <w:rPr>
                <w:lang w:eastAsia="zh-CN"/>
              </w:rPr>
            </w:pPr>
            <w:r>
              <w:rPr>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rPr>
                <w:lang w:eastAsia="zh-CN"/>
              </w:rPr>
              <w:t>Intel</w:t>
            </w:r>
          </w:p>
        </w:tc>
        <w:tc>
          <w:tcPr>
            <w:tcW w:w="1890" w:type="dxa"/>
          </w:tcPr>
          <w:p>
            <w:pPr>
              <w:rPr>
                <w:lang w:eastAsia="zh-CN"/>
              </w:rPr>
            </w:pPr>
            <w:r>
              <w:rPr>
                <w:lang w:eastAsia="zh-CN"/>
              </w:rPr>
              <w:t>Yes, but</w:t>
            </w:r>
          </w:p>
        </w:tc>
        <w:tc>
          <w:tcPr>
            <w:tcW w:w="5316" w:type="dxa"/>
          </w:tcPr>
          <w:p>
            <w:pPr>
              <w:rPr>
                <w:lang w:eastAsia="zh-CN"/>
              </w:rPr>
            </w:pPr>
            <w:r>
              <w:rPr>
                <w:lang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lang w:val="en-US" w:eastAsia="zh-CN"/>
              </w:rPr>
            </w:pPr>
            <w:r>
              <w:rPr>
                <w:rFonts w:hint="default"/>
                <w:lang w:val="en-US" w:eastAsia="zh-CN"/>
              </w:rPr>
              <w:t>ZTE</w:t>
            </w:r>
          </w:p>
        </w:tc>
        <w:tc>
          <w:tcPr>
            <w:tcW w:w="1890" w:type="dxa"/>
          </w:tcPr>
          <w:p>
            <w:pPr>
              <w:rPr>
                <w:rFonts w:hint="default"/>
                <w:lang w:val="en-US" w:eastAsia="zh-CN"/>
              </w:rPr>
            </w:pPr>
            <w:r>
              <w:rPr>
                <w:rFonts w:hint="default"/>
                <w:lang w:val="en-US" w:eastAsia="zh-CN"/>
              </w:rPr>
              <w:t>Yes,but</w:t>
            </w:r>
          </w:p>
        </w:tc>
        <w:tc>
          <w:tcPr>
            <w:tcW w:w="5316" w:type="dxa"/>
          </w:tcPr>
          <w:p>
            <w:pPr>
              <w:rPr>
                <w:rFonts w:hint="default"/>
                <w:lang w:val="en-US" w:eastAsia="zh-CN"/>
              </w:rPr>
            </w:pPr>
            <w:r>
              <w:rPr>
                <w:rFonts w:hint="default"/>
                <w:lang w:val="en-US" w:eastAsia="zh-CN"/>
              </w:rPr>
              <w:t>Agree with Apple</w:t>
            </w:r>
          </w:p>
        </w:tc>
      </w:tr>
    </w:tbl>
    <w:p/>
    <w:p>
      <w:pPr>
        <w:rPr>
          <w:b/>
          <w:bCs/>
        </w:rPr>
      </w:pPr>
      <w:r>
        <w:rPr>
          <w:b/>
          <w:bCs/>
        </w:rPr>
        <w:t xml:space="preserve">Q3b: Do you agree to remove the rewording text proposed by R2-2204847?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No</w:t>
            </w:r>
          </w:p>
        </w:tc>
        <w:tc>
          <w:tcPr>
            <w:tcW w:w="5316" w:type="dxa"/>
          </w:tcPr>
          <w:p>
            <w:r>
              <w:t xml:space="preserve">We do not see much critical issues with the original text and how the TP is R2-2204847 is better, so it is questionable if we really need to have such a major overhaul of text in the maintenance phase. </w:t>
            </w:r>
          </w:p>
          <w:p>
            <w:r>
              <w:t>Having said that, we agree the original text may not be perfect, and RAN2 could try to refine it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w:t>
            </w:r>
          </w:p>
        </w:tc>
        <w:tc>
          <w:tcPr>
            <w:tcW w:w="5316" w:type="dxa"/>
          </w:tcPr>
          <w:p>
            <w:r>
              <w:t>Proponent. The intention is to remove the redundant text below:</w:t>
            </w:r>
          </w:p>
          <w:p>
            <w:r>
              <w:t>“RAN visible application layer measurement is supported only for streaming and VR services. The gNB can use RAN visible application layer measurement configurations to instruct the UE to collect application layer measurements for RRM purposes.”</w:t>
            </w:r>
          </w:p>
          <w:p>
            <w:r>
              <w:t>Further intention is to group the descriptions logically and place them in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H</w:t>
            </w:r>
            <w:r>
              <w:rPr>
                <w:lang w:eastAsia="zh-CN"/>
              </w:rPr>
              <w:t>uawei, HiSilicon</w:t>
            </w:r>
          </w:p>
        </w:tc>
        <w:tc>
          <w:tcPr>
            <w:tcW w:w="1890" w:type="dxa"/>
          </w:tcPr>
          <w:p>
            <w:pPr>
              <w:rPr>
                <w:lang w:eastAsia="zh-CN"/>
              </w:rPr>
            </w:pPr>
            <w:r>
              <w:rPr>
                <w:rFonts w:hint="eastAsia"/>
                <w:lang w:eastAsia="zh-CN"/>
              </w:rPr>
              <w:t>N</w:t>
            </w:r>
            <w:r>
              <w:rPr>
                <w:lang w:eastAsia="zh-CN"/>
              </w:rPr>
              <w:t>o</w:t>
            </w:r>
          </w:p>
        </w:tc>
        <w:tc>
          <w:tcPr>
            <w:tcW w:w="5316" w:type="dxa"/>
          </w:tcPr>
          <w:p>
            <w:pPr>
              <w:rPr>
                <w:lang w:eastAsia="zh-CN"/>
              </w:rPr>
            </w:pPr>
            <w:r>
              <w:rPr>
                <w:lang w:eastAsia="zh-CN"/>
              </w:rPr>
              <w:t>It may be good to focus on the critical change, e.g. as mentioned by Lenovo, rather than too much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r>
              <w:t>Yes</w:t>
            </w:r>
          </w:p>
        </w:tc>
        <w:tc>
          <w:tcPr>
            <w:tcW w:w="5316" w:type="dxa"/>
          </w:tcPr>
          <w:p>
            <w:r>
              <w:t>In general fine with the proposed changes, but might have some comments after merging with the rapporteur CR. We think it is good to improve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No strong view</w:t>
            </w:r>
          </w:p>
        </w:tc>
        <w:tc>
          <w:tcPr>
            <w:tcW w:w="5316" w:type="dxa"/>
          </w:tcPr>
          <w:p>
            <w:r>
              <w:t>Have sympathy for simplified text, but also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r>
              <w:rPr>
                <w:rFonts w:hint="eastAsia" w:eastAsia="PMingLiU"/>
                <w:lang w:eastAsia="zh-TW"/>
              </w:rPr>
              <w:t>I</w:t>
            </w:r>
            <w:r>
              <w:rPr>
                <w:rFonts w:eastAsia="PMingLiU"/>
                <w:lang w:eastAsia="zh-TW"/>
              </w:rPr>
              <w:t>TRI</w:t>
            </w:r>
          </w:p>
        </w:tc>
        <w:tc>
          <w:tcPr>
            <w:tcW w:w="1890" w:type="dxa"/>
          </w:tcPr>
          <w:p>
            <w:r>
              <w:rPr>
                <w:rFonts w:hint="eastAsia" w:eastAsia="PMingLiU"/>
                <w:lang w:eastAsia="zh-TW"/>
              </w:rPr>
              <w:t>Y</w:t>
            </w:r>
            <w:r>
              <w:rPr>
                <w:rFonts w:eastAsia="PMingLiU"/>
                <w:lang w:eastAsia="zh-TW"/>
              </w:rPr>
              <w:t xml:space="preserve">es </w:t>
            </w:r>
          </w:p>
        </w:tc>
        <w:tc>
          <w:tcPr>
            <w:tcW w:w="5316" w:type="dxa"/>
          </w:tcPr>
          <w:p>
            <w:r>
              <w:rPr>
                <w:rFonts w:eastAsia="PMingLiU"/>
                <w:lang w:eastAsia="zh-TW"/>
              </w:rPr>
              <w:t xml:space="preserve">No strong view, but the rewording text is more concrete.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pPr>
              <w:rPr>
                <w:lang w:eastAsia="zh-CN"/>
              </w:rPr>
            </w:pPr>
            <w:r>
              <w:rPr>
                <w:rFonts w:hint="eastAsia"/>
                <w:lang w:eastAsia="zh-CN"/>
              </w:rPr>
              <w:t>N</w:t>
            </w:r>
            <w:r>
              <w:rPr>
                <w:lang w:eastAsia="zh-CN"/>
              </w:rPr>
              <w:t>o</w:t>
            </w:r>
          </w:p>
        </w:tc>
        <w:tc>
          <w:tcPr>
            <w:tcW w:w="5316" w:type="dxa"/>
          </w:tcPr>
          <w:p>
            <w:pPr>
              <w:rPr>
                <w:lang w:eastAsia="zh-CN"/>
              </w:rPr>
            </w:pPr>
            <w:r>
              <w:rPr>
                <w:lang w:eastAsia="zh-CN"/>
              </w:rPr>
              <w:t>The redundant text have been removed from the draft CR v00_Rapp. And we prefer to reword the original text later with some critical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rPr>
                <w:lang w:eastAsia="zh-CN"/>
              </w:rPr>
              <w:t>Intel</w:t>
            </w:r>
          </w:p>
        </w:tc>
        <w:tc>
          <w:tcPr>
            <w:tcW w:w="1890" w:type="dxa"/>
          </w:tcPr>
          <w:p>
            <w:pPr>
              <w:rPr>
                <w:rFonts w:hint="eastAsia"/>
                <w:lang w:eastAsia="zh-CN"/>
              </w:rPr>
            </w:pPr>
            <w:r>
              <w:rPr>
                <w:lang w:eastAsia="zh-CN"/>
              </w:rPr>
              <w:t>No strong view</w:t>
            </w:r>
          </w:p>
        </w:tc>
        <w:tc>
          <w:tcPr>
            <w:tcW w:w="5316" w:type="dxa"/>
          </w:tcPr>
          <w:p>
            <w:pPr>
              <w:rPr>
                <w:lang w:eastAsia="zh-CN"/>
              </w:rPr>
            </w:pPr>
            <w:r>
              <w:rPr>
                <w:lang w:eastAsia="zh-CN"/>
              </w:rPr>
              <w:t>Ok to use the simplified text with the proposed change.</w:t>
            </w:r>
          </w:p>
        </w:tc>
      </w:tr>
    </w:tbl>
    <w:p/>
    <w:p>
      <w:r>
        <w:rPr>
          <w:rFonts w:ascii="Arial" w:hAnsi="Arial" w:cs="Arial"/>
          <w:sz w:val="24"/>
          <w:szCs w:val="24"/>
        </w:rPr>
        <w:t>Proposals from R2-2205943 on the rewording of the none-paused RAN visible reports: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ins w:id="25" w:author="R2-2205943" w:date="2022-05-12T16:46:00Z">
              <w:r>
                <w:rPr/>
                <w:t>RAN visible application layer measurements are not subject to QoE pause/resume indications, i.e. if configured,  they are reported by the UE even though the corresponding non RAN visible application layer measurement reporting is paused</w:t>
              </w:r>
            </w:ins>
            <w:del w:id="26" w:author="R2-2205943" w:date="2022-05-12T16:46:00Z">
              <w:r>
                <w:rPr/>
                <w:delText>The UE still reports the configured RAN visible application layer measurements, even though the corresponding non RAN visible application layer measurement reporting is paused.</w:delText>
              </w:r>
            </w:del>
          </w:p>
        </w:tc>
      </w:tr>
    </w:tbl>
    <w:p/>
    <w:p>
      <w:pPr>
        <w:rPr>
          <w:b/>
          <w:bCs/>
        </w:rPr>
      </w:pPr>
      <w:r>
        <w:rPr>
          <w:b/>
          <w:bCs/>
        </w:rPr>
        <w:t xml:space="preserve">Q3c: Do you agree on </w:t>
      </w:r>
      <w:r>
        <w:rPr>
          <w:b/>
          <w:bCs/>
          <w:lang w:eastAsia="zh-CN"/>
        </w:rPr>
        <w:t xml:space="preserve">the rewording text </w:t>
      </w:r>
      <w:r>
        <w:rPr>
          <w:b/>
          <w:bCs/>
        </w:rPr>
        <w:t xml:space="preserve">proposed by R2-2205943?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No</w:t>
            </w:r>
          </w:p>
        </w:tc>
        <w:tc>
          <w:tcPr>
            <w:tcW w:w="5316" w:type="dxa"/>
          </w:tcPr>
          <w:p>
            <w:r>
              <w:t>We think the text proposal in the Rapporteur CR (R2-2204591) sounds better:</w:t>
            </w:r>
          </w:p>
          <w:p/>
          <w:p>
            <w:r>
              <w:t>The UE continues to report the configured RAN visible application layer measurements, when the corresponding non RAN visible application layer measurement reporting is paused.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w:t>
            </w:r>
          </w:p>
        </w:tc>
        <w:tc>
          <w:tcPr>
            <w:tcW w:w="5316" w:type="dxa"/>
          </w:tcPr>
          <w:p>
            <w:r>
              <w:t>It looks better than the current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H</w:t>
            </w:r>
            <w:r>
              <w:rPr>
                <w:lang w:eastAsia="zh-CN"/>
              </w:rPr>
              <w:t>uawei, HiSilicon</w:t>
            </w:r>
          </w:p>
        </w:tc>
        <w:tc>
          <w:tcPr>
            <w:tcW w:w="1890" w:type="dxa"/>
          </w:tcPr>
          <w:p>
            <w:pPr>
              <w:rPr>
                <w:lang w:eastAsia="zh-CN"/>
              </w:rPr>
            </w:pPr>
            <w:r>
              <w:rPr>
                <w:rFonts w:hint="eastAsia"/>
                <w:lang w:eastAsia="zh-CN"/>
              </w:rPr>
              <w:t>Y</w:t>
            </w:r>
            <w:r>
              <w:rPr>
                <w:lang w:eastAsia="zh-CN"/>
              </w:rPr>
              <w:t>es</w:t>
            </w:r>
          </w:p>
        </w:tc>
        <w:tc>
          <w:tcPr>
            <w:tcW w:w="5316" w:type="dxa"/>
          </w:tcPr>
          <w:p>
            <w:pPr>
              <w:rPr>
                <w:lang w:eastAsia="zh-CN"/>
              </w:rPr>
            </w:pPr>
            <w:r>
              <w:rPr>
                <w:lang w:eastAsia="zh-CN"/>
              </w:rPr>
              <w:t>But also ok with the text in the Rapp CR R2-2204591.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r>
              <w:t>No</w:t>
            </w:r>
          </w:p>
        </w:tc>
        <w:tc>
          <w:tcPr>
            <w:tcW w:w="5316" w:type="dxa"/>
          </w:tcPr>
          <w:p>
            <w:r>
              <w:t>We also prefer the text proposal in the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Yes</w:t>
            </w:r>
          </w:p>
        </w:tc>
        <w:tc>
          <w:tcPr>
            <w:tcW w:w="5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ITRI</w:t>
            </w:r>
          </w:p>
        </w:tc>
        <w:tc>
          <w:tcPr>
            <w:tcW w:w="1890" w:type="dxa"/>
          </w:tcPr>
          <w:p>
            <w:r>
              <w:t>Yes</w:t>
            </w:r>
          </w:p>
        </w:tc>
        <w:tc>
          <w:tcPr>
            <w:tcW w:w="5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pPr>
              <w:rPr>
                <w:lang w:eastAsia="zh-CN"/>
              </w:rPr>
            </w:pPr>
            <w:r>
              <w:rPr>
                <w:rFonts w:hint="eastAsia"/>
                <w:lang w:eastAsia="zh-CN"/>
              </w:rPr>
              <w:t>N</w:t>
            </w:r>
            <w:r>
              <w:rPr>
                <w:lang w:eastAsia="zh-CN"/>
              </w:rPr>
              <w:t>o</w:t>
            </w:r>
          </w:p>
        </w:tc>
        <w:tc>
          <w:tcPr>
            <w:tcW w:w="5316" w:type="dxa"/>
          </w:tcPr>
          <w:p>
            <w:pPr>
              <w:rPr>
                <w:lang w:eastAsia="zh-CN"/>
              </w:rPr>
            </w:pPr>
            <w:r>
              <w:rPr>
                <w:rFonts w:hint="eastAsia"/>
                <w:lang w:eastAsia="zh-CN"/>
              </w:rPr>
              <w:t>W</w:t>
            </w:r>
            <w:r>
              <w:rPr>
                <w:lang w:eastAsia="zh-CN"/>
              </w:rPr>
              <w:t>e prefer the text proposal in v00_Rapp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lang w:val="en-US" w:eastAsia="zh-CN"/>
              </w:rPr>
            </w:pPr>
            <w:r>
              <w:rPr>
                <w:rFonts w:hint="default"/>
                <w:lang w:val="en-US" w:eastAsia="zh-CN"/>
              </w:rPr>
              <w:t>ZTE</w:t>
            </w:r>
          </w:p>
        </w:tc>
        <w:tc>
          <w:tcPr>
            <w:tcW w:w="1890" w:type="dxa"/>
          </w:tcPr>
          <w:p>
            <w:pPr>
              <w:rPr>
                <w:rFonts w:hint="default"/>
                <w:lang w:val="en-US" w:eastAsia="zh-CN"/>
              </w:rPr>
            </w:pPr>
            <w:r>
              <w:rPr>
                <w:rFonts w:hint="default"/>
                <w:lang w:val="en-US" w:eastAsia="zh-CN"/>
              </w:rPr>
              <w:t>Yes</w:t>
            </w:r>
          </w:p>
        </w:tc>
        <w:tc>
          <w:tcPr>
            <w:tcW w:w="5316" w:type="dxa"/>
          </w:tcPr>
          <w:p>
            <w:pPr>
              <w:rPr>
                <w:rFonts w:hint="eastAsia"/>
                <w:lang w:eastAsia="zh-CN"/>
              </w:rPr>
            </w:pPr>
          </w:p>
        </w:tc>
      </w:tr>
    </w:tbl>
    <w:p/>
    <w:p>
      <w:pPr>
        <w:pStyle w:val="3"/>
      </w:pPr>
      <w:r>
        <w:t>On the naming of “regular” QoE</w:t>
      </w:r>
    </w:p>
    <w:p>
      <w:r>
        <w:rPr>
          <w:rFonts w:ascii="Arial" w:hAnsi="Arial" w:cs="Arial"/>
          <w:sz w:val="24"/>
          <w:szCs w:val="24"/>
        </w:rPr>
        <w:t>R2-2</w:t>
      </w:r>
      <w:r>
        <w:rPr>
          <w:rFonts w:hint="eastAsia" w:ascii="Arial" w:hAnsi="Arial" w:cs="Arial"/>
          <w:sz w:val="24"/>
          <w:szCs w:val="24"/>
        </w:rPr>
        <w:t>20</w:t>
      </w:r>
      <w:r>
        <w:rPr>
          <w:rFonts w:ascii="Arial" w:hAnsi="Arial" w:cs="Arial"/>
          <w:sz w:val="24"/>
          <w:szCs w:val="24"/>
        </w:rPr>
        <w:t>5440 proposed to rename the Application layer measurements configured by OAM to “OAM-QoE measurements”, and add the definitions of “OAM-QoE measurements”, “OAM-QoE report”, “RAN visible QoE measurements” and “RAN visible QoE measurements” in both stage-2 and stage-3 CR.</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before="180" w:line="240" w:lineRule="auto"/>
              <w:textAlignment w:val="baseline"/>
              <w:outlineLvl w:val="1"/>
              <w:rPr>
                <w:rFonts w:ascii="Arial" w:hAnsi="Arial" w:eastAsia="等线"/>
                <w:sz w:val="32"/>
                <w:lang w:eastAsia="ja-JP"/>
              </w:rPr>
            </w:pPr>
            <w:bookmarkStart w:id="0" w:name="_Toc46501876"/>
            <w:bookmarkStart w:id="1" w:name="_Toc52551207"/>
            <w:bookmarkStart w:id="2" w:name="_Toc20387887"/>
            <w:bookmarkStart w:id="3" w:name="_Toc29375966"/>
            <w:bookmarkStart w:id="4" w:name="_Toc100781887"/>
            <w:bookmarkStart w:id="5" w:name="_Toc37231823"/>
            <w:bookmarkStart w:id="6" w:name="_Toc51971224"/>
            <w:r>
              <w:rPr>
                <w:rFonts w:ascii="Arial" w:hAnsi="Arial" w:eastAsia="等线"/>
                <w:sz w:val="32"/>
                <w:lang w:eastAsia="ja-JP"/>
              </w:rPr>
              <w:t>3.2</w:t>
            </w:r>
            <w:r>
              <w:rPr>
                <w:rFonts w:ascii="Arial" w:hAnsi="Arial" w:eastAsia="等线"/>
                <w:sz w:val="32"/>
                <w:lang w:eastAsia="ja-JP"/>
              </w:rPr>
              <w:tab/>
            </w:r>
            <w:r>
              <w:rPr>
                <w:rFonts w:ascii="Arial" w:hAnsi="Arial" w:eastAsia="等线"/>
                <w:sz w:val="32"/>
                <w:lang w:eastAsia="ja-JP"/>
              </w:rPr>
              <w:t>Definitions</w:t>
            </w:r>
            <w:bookmarkEnd w:id="0"/>
            <w:bookmarkEnd w:id="1"/>
            <w:bookmarkEnd w:id="2"/>
            <w:bookmarkEnd w:id="3"/>
            <w:bookmarkEnd w:id="4"/>
            <w:bookmarkEnd w:id="5"/>
            <w:bookmarkEnd w:id="6"/>
          </w:p>
          <w:p>
            <w:pPr>
              <w:overflowPunct w:val="0"/>
              <w:autoSpaceDE w:val="0"/>
              <w:autoSpaceDN w:val="0"/>
              <w:adjustRightInd w:val="0"/>
              <w:spacing w:line="240" w:lineRule="auto"/>
              <w:textAlignment w:val="baseline"/>
              <w:rPr>
                <w:rFonts w:eastAsia="等线"/>
                <w:lang w:eastAsia="ja-JP"/>
              </w:rPr>
            </w:pPr>
            <w:r>
              <w:rPr>
                <w:rFonts w:eastAsia="等线"/>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pPr>
              <w:overflowPunct w:val="0"/>
              <w:autoSpaceDE w:val="0"/>
              <w:autoSpaceDN w:val="0"/>
              <w:adjustRightInd w:val="0"/>
              <w:spacing w:line="240" w:lineRule="auto"/>
              <w:textAlignment w:val="baseline"/>
              <w:rPr>
                <w:rFonts w:eastAsia="等线"/>
                <w:lang w:eastAsia="ja-JP"/>
              </w:rPr>
            </w:pPr>
            <w:r>
              <w:rPr>
                <w:rFonts w:eastAsia="等线"/>
                <w:lang w:eastAsia="ja-JP"/>
              </w:rPr>
              <w:t>[..]</w:t>
            </w:r>
          </w:p>
          <w:p>
            <w:pPr>
              <w:overflowPunct w:val="0"/>
              <w:autoSpaceDE w:val="0"/>
              <w:autoSpaceDN w:val="0"/>
              <w:adjustRightInd w:val="0"/>
              <w:spacing w:line="240" w:lineRule="auto"/>
              <w:textAlignment w:val="baseline"/>
              <w:rPr>
                <w:ins w:id="27" w:author="R2-2205440" w:date="2022-05-12T17:25:00Z"/>
                <w:rFonts w:eastAsia="等线"/>
                <w:lang w:eastAsia="ja-JP"/>
              </w:rPr>
            </w:pPr>
            <w:r>
              <w:rPr>
                <w:rFonts w:eastAsia="等线"/>
                <w:b/>
                <w:lang w:eastAsia="ja-JP"/>
              </w:rPr>
              <w:t>Numerology</w:t>
            </w:r>
            <w:r>
              <w:rPr>
                <w:rFonts w:eastAsia="等线"/>
                <w:lang w:eastAsia="ja-JP"/>
              </w:rPr>
              <w:t xml:space="preserve">: corresponds to one subcarrier spacing in the frequency domain. By scaling a reference subcarrier spacing by an integer </w:t>
            </w:r>
            <w:r>
              <w:rPr>
                <w:rFonts w:eastAsia="等线"/>
                <w:i/>
                <w:lang w:eastAsia="ja-JP"/>
              </w:rPr>
              <w:t>N</w:t>
            </w:r>
            <w:r>
              <w:rPr>
                <w:rFonts w:eastAsia="等线"/>
                <w:lang w:eastAsia="ja-JP"/>
              </w:rPr>
              <w:t>, different numerologies can be defined.</w:t>
            </w:r>
          </w:p>
          <w:p>
            <w:pPr>
              <w:overflowPunct w:val="0"/>
              <w:autoSpaceDE w:val="0"/>
              <w:autoSpaceDN w:val="0"/>
              <w:adjustRightInd w:val="0"/>
              <w:spacing w:line="240" w:lineRule="auto"/>
              <w:textAlignment w:val="baseline"/>
              <w:rPr>
                <w:ins w:id="28" w:author="R2-2205440" w:date="2022-05-12T17:25:00Z"/>
                <w:rFonts w:eastAsia="等线"/>
                <w:lang w:eastAsia="ja-JP"/>
              </w:rPr>
            </w:pPr>
            <w:ins w:id="29" w:author="R2-2205440" w:date="2022-05-12T17:25:00Z">
              <w:r>
                <w:rPr>
                  <w:rFonts w:eastAsia="等线"/>
                  <w:b/>
                  <w:lang w:eastAsia="ja-JP"/>
                </w:rPr>
                <w:t xml:space="preserve">OAM-QoE measurements: </w:t>
              </w:r>
            </w:ins>
            <w:ins w:id="30" w:author="R2-2205440" w:date="2022-05-12T17:25:00Z">
              <w:r>
                <w:rPr>
                  <w:rFonts w:eastAsia="等线"/>
                  <w:lang w:eastAsia="ja-JP"/>
                </w:rPr>
                <w:t>UE application layer</w:t>
              </w:r>
            </w:ins>
            <w:ins w:id="31" w:author="R2-2205440" w:date="2022-05-12T17:25:00Z">
              <w:r>
                <w:rPr>
                  <w:rFonts w:eastAsia="等线"/>
                  <w:b/>
                  <w:lang w:eastAsia="ja-JP"/>
                </w:rPr>
                <w:t xml:space="preserve"> </w:t>
              </w:r>
            </w:ins>
            <w:ins w:id="32" w:author="R2-2205440" w:date="2022-05-12T17:25:00Z">
              <w:r>
                <w:rPr>
                  <w:rFonts w:eastAsia="等线"/>
                  <w:lang w:eastAsia="ja-JP"/>
                </w:rPr>
                <w:t>measurements configured by the OAM for different service type</w:t>
              </w:r>
            </w:ins>
            <w:ins w:id="33" w:author="R2-2205440" w:date="2022-05-12T17:25:00Z">
              <w:r>
                <w:rPr>
                  <w:rFonts w:hint="eastAsia" w:eastAsia="等线"/>
                  <w:lang w:eastAsia="zh-CN"/>
                </w:rPr>
                <w:t>s</w:t>
              </w:r>
            </w:ins>
            <w:ins w:id="34" w:author="R2-2205440" w:date="2022-05-12T17:25:00Z">
              <w:r>
                <w:rPr>
                  <w:rFonts w:eastAsia="等线"/>
                  <w:lang w:eastAsia="ja-JP"/>
                </w:rPr>
                <w:t>.</w:t>
              </w:r>
            </w:ins>
          </w:p>
          <w:p>
            <w:pPr>
              <w:overflowPunct w:val="0"/>
              <w:autoSpaceDE w:val="0"/>
              <w:autoSpaceDN w:val="0"/>
              <w:adjustRightInd w:val="0"/>
              <w:spacing w:line="240" w:lineRule="auto"/>
              <w:textAlignment w:val="baseline"/>
              <w:rPr>
                <w:rFonts w:eastAsia="等线"/>
                <w:lang w:eastAsia="ja-JP"/>
              </w:rPr>
            </w:pPr>
            <w:ins w:id="35" w:author="R2-2205440" w:date="2022-05-12T17:25:00Z">
              <w:r>
                <w:rPr>
                  <w:rFonts w:eastAsia="等线"/>
                  <w:b/>
                  <w:lang w:eastAsia="ja-JP"/>
                </w:rPr>
                <w:t xml:space="preserve">OAM-QoE report: </w:t>
              </w:r>
            </w:ins>
            <w:ins w:id="36" w:author="R2-2205440" w:date="2022-05-12T17:25:00Z">
              <w:r>
                <w:rPr>
                  <w:rFonts w:eastAsia="等线"/>
                  <w:lang w:eastAsia="ja-JP"/>
                </w:rPr>
                <w:t>the result of OAM-QoE measurements</w:t>
              </w:r>
            </w:ins>
            <w:ins w:id="37" w:author="R2-2205440" w:date="2022-05-12T17:25:00Z">
              <w:r>
                <w:rPr>
                  <w:rFonts w:eastAsia="等线"/>
                  <w:lang w:val="en-US" w:eastAsia="zh-CN"/>
                </w:rPr>
                <w:t>.</w:t>
              </w:r>
            </w:ins>
          </w:p>
          <w:p>
            <w:pPr>
              <w:overflowPunct w:val="0"/>
              <w:autoSpaceDE w:val="0"/>
              <w:autoSpaceDN w:val="0"/>
              <w:adjustRightInd w:val="0"/>
              <w:spacing w:line="240" w:lineRule="auto"/>
              <w:textAlignment w:val="baseline"/>
              <w:rPr>
                <w:rFonts w:eastAsia="等线"/>
                <w:lang w:eastAsia="ja-JP"/>
              </w:rPr>
            </w:pPr>
            <w:r>
              <w:rPr>
                <w:rFonts w:eastAsia="等线"/>
                <w:b/>
                <w:lang w:eastAsia="ja-JP"/>
              </w:rPr>
              <w:t>Parent node</w:t>
            </w:r>
            <w:r>
              <w:rPr>
                <w:rFonts w:eastAsia="等线"/>
                <w:lang w:eastAsia="ja-JP"/>
              </w:rPr>
              <w:t>: IAB-MT's next hop neighbour node; the parent node can be IAB-node or IAB-donor-DU</w:t>
            </w:r>
          </w:p>
          <w:p>
            <w:pPr>
              <w:overflowPunct w:val="0"/>
              <w:autoSpaceDE w:val="0"/>
              <w:autoSpaceDN w:val="0"/>
              <w:adjustRightInd w:val="0"/>
              <w:spacing w:line="240" w:lineRule="auto"/>
              <w:textAlignment w:val="baseline"/>
              <w:rPr>
                <w:rFonts w:eastAsia="等线"/>
                <w:lang w:eastAsia="ja-JP"/>
              </w:rPr>
            </w:pPr>
            <w:r>
              <w:rPr>
                <w:rFonts w:eastAsia="等线"/>
                <w:b/>
                <w:bCs/>
                <w:lang w:eastAsia="ja-JP"/>
              </w:rPr>
              <w:t>PC5 Relay RLC channel</w:t>
            </w:r>
            <w:r>
              <w:rPr>
                <w:rFonts w:eastAsia="等线"/>
                <w:lang w:eastAsia="ja-JP"/>
              </w:rPr>
              <w:t>: an RLC channel between L2 U2N Remote UE and L2 U2N Relay UE, which is used to transport packets over PC5 for L2 UE-to-Network Relay</w:t>
            </w:r>
            <w:r>
              <w:rPr>
                <w:rFonts w:eastAsia="等线"/>
                <w:b/>
                <w:bCs/>
                <w:lang w:eastAsia="ja-JP"/>
              </w:rPr>
              <w:t>.</w:t>
            </w:r>
          </w:p>
          <w:p>
            <w:pPr>
              <w:overflowPunct w:val="0"/>
              <w:autoSpaceDE w:val="0"/>
              <w:autoSpaceDN w:val="0"/>
              <w:adjustRightInd w:val="0"/>
              <w:spacing w:line="240" w:lineRule="auto"/>
              <w:textAlignment w:val="baseline"/>
              <w:rPr>
                <w:ins w:id="38" w:author="R2-2205440" w:date="2022-05-12T17:25:00Z"/>
                <w:rFonts w:eastAsia="等线"/>
                <w:bCs/>
                <w:lang w:eastAsia="ja-JP"/>
              </w:rPr>
            </w:pPr>
            <w:r>
              <w:rPr>
                <w:rFonts w:eastAsia="等线"/>
                <w:b/>
                <w:lang w:eastAsia="ja-JP"/>
              </w:rPr>
              <w:t>PLMN Cell</w:t>
            </w:r>
            <w:r>
              <w:rPr>
                <w:rFonts w:eastAsia="等线"/>
                <w:bCs/>
                <w:lang w:eastAsia="ja-JP"/>
              </w:rPr>
              <w:t>: a cell of the PLMN.</w:t>
            </w:r>
          </w:p>
          <w:p>
            <w:pPr>
              <w:overflowPunct w:val="0"/>
              <w:autoSpaceDE w:val="0"/>
              <w:autoSpaceDN w:val="0"/>
              <w:adjustRightInd w:val="0"/>
              <w:spacing w:line="240" w:lineRule="auto"/>
              <w:textAlignment w:val="baseline"/>
              <w:rPr>
                <w:ins w:id="39" w:author="R2-2205440" w:date="2022-05-12T17:25:00Z"/>
                <w:rFonts w:eastAsia="等线"/>
                <w:lang w:eastAsia="ja-JP"/>
              </w:rPr>
            </w:pPr>
            <w:ins w:id="40" w:author="R2-2205440" w:date="2022-05-12T17:25:00Z">
              <w:r>
                <w:rPr>
                  <w:rFonts w:eastAsia="等线"/>
                  <w:b/>
                  <w:lang w:eastAsia="ja-JP"/>
                </w:rPr>
                <w:t xml:space="preserve">RAN visible QoE measurements: </w:t>
              </w:r>
            </w:ins>
            <w:ins w:id="41" w:author="R2-2205440" w:date="2022-05-12T17:25:00Z">
              <w:r>
                <w:rPr>
                  <w:rFonts w:eastAsia="等线"/>
                  <w:bCs/>
                  <w:lang w:eastAsia="ja-JP"/>
                </w:rPr>
                <w:t xml:space="preserve">a </w:t>
              </w:r>
            </w:ins>
            <w:ins w:id="42" w:author="R2-2205440" w:date="2022-05-12T17:25:00Z">
              <w:r>
                <w:rPr>
                  <w:rFonts w:eastAsia="等线"/>
                  <w:lang w:eastAsia="ja-JP"/>
                </w:rPr>
                <w:t>subset of OAM-QoE measurements configured by the gNB and reported to the NG-RAN node.</w:t>
              </w:r>
            </w:ins>
          </w:p>
          <w:p>
            <w:pPr>
              <w:overflowPunct w:val="0"/>
              <w:autoSpaceDE w:val="0"/>
              <w:autoSpaceDN w:val="0"/>
              <w:adjustRightInd w:val="0"/>
              <w:spacing w:line="240" w:lineRule="auto"/>
              <w:textAlignment w:val="baseline"/>
              <w:rPr>
                <w:rFonts w:eastAsia="等线"/>
                <w:b/>
                <w:lang w:val="en-US" w:eastAsia="zh-CN"/>
              </w:rPr>
            </w:pPr>
            <w:ins w:id="43" w:author="R2-2205440" w:date="2022-05-12T17:25:00Z">
              <w:r>
                <w:rPr>
                  <w:rFonts w:eastAsia="等线"/>
                  <w:b/>
                  <w:lang w:eastAsia="ja-JP"/>
                </w:rPr>
                <w:t xml:space="preserve">RAN visible QoE report: </w:t>
              </w:r>
            </w:ins>
            <w:ins w:id="44" w:author="R2-2205440" w:date="2022-05-12T17:25:00Z">
              <w:r>
                <w:rPr>
                  <w:rFonts w:eastAsia="等线"/>
                  <w:bCs/>
                  <w:lang w:eastAsia="ja-JP"/>
                </w:rPr>
                <w:t>the results of RAN Visible</w:t>
              </w:r>
            </w:ins>
            <w:ins w:id="45" w:author="R2-2205440" w:date="2022-05-12T17:25:00Z">
              <w:r>
                <w:rPr>
                  <w:rFonts w:eastAsia="等线"/>
                  <w:lang w:eastAsia="ja-JP"/>
                </w:rPr>
                <w:t xml:space="preserve"> QoE measurements, reported from the UE the gNB in RRC format</w:t>
              </w:r>
            </w:ins>
            <w:ins w:id="46" w:author="R2-2205440" w:date="2022-05-12T17:25:00Z">
              <w:r>
                <w:rPr>
                  <w:rFonts w:eastAsia="等线"/>
                  <w:lang w:val="en-US" w:eastAsia="zh-CN"/>
                </w:rPr>
                <w:t>.</w:t>
              </w:r>
            </w:ins>
          </w:p>
          <w:p>
            <w:pPr>
              <w:overflowPunct w:val="0"/>
              <w:autoSpaceDE w:val="0"/>
              <w:autoSpaceDN w:val="0"/>
              <w:adjustRightInd w:val="0"/>
              <w:spacing w:line="240" w:lineRule="auto"/>
              <w:textAlignment w:val="baseline"/>
              <w:rPr>
                <w:rFonts w:eastAsia="等线"/>
                <w:lang w:eastAsia="ko-KR"/>
              </w:rPr>
            </w:pPr>
            <w:r>
              <w:rPr>
                <w:rFonts w:eastAsia="等线"/>
                <w:b/>
                <w:lang w:eastAsia="ko-KR"/>
              </w:rPr>
              <w:t>RedCap UE:</w:t>
            </w:r>
            <w:r>
              <w:rPr>
                <w:rFonts w:eastAsia="等线"/>
                <w:lang w:eastAsia="ko-KR"/>
              </w:rPr>
              <w:t xml:space="preserve"> A UE with reduced capabilities as specified in clause 4.2.21.1. in TS 38.306 [11].</w:t>
            </w:r>
          </w:p>
          <w:p>
            <w:pPr>
              <w:overflowPunct w:val="0"/>
              <w:autoSpaceDE w:val="0"/>
              <w:autoSpaceDN w:val="0"/>
              <w:adjustRightInd w:val="0"/>
              <w:spacing w:line="240" w:lineRule="auto"/>
              <w:textAlignment w:val="baseline"/>
              <w:rPr>
                <w:ins w:id="47" w:author="R2-2205440" w:date="2022-05-12T17:28:00Z"/>
                <w:rFonts w:eastAsia="等线"/>
                <w:bCs/>
                <w:lang w:eastAsia="zh-CN"/>
              </w:rPr>
            </w:pPr>
            <w:r>
              <w:rPr>
                <w:rFonts w:eastAsia="等线"/>
                <w:bCs/>
                <w:lang w:eastAsia="zh-CN"/>
              </w:rPr>
              <w:t>[..]</w:t>
            </w:r>
          </w:p>
          <w:p>
            <w:pPr>
              <w:keepNext/>
              <w:keepLines/>
              <w:overflowPunct w:val="0"/>
              <w:autoSpaceDE w:val="0"/>
              <w:autoSpaceDN w:val="0"/>
              <w:adjustRightInd w:val="0"/>
              <w:spacing w:before="180" w:line="240" w:lineRule="auto"/>
              <w:textAlignment w:val="baseline"/>
              <w:outlineLvl w:val="1"/>
              <w:rPr>
                <w:rFonts w:ascii="Arial" w:hAnsi="Arial" w:eastAsia="等线"/>
                <w:sz w:val="32"/>
                <w:lang w:eastAsia="ja-JP"/>
              </w:rPr>
            </w:pPr>
            <w:bookmarkStart w:id="7" w:name="_Toc76505088"/>
            <w:bookmarkStart w:id="8" w:name="_Toc100782288"/>
            <w:r>
              <w:rPr>
                <w:rFonts w:ascii="Arial" w:hAnsi="Arial" w:eastAsia="等线"/>
                <w:sz w:val="32"/>
                <w:lang w:eastAsia="ja-JP"/>
              </w:rPr>
              <w:t>21.1</w:t>
            </w:r>
            <w:r>
              <w:rPr>
                <w:rFonts w:ascii="Arial" w:hAnsi="Arial" w:eastAsia="等线"/>
                <w:sz w:val="32"/>
                <w:lang w:eastAsia="ja-JP"/>
              </w:rPr>
              <w:tab/>
            </w:r>
            <w:r>
              <w:rPr>
                <w:rFonts w:ascii="Arial" w:hAnsi="Arial" w:eastAsia="等线"/>
                <w:sz w:val="32"/>
                <w:lang w:eastAsia="ja-JP"/>
              </w:rPr>
              <w:t>Overview</w:t>
            </w:r>
            <w:bookmarkEnd w:id="7"/>
            <w:bookmarkEnd w:id="8"/>
          </w:p>
          <w:p>
            <w:pPr>
              <w:overflowPunct w:val="0"/>
              <w:autoSpaceDE w:val="0"/>
              <w:autoSpaceDN w:val="0"/>
              <w:adjustRightInd w:val="0"/>
              <w:spacing w:line="240" w:lineRule="auto"/>
              <w:textAlignment w:val="baseline"/>
              <w:rPr>
                <w:rFonts w:eastAsia="等线"/>
                <w:lang w:eastAsia="ja-JP"/>
              </w:rPr>
            </w:pPr>
            <w:r>
              <w:rPr>
                <w:rFonts w:eastAsia="等线"/>
                <w:lang w:eastAsia="ja-JP"/>
              </w:rPr>
              <w:t>The QoE Measurement Collection function enables collection of application layer measurements from the UE. The supported service types are:</w:t>
            </w:r>
          </w:p>
          <w:p>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r>
            <w:r>
              <w:rPr>
                <w:rFonts w:eastAsia="等线"/>
                <w:lang w:eastAsia="zh-CN"/>
              </w:rPr>
              <w:t>QoE Measurement Collection for streaming services;</w:t>
            </w:r>
          </w:p>
          <w:p>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r>
            <w:r>
              <w:rPr>
                <w:rFonts w:eastAsia="等线"/>
                <w:lang w:eastAsia="zh-CN"/>
              </w:rPr>
              <w:t>QoE Measurement Collection for MTSI services;</w:t>
            </w:r>
          </w:p>
          <w:p>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r>
            <w:r>
              <w:rPr>
                <w:rFonts w:eastAsia="等线"/>
                <w:lang w:eastAsia="zh-CN"/>
              </w:rPr>
              <w:t>QoE Measurement Collection for VR services.</w:t>
            </w:r>
          </w:p>
          <w:p>
            <w:pPr>
              <w:overflowPunct w:val="0"/>
              <w:autoSpaceDE w:val="0"/>
              <w:autoSpaceDN w:val="0"/>
              <w:adjustRightInd w:val="0"/>
              <w:spacing w:after="120" w:line="240" w:lineRule="auto"/>
              <w:jc w:val="both"/>
              <w:textAlignment w:val="baseline"/>
              <w:rPr>
                <w:rFonts w:eastAsia="等线"/>
                <w:lang w:eastAsia="zh-CN"/>
              </w:rPr>
            </w:pPr>
            <w:r>
              <w:rPr>
                <w:rFonts w:eastAsia="等线"/>
                <w:lang w:eastAsia="zh-CN"/>
              </w:rPr>
              <w:t>Both signalling based and management based QoE measurement collection are supported.</w:t>
            </w:r>
          </w:p>
          <w:p>
            <w:pPr>
              <w:overflowPunct w:val="0"/>
              <w:autoSpaceDE w:val="0"/>
              <w:autoSpaceDN w:val="0"/>
              <w:adjustRightInd w:val="0"/>
              <w:spacing w:after="120" w:line="240" w:lineRule="auto"/>
              <w:jc w:val="both"/>
              <w:textAlignment w:val="baseline"/>
              <w:rPr>
                <w:rFonts w:ascii="Arial" w:hAnsi="Arial" w:eastAsia="等线"/>
                <w:lang w:eastAsia="zh-CN"/>
              </w:rPr>
            </w:pPr>
            <w:r>
              <w:rPr>
                <w:rFonts w:ascii="Arial" w:hAnsi="Arial" w:eastAsia="等线"/>
                <w:lang w:eastAsia="zh-CN"/>
              </w:rPr>
              <w:t>NOTE:</w:t>
            </w:r>
            <w:r>
              <w:rPr>
                <w:rFonts w:ascii="Arial" w:hAnsi="Arial" w:eastAsia="等线"/>
                <w:lang w:eastAsia="zh-CN"/>
              </w:rPr>
              <w:tab/>
            </w:r>
            <w:r>
              <w:rPr>
                <w:rFonts w:ascii="Arial" w:hAnsi="Arial" w:eastAsia="等线"/>
                <w:lang w:eastAsia="zh-CN"/>
              </w:rPr>
              <w:t xml:space="preserve">The naming QoE Measurement is used in NG, Xn, and interfaces between </w:t>
            </w:r>
            <w:ins w:id="48" w:author="R2-2205440" w:date="2022-05-12T17:28:00Z">
              <w:r>
                <w:rPr>
                  <w:rFonts w:ascii="Arial" w:hAnsi="Arial" w:eastAsia="等线"/>
                  <w:lang w:eastAsia="zh-CN"/>
                </w:rPr>
                <w:t xml:space="preserve">the </w:t>
              </w:r>
            </w:ins>
            <w:r>
              <w:rPr>
                <w:rFonts w:ascii="Arial" w:hAnsi="Arial" w:eastAsia="等线"/>
                <w:lang w:eastAsia="zh-CN"/>
              </w:rPr>
              <w:t xml:space="preserve">OAM and </w:t>
            </w:r>
            <w:ins w:id="49" w:author="R2-2205440" w:date="2022-05-12T17:28:00Z">
              <w:r>
                <w:rPr>
                  <w:rFonts w:ascii="Arial" w:hAnsi="Arial" w:eastAsia="等线"/>
                  <w:lang w:eastAsia="zh-CN"/>
                </w:rPr>
                <w:t xml:space="preserve">the </w:t>
              </w:r>
            </w:ins>
            <w:del w:id="50" w:author="R2-2205440" w:date="2022-05-12T17:28:00Z">
              <w:r>
                <w:rPr>
                  <w:rFonts w:ascii="Arial" w:hAnsi="Arial" w:eastAsia="等线"/>
                  <w:lang w:eastAsia="zh-CN"/>
                </w:rPr>
                <w:delText>RAN</w:delText>
              </w:r>
            </w:del>
            <w:ins w:id="51" w:author="R2-2205440" w:date="2022-05-12T17:28:00Z">
              <w:r>
                <w:rPr>
                  <w:rFonts w:ascii="Arial" w:hAnsi="Arial" w:eastAsia="等线"/>
                  <w:lang w:eastAsia="zh-CN"/>
                </w:rPr>
                <w:t>gNB</w:t>
              </w:r>
            </w:ins>
            <w:r>
              <w:rPr>
                <w:rFonts w:ascii="Arial" w:hAnsi="Arial" w:eastAsia="等线"/>
                <w:lang w:eastAsia="zh-CN"/>
              </w:rPr>
              <w:t>. In the Uu interface, the naming application layer measurement is used and it is equal to QoE Measurement.</w:t>
            </w:r>
          </w:p>
          <w:p>
            <w:pPr>
              <w:pStyle w:val="57"/>
              <w:ind w:left="0" w:firstLine="0"/>
              <w:rPr>
                <w:ins w:id="52" w:author="R2-2205440" w:date="2022-05-12T17:29:00Z"/>
              </w:rPr>
            </w:pPr>
            <w:ins w:id="53" w:author="R2-2205440" w:date="2022-05-12T17:29:00Z">
              <w:r>
                <w:rPr/>
                <w:t>The QoE Measurement Collection function can support two types of QoE measurements:</w:t>
              </w:r>
            </w:ins>
          </w:p>
          <w:p>
            <w:pPr>
              <w:pStyle w:val="49"/>
              <w:rPr>
                <w:ins w:id="54" w:author="R2-2205440" w:date="2022-05-12T17:29:00Z"/>
              </w:rPr>
            </w:pPr>
            <w:ins w:id="55" w:author="R2-2205440" w:date="2022-05-12T17:29:00Z">
              <w:r>
                <w:rPr/>
                <w:t>-</w:t>
              </w:r>
            </w:ins>
            <w:ins w:id="56" w:author="R2-2205440" w:date="2022-05-12T17:29:00Z">
              <w:r>
                <w:rPr/>
                <w:tab/>
              </w:r>
            </w:ins>
            <w:ins w:id="57" w:author="R2-2205440" w:date="2022-05-12T17:29:00Z">
              <w:r>
                <w:rPr/>
                <w:t>OAM-QoE measurements;</w:t>
              </w:r>
            </w:ins>
          </w:p>
          <w:p>
            <w:pPr>
              <w:pStyle w:val="49"/>
              <w:rPr>
                <w:ins w:id="58" w:author="R2-2205440" w:date="2022-05-12T17:29:00Z"/>
              </w:rPr>
            </w:pPr>
            <w:ins w:id="59" w:author="R2-2205440" w:date="2022-05-12T17:29:00Z">
              <w:r>
                <w:rPr/>
                <w:t>-</w:t>
              </w:r>
            </w:ins>
            <w:ins w:id="60" w:author="R2-2205440" w:date="2022-05-12T17:29:00Z">
              <w:r>
                <w:rPr/>
                <w:tab/>
              </w:r>
            </w:ins>
            <w:ins w:id="61" w:author="R2-2205440" w:date="2022-05-12T17:29:00Z">
              <w:r>
                <w:rPr/>
                <w:t>RAN Visible QoE measurements.</w:t>
              </w:r>
            </w:ins>
          </w:p>
          <w:p>
            <w:pPr>
              <w:pStyle w:val="57"/>
              <w:ind w:left="0" w:firstLine="0"/>
              <w:rPr>
                <w:ins w:id="62" w:author="R2-2205440" w:date="2022-05-12T17:29:00Z"/>
              </w:rPr>
            </w:pPr>
            <w:ins w:id="63" w:author="R2-2205440" w:date="2022-05-12T17:29:00Z">
              <w:r>
                <w:rPr/>
                <w:t>The QoE Measurement Collection function can support two types of QoE reports:</w:t>
              </w:r>
            </w:ins>
          </w:p>
          <w:p>
            <w:pPr>
              <w:pStyle w:val="49"/>
              <w:rPr>
                <w:ins w:id="64" w:author="R2-2205440" w:date="2022-05-12T17:29:00Z"/>
              </w:rPr>
            </w:pPr>
            <w:ins w:id="65" w:author="R2-2205440" w:date="2022-05-12T17:29:00Z">
              <w:r>
                <w:rPr/>
                <w:t>-</w:t>
              </w:r>
            </w:ins>
            <w:ins w:id="66" w:author="R2-2205440" w:date="2022-05-12T17:29:00Z">
              <w:r>
                <w:rPr/>
                <w:tab/>
              </w:r>
            </w:ins>
            <w:ins w:id="67" w:author="R2-2205440" w:date="2022-05-12T17:29:00Z">
              <w:r>
                <w:rPr/>
                <w:t>OAM-QoE reports, for reporting OAM-QoE measurements from the UE to the MCE;</w:t>
              </w:r>
            </w:ins>
          </w:p>
          <w:p>
            <w:pPr>
              <w:pStyle w:val="49"/>
              <w:rPr>
                <w:rFonts w:eastAsia="等线"/>
                <w:bCs/>
                <w:lang w:eastAsia="zh-CN"/>
              </w:rPr>
            </w:pPr>
            <w:ins w:id="68" w:author="R2-2205440" w:date="2022-05-12T17:29:00Z">
              <w:r>
                <w:rPr/>
                <w:t>-</w:t>
              </w:r>
            </w:ins>
            <w:ins w:id="69" w:author="R2-2205440" w:date="2022-05-12T17:29:00Z">
              <w:r>
                <w:rPr/>
                <w:tab/>
              </w:r>
            </w:ins>
            <w:ins w:id="70" w:author="R2-2205440" w:date="2022-05-12T17:29:00Z">
              <w:r>
                <w:rPr/>
                <w:t>RAN Visible QoE reports, for reporting RAN Visible QoE measurements from the UE to the gNB.</w:t>
              </w:r>
            </w:ins>
          </w:p>
        </w:tc>
      </w:tr>
    </w:tbl>
    <w:p/>
    <w:p>
      <w:pPr>
        <w:rPr>
          <w:b/>
          <w:bCs/>
          <w:lang w:eastAsia="zh-CN"/>
        </w:rPr>
      </w:pPr>
      <w:r>
        <w:rPr>
          <w:rFonts w:hint="eastAsia"/>
          <w:b/>
          <w:bCs/>
          <w:lang w:eastAsia="zh-CN"/>
        </w:rPr>
        <w:t>F</w:t>
      </w:r>
      <w:r>
        <w:rPr>
          <w:b/>
          <w:bCs/>
          <w:lang w:eastAsia="zh-CN"/>
        </w:rPr>
        <w:t>rom Rapporteur’s view, it’s clear to use QoE Measurement/report and RAN visible QoE measurement/report in NR NG, Xn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use application layer measurement/report and RAN visible application layer measurement/report in the Uu interface. Besides, RAN3 are discussing the same issue in RAN3#116-e meeting now, so it’s suggested to wait for RAN3’s decision if there are needs to rename the </w:t>
      </w:r>
      <w:r>
        <w:rPr>
          <w:rFonts w:hint="eastAsia"/>
          <w:b/>
          <w:bCs/>
          <w:lang w:eastAsia="zh-CN"/>
        </w:rPr>
        <w:t>“</w:t>
      </w:r>
      <w:r>
        <w:rPr>
          <w:b/>
          <w:bCs/>
          <w:lang w:eastAsia="zh-CN"/>
        </w:rPr>
        <w:t>regular” QoE.</w:t>
      </w:r>
    </w:p>
    <w:p>
      <w:pPr>
        <w:rPr>
          <w:b/>
          <w:bCs/>
        </w:rPr>
      </w:pPr>
      <w:r>
        <w:rPr>
          <w:b/>
          <w:bCs/>
        </w:rPr>
        <w:t>Q4: Do you agree with the Rapporteur’s view or has any other suggestions?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Yes (with some suggestions on the definitions)</w:t>
            </w:r>
          </w:p>
        </w:tc>
        <w:tc>
          <w:tcPr>
            <w:tcW w:w="5316" w:type="dxa"/>
          </w:tcPr>
          <w:p>
            <w:r>
              <w:t>We acknowledge the importance of terminology alignment, and we can wait for RAN3 to clarify.</w:t>
            </w:r>
          </w:p>
          <w:p>
            <w:r>
              <w:t>If any definition is to be introduced at this stage, we have some suggestions on rewordings:</w:t>
            </w:r>
          </w:p>
          <w:p/>
          <w:p>
            <w:pPr>
              <w:overflowPunct w:val="0"/>
              <w:autoSpaceDE w:val="0"/>
              <w:autoSpaceDN w:val="0"/>
              <w:adjustRightInd w:val="0"/>
              <w:spacing w:line="240" w:lineRule="auto"/>
              <w:textAlignment w:val="baseline"/>
              <w:rPr>
                <w:rFonts w:eastAsia="等线"/>
                <w:color w:val="385723" w:themeColor="accent6" w:themeShade="80"/>
                <w:lang w:eastAsia="ja-JP"/>
              </w:rPr>
            </w:pPr>
            <w:r>
              <w:rPr>
                <w:rFonts w:eastAsia="等线"/>
                <w:b/>
                <w:color w:val="385723" w:themeColor="accent6" w:themeShade="80"/>
                <w:lang w:eastAsia="ja-JP"/>
              </w:rPr>
              <w:t xml:space="preserve">OAM-QoE measurements: </w:t>
            </w:r>
            <w:r>
              <w:rPr>
                <w:rFonts w:eastAsia="等线"/>
                <w:strike/>
                <w:color w:val="FF0000"/>
                <w:lang w:eastAsia="ja-JP"/>
              </w:rPr>
              <w:t xml:space="preserve">UE </w:t>
            </w:r>
            <w:r>
              <w:rPr>
                <w:rFonts w:eastAsia="等线"/>
                <w:color w:val="4472C4" w:themeColor="accent1"/>
                <w:u w:val="single"/>
                <w:lang w:eastAsia="ja-JP"/>
                <w14:textFill>
                  <w14:solidFill>
                    <w14:schemeClr w14:val="accent1"/>
                  </w14:solidFill>
                </w14:textFill>
              </w:rPr>
              <w:t xml:space="preserve">the </w:t>
            </w:r>
            <w:r>
              <w:rPr>
                <w:rFonts w:eastAsia="等线"/>
                <w:color w:val="385723" w:themeColor="accent6" w:themeShade="80"/>
                <w:lang w:eastAsia="ja-JP"/>
              </w:rPr>
              <w:t>application layer</w:t>
            </w:r>
            <w:r>
              <w:rPr>
                <w:rFonts w:eastAsia="等线"/>
                <w:b/>
                <w:color w:val="385723" w:themeColor="accent6" w:themeShade="80"/>
                <w:lang w:eastAsia="ja-JP"/>
              </w:rPr>
              <w:t xml:space="preserve"> </w:t>
            </w:r>
            <w:r>
              <w:rPr>
                <w:rFonts w:eastAsia="等线"/>
                <w:color w:val="385723" w:themeColor="accent6" w:themeShade="80"/>
                <w:lang w:eastAsia="ja-JP"/>
              </w:rPr>
              <w:t>measurements configured by the OAM for different service type</w:t>
            </w:r>
            <w:r>
              <w:rPr>
                <w:rFonts w:hint="eastAsia" w:eastAsia="等线"/>
                <w:color w:val="385723" w:themeColor="accent6" w:themeShade="80"/>
                <w:lang w:eastAsia="zh-CN"/>
              </w:rPr>
              <w:t>s</w:t>
            </w:r>
            <w:r>
              <w:rPr>
                <w:rFonts w:eastAsia="等线"/>
                <w:color w:val="385723" w:themeColor="accent6" w:themeShade="80"/>
                <w:lang w:eastAsia="ja-JP"/>
              </w:rPr>
              <w:t>.</w:t>
            </w:r>
          </w:p>
          <w:p>
            <w:pPr>
              <w:overflowPunct w:val="0"/>
              <w:autoSpaceDE w:val="0"/>
              <w:autoSpaceDN w:val="0"/>
              <w:adjustRightInd w:val="0"/>
              <w:spacing w:line="240" w:lineRule="auto"/>
              <w:textAlignment w:val="baseline"/>
              <w:rPr>
                <w:rFonts w:eastAsia="等线"/>
                <w:color w:val="385723" w:themeColor="accent6" w:themeShade="80"/>
                <w:lang w:eastAsia="ja-JP"/>
              </w:rPr>
            </w:pPr>
            <w:r>
              <w:rPr>
                <w:rFonts w:eastAsia="等线"/>
                <w:b/>
                <w:color w:val="385723" w:themeColor="accent6" w:themeShade="80"/>
                <w:lang w:eastAsia="ja-JP"/>
              </w:rPr>
              <w:t xml:space="preserve">OAM-QoE report: </w:t>
            </w:r>
            <w:r>
              <w:rPr>
                <w:rFonts w:eastAsia="等线"/>
                <w:color w:val="385723" w:themeColor="accent6" w:themeShade="80"/>
                <w:lang w:eastAsia="ja-JP"/>
              </w:rPr>
              <w:t>the result of OAM-QoE measurements</w:t>
            </w:r>
            <w:r>
              <w:rPr>
                <w:rFonts w:eastAsia="等线"/>
                <w:color w:val="4472C4" w:themeColor="accent1"/>
                <w:u w:val="single"/>
                <w:lang w:eastAsia="zh-CN"/>
                <w14:textFill>
                  <w14:solidFill>
                    <w14:schemeClr w14:val="accent1"/>
                  </w14:solidFill>
                </w14:textFill>
              </w:rPr>
              <w:t>, which is to be reported to the MCE</w:t>
            </w:r>
            <w:r>
              <w:rPr>
                <w:rFonts w:eastAsia="等线"/>
                <w:color w:val="385723" w:themeColor="accent6" w:themeShade="80"/>
                <w:lang w:val="en-US" w:eastAsia="zh-CN"/>
              </w:rPr>
              <w:t>.</w:t>
            </w:r>
          </w:p>
          <w:p>
            <w:pPr>
              <w:overflowPunct w:val="0"/>
              <w:autoSpaceDE w:val="0"/>
              <w:autoSpaceDN w:val="0"/>
              <w:adjustRightInd w:val="0"/>
              <w:spacing w:line="240" w:lineRule="auto"/>
              <w:textAlignment w:val="baseline"/>
              <w:rPr>
                <w:rFonts w:eastAsia="等线"/>
                <w:color w:val="385723" w:themeColor="accent6" w:themeShade="80"/>
                <w:lang w:eastAsia="ja-JP"/>
              </w:rPr>
            </w:pPr>
            <w:r>
              <w:rPr>
                <w:rFonts w:eastAsia="等线"/>
                <w:b/>
                <w:color w:val="385723" w:themeColor="accent6" w:themeShade="80"/>
                <w:lang w:eastAsia="ja-JP"/>
              </w:rPr>
              <w:t xml:space="preserve">RAN visible QoE measurements: </w:t>
            </w:r>
            <w:r>
              <w:rPr>
                <w:rFonts w:eastAsia="等线"/>
                <w:bCs/>
                <w:color w:val="385723" w:themeColor="accent6" w:themeShade="80"/>
                <w:lang w:eastAsia="ja-JP"/>
              </w:rPr>
              <w:t xml:space="preserve">a </w:t>
            </w:r>
            <w:r>
              <w:rPr>
                <w:rFonts w:eastAsia="等线"/>
                <w:color w:val="385723" w:themeColor="accent6" w:themeShade="80"/>
                <w:lang w:eastAsia="ja-JP"/>
              </w:rPr>
              <w:t>subset of OAM-QoE measurements configured by the gNB</w:t>
            </w:r>
            <w:r>
              <w:rPr>
                <w:rFonts w:eastAsia="等线"/>
                <w:color w:val="4472C4" w:themeColor="accent1"/>
                <w:u w:val="single"/>
                <w:lang w:eastAsia="ja-JP"/>
                <w14:textFill>
                  <w14:solidFill>
                    <w14:schemeClr w14:val="accent1"/>
                  </w14:solidFill>
                </w14:textFill>
              </w:rPr>
              <w:t xml:space="preserve"> </w:t>
            </w:r>
            <w:r>
              <w:rPr>
                <w:rFonts w:eastAsia="等线"/>
                <w:strike/>
                <w:color w:val="FF0000"/>
                <w:lang w:eastAsia="ja-JP"/>
              </w:rPr>
              <w:t>and reported to the NG-RAN node</w:t>
            </w:r>
            <w:r>
              <w:rPr>
                <w:rFonts w:eastAsia="等线"/>
                <w:color w:val="385723" w:themeColor="accent6" w:themeShade="80"/>
                <w:lang w:eastAsia="ja-JP"/>
              </w:rPr>
              <w:t>.</w:t>
            </w:r>
          </w:p>
          <w:p>
            <w:pPr>
              <w:overflowPunct w:val="0"/>
              <w:autoSpaceDE w:val="0"/>
              <w:autoSpaceDN w:val="0"/>
              <w:adjustRightInd w:val="0"/>
              <w:spacing w:line="240" w:lineRule="auto"/>
              <w:textAlignment w:val="baseline"/>
              <w:rPr>
                <w:rFonts w:eastAsia="等线"/>
                <w:b/>
                <w:color w:val="385723" w:themeColor="accent6" w:themeShade="80"/>
                <w:lang w:val="en-US" w:eastAsia="zh-CN"/>
              </w:rPr>
            </w:pPr>
            <w:r>
              <w:rPr>
                <w:rFonts w:eastAsia="等线"/>
                <w:b/>
                <w:color w:val="385723" w:themeColor="accent6" w:themeShade="80"/>
                <w:lang w:eastAsia="ja-JP"/>
              </w:rPr>
              <w:t xml:space="preserve">RAN visible QoE report: </w:t>
            </w:r>
            <w:r>
              <w:rPr>
                <w:rFonts w:eastAsia="等线"/>
                <w:bCs/>
                <w:color w:val="385723" w:themeColor="accent6" w:themeShade="80"/>
                <w:lang w:eastAsia="ja-JP"/>
              </w:rPr>
              <w:t>the results of RAN Visible</w:t>
            </w:r>
            <w:r>
              <w:rPr>
                <w:rFonts w:eastAsia="等线"/>
                <w:color w:val="385723" w:themeColor="accent6" w:themeShade="80"/>
                <w:lang w:eastAsia="ja-JP"/>
              </w:rPr>
              <w:t xml:space="preserve"> QoE measurements</w:t>
            </w:r>
            <w:r>
              <w:rPr>
                <w:rFonts w:eastAsia="等线"/>
                <w:color w:val="4472C4" w:themeColor="accent1"/>
                <w:u w:val="single"/>
                <w:lang w:eastAsia="zh-CN"/>
                <w14:textFill>
                  <w14:solidFill>
                    <w14:schemeClr w14:val="accent1"/>
                  </w14:solidFill>
                </w14:textFill>
              </w:rPr>
              <w:t>, which is to be reported to the NG-RAN node</w:t>
            </w:r>
            <w:r>
              <w:rPr>
                <w:rFonts w:eastAsia="等线"/>
                <w:color w:val="385723" w:themeColor="accent6" w:themeShade="80"/>
                <w:lang w:val="en-US" w:eastAsia="zh-CN"/>
              </w:rPr>
              <w:t>.</w:t>
            </w:r>
            <w:r>
              <w:rPr>
                <w:rFonts w:eastAsia="等线"/>
                <w:strike/>
                <w:color w:val="FF0000"/>
                <w:lang w:eastAsia="ja-JP"/>
              </w:rPr>
              <w:t>, reported from the UE the gNB in RRC format</w:t>
            </w:r>
            <w:r>
              <w:rPr>
                <w:rFonts w:eastAsia="等线"/>
                <w:color w:val="385723" w:themeColor="accent6" w:themeShade="80"/>
                <w:lang w:val="en-US" w:eastAsia="zh-CN"/>
              </w:rPr>
              <w:t>.</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890" w:type="dxa"/>
          </w:tcPr>
          <w:p>
            <w:r>
              <w:t>Yes</w:t>
            </w:r>
          </w:p>
        </w:tc>
        <w:tc>
          <w:tcPr>
            <w:tcW w:w="5316" w:type="dxa"/>
          </w:tcPr>
          <w:p>
            <w:r>
              <w:t>It’s not critical and we should avoid double-work. But we are in-principle ok to introduce definition of measurement/report for QoE and RVQoE. But we are not ok with the acronym “OAM-QoE”. Firstly, it looks awkward. Secondly, it would require a lot of changes in stage 3. Whenever “QoE” is referenced, it has to be replaced by “OAM-QoE”.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H</w:t>
            </w:r>
            <w:r>
              <w:rPr>
                <w:lang w:eastAsia="zh-CN"/>
              </w:rPr>
              <w:t>uawei, HiSilicon</w:t>
            </w:r>
          </w:p>
        </w:tc>
        <w:tc>
          <w:tcPr>
            <w:tcW w:w="1890" w:type="dxa"/>
          </w:tcPr>
          <w:p>
            <w:pPr>
              <w:rPr>
                <w:lang w:eastAsia="zh-CN"/>
              </w:rPr>
            </w:pPr>
            <w:r>
              <w:rPr>
                <w:rFonts w:hint="eastAsia"/>
                <w:lang w:eastAsia="zh-CN"/>
              </w:rPr>
              <w:t>Y</w:t>
            </w:r>
            <w:r>
              <w:rPr>
                <w:lang w:eastAsia="zh-CN"/>
              </w:rPr>
              <w:t>es</w:t>
            </w:r>
          </w:p>
        </w:tc>
        <w:tc>
          <w:tcPr>
            <w:tcW w:w="5316" w:type="dxa"/>
          </w:tcPr>
          <w:p>
            <w:pPr>
              <w:rPr>
                <w:lang w:eastAsia="zh-CN"/>
              </w:rPr>
            </w:pPr>
            <w:r>
              <w:rPr>
                <w:rFonts w:hint="eastAsia"/>
                <w:lang w:eastAsia="zh-CN"/>
              </w:rPr>
              <w:t>W</w:t>
            </w:r>
            <w:r>
              <w:rPr>
                <w:lang w:eastAsia="zh-CN"/>
              </w:rPr>
              <w:t>e see that the changes include “NG-RAN”, and it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890" w:type="dxa"/>
          </w:tcPr>
          <w:p/>
        </w:tc>
        <w:tc>
          <w:tcPr>
            <w:tcW w:w="5316" w:type="dxa"/>
          </w:tcPr>
          <w:p>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890" w:type="dxa"/>
          </w:tcPr>
          <w:p>
            <w:r>
              <w:t>No, but</w:t>
            </w:r>
          </w:p>
        </w:tc>
        <w:tc>
          <w:tcPr>
            <w:tcW w:w="5316" w:type="dxa"/>
          </w:tcPr>
          <w:p>
            <w:r>
              <w:t>We think the definitions as such could be introduced, but:</w:t>
            </w:r>
          </w:p>
          <w:p>
            <w:pPr>
              <w:pStyle w:val="43"/>
              <w:numPr>
                <w:ilvl w:val="0"/>
                <w:numId w:val="6"/>
              </w:numPr>
            </w:pPr>
            <w:r>
              <w:t>no need to distinguish for “configuration” and “reporting”</w:t>
            </w:r>
          </w:p>
          <w:p>
            <w:pPr>
              <w:pStyle w:val="43"/>
              <w:numPr>
                <w:ilvl w:val="0"/>
                <w:numId w:val="6"/>
              </w:numPr>
            </w:pPr>
            <w:r>
              <w:t>No need to mention “OAM” OAM-QoE is never used term elsewhere in RAN2 specifications, also give the impression it is only OAM originated, while for Signalling based QoE it can go through AMF?</w:t>
            </w:r>
          </w:p>
          <w:p>
            <w:r>
              <w:t>Sufficient would be:</w:t>
            </w:r>
          </w:p>
          <w:p>
            <w:r>
              <w:t>QoE Measurement Collection – [as this term was used in other WGs] – container based QoE measurement collection</w:t>
            </w:r>
          </w:p>
          <w:p>
            <w:r>
              <w:t>RAN Visible QoE – a subset of QoE Measurement Collection configured to the UE by decodable RRC signalling (i.e. non-container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PMingLiU"/>
                <w:lang w:eastAsia="zh-TW"/>
              </w:rPr>
            </w:pPr>
            <w:r>
              <w:rPr>
                <w:rFonts w:hint="eastAsia" w:eastAsia="PMingLiU"/>
                <w:lang w:eastAsia="zh-TW"/>
              </w:rPr>
              <w:t>I</w:t>
            </w:r>
            <w:r>
              <w:rPr>
                <w:rFonts w:eastAsia="PMingLiU"/>
                <w:lang w:eastAsia="zh-TW"/>
              </w:rPr>
              <w:t>TRI</w:t>
            </w:r>
          </w:p>
        </w:tc>
        <w:tc>
          <w:tcPr>
            <w:tcW w:w="1890" w:type="dxa"/>
          </w:tcPr>
          <w:p>
            <w:pPr>
              <w:rPr>
                <w:rFonts w:eastAsia="PMingLiU"/>
                <w:lang w:eastAsia="zh-TW"/>
              </w:rPr>
            </w:pPr>
            <w:r>
              <w:rPr>
                <w:rFonts w:eastAsia="PMingLiU"/>
                <w:lang w:eastAsia="zh-TW"/>
              </w:rPr>
              <w:t>Yes</w:t>
            </w:r>
          </w:p>
        </w:tc>
        <w:tc>
          <w:tcPr>
            <w:tcW w:w="5316" w:type="dxa"/>
          </w:tcPr>
          <w:p>
            <w:pPr>
              <w:rPr>
                <w:rFonts w:eastAsia="PMingLiU"/>
                <w:lang w:eastAsia="zh-TW"/>
              </w:rPr>
            </w:pPr>
            <w:r>
              <w:rPr>
                <w:rFonts w:eastAsia="PMingLiU"/>
                <w:lang w:eastAsia="zh-TW"/>
              </w:rPr>
              <w:t xml:space="preserve">We prefer to wait for RAN3’s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890" w:type="dxa"/>
          </w:tcPr>
          <w:p>
            <w:pPr>
              <w:rPr>
                <w:lang w:eastAsia="zh-CN"/>
              </w:rPr>
            </w:pPr>
            <w:r>
              <w:rPr>
                <w:rFonts w:hint="eastAsia"/>
                <w:lang w:eastAsia="zh-CN"/>
              </w:rPr>
              <w:t>Y</w:t>
            </w:r>
            <w:r>
              <w:rPr>
                <w:lang w:eastAsia="zh-CN"/>
              </w:rPr>
              <w:t>es</w:t>
            </w:r>
          </w:p>
        </w:tc>
        <w:tc>
          <w:tcPr>
            <w:tcW w:w="5316" w:type="dxa"/>
          </w:tcPr>
          <w:p>
            <w:pPr>
              <w:rPr>
                <w:lang w:eastAsia="zh-CN"/>
              </w:rPr>
            </w:pPr>
            <w:r>
              <w:rPr>
                <w:rFonts w:hint="eastAsia"/>
                <w:lang w:eastAsia="zh-CN"/>
              </w:rPr>
              <w:t>P</w:t>
            </w:r>
            <w:r>
              <w:rPr>
                <w:lang w:eastAsia="zh-CN"/>
              </w:rPr>
              <w:t>refer to wait for RAN3 ‘s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t>Intel</w:t>
            </w:r>
          </w:p>
        </w:tc>
        <w:tc>
          <w:tcPr>
            <w:tcW w:w="1890" w:type="dxa"/>
          </w:tcPr>
          <w:p>
            <w:pPr>
              <w:rPr>
                <w:rFonts w:hint="eastAsia"/>
                <w:lang w:eastAsia="zh-CN"/>
              </w:rPr>
            </w:pPr>
          </w:p>
        </w:tc>
        <w:tc>
          <w:tcPr>
            <w:tcW w:w="5316" w:type="dxa"/>
          </w:tcPr>
          <w:p>
            <w:pPr>
              <w:rPr>
                <w:rFonts w:hint="eastAsia"/>
                <w:lang w:eastAsia="zh-CN"/>
              </w:rPr>
            </w:pPr>
            <w:r>
              <w:t>Ok to wait for RAN3 decision and aligned among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lang w:val="en-US"/>
              </w:rPr>
            </w:pPr>
            <w:r>
              <w:rPr>
                <w:rFonts w:hint="default"/>
                <w:lang w:val="en-US"/>
              </w:rPr>
              <w:t>ZTE</w:t>
            </w:r>
          </w:p>
        </w:tc>
        <w:tc>
          <w:tcPr>
            <w:tcW w:w="1890" w:type="dxa"/>
          </w:tcPr>
          <w:p>
            <w:pPr>
              <w:rPr>
                <w:rFonts w:hint="eastAsia"/>
                <w:lang w:eastAsia="zh-CN"/>
              </w:rPr>
            </w:pPr>
          </w:p>
        </w:tc>
        <w:tc>
          <w:tcPr>
            <w:tcW w:w="5316" w:type="dxa"/>
          </w:tcPr>
          <w:p>
            <w:pPr>
              <w:rPr>
                <w:rFonts w:hint="default"/>
                <w:lang w:val="en-US"/>
              </w:rPr>
            </w:pPr>
            <w:r>
              <w:rPr>
                <w:rFonts w:hint="default"/>
                <w:lang w:val="en-US"/>
              </w:rPr>
              <w:t>We prefer to wait for RAN3 decision.</w:t>
            </w:r>
          </w:p>
        </w:tc>
      </w:tr>
    </w:tbl>
    <w:p/>
    <w:p>
      <w:pPr>
        <w:pStyle w:val="3"/>
      </w:pPr>
      <w:r>
        <w:t>On the transmitting RVQoE reports with QoE reports</w:t>
      </w:r>
    </w:p>
    <w:p>
      <w:pPr>
        <w:rPr>
          <w:rFonts w:ascii="Arial" w:hAnsi="Arial" w:cs="Arial"/>
          <w:sz w:val="24"/>
          <w:szCs w:val="24"/>
        </w:rPr>
      </w:pPr>
      <w:r>
        <w:rPr>
          <w:rFonts w:ascii="Arial" w:hAnsi="Arial" w:cs="Arial"/>
          <w:sz w:val="24"/>
          <w:szCs w:val="24"/>
        </w:rPr>
        <w:t>R2-2</w:t>
      </w:r>
      <w:r>
        <w:rPr>
          <w:rFonts w:hint="eastAsia" w:ascii="Arial" w:hAnsi="Arial" w:cs="Arial"/>
          <w:sz w:val="24"/>
          <w:szCs w:val="24"/>
        </w:rPr>
        <w:t>20</w:t>
      </w:r>
      <w:r>
        <w:rPr>
          <w:rFonts w:ascii="Arial" w:hAnsi="Arial" w:cs="Arial"/>
          <w:sz w:val="24"/>
          <w:szCs w:val="24"/>
        </w:rPr>
        <w:t>4848 proposed some proposals on the requirements for transmitting RVQoE reports together with QoE reports, which leave the following FFSs:</w:t>
      </w:r>
    </w:p>
    <w:p>
      <w:pPr>
        <w:pStyle w:val="97"/>
        <w:spacing w:line="240" w:lineRule="auto"/>
      </w:pPr>
      <w:r>
        <w:t>FFS if RAN2 to confirm that it is left to UE implementation how to send QoE and RVQoE reports to the gNB.</w:t>
      </w:r>
    </w:p>
    <w:p>
      <w:pPr>
        <w:pStyle w:val="97"/>
        <w:spacing w:line="240" w:lineRule="auto"/>
      </w:pPr>
      <w:r>
        <w:t>FFS if RAN2 to agree to replace the RAN3 requirement in stage 2 saying “If there is no reporting periodicity defined in the RAN visible QoE configuration, RAN visible QoE reports should be sent together with the legacy QoE reports” by “If there is no reporting periodicity defined in the RAN visible QoE configuration, the reporting periodicity of the associated QoE measurement configuration shall be applied”.</w:t>
      </w:r>
    </w:p>
    <w:p>
      <w:pPr>
        <w:rPr>
          <w:rFonts w:ascii="Arial" w:hAnsi="Arial" w:cs="Arial"/>
          <w:sz w:val="24"/>
          <w:szCs w:val="24"/>
        </w:rPr>
      </w:pPr>
    </w:p>
    <w:p>
      <w:r>
        <w:rPr>
          <w:rFonts w:ascii="Arial" w:hAnsi="Arial" w:cs="Arial"/>
          <w:sz w:val="24"/>
          <w:szCs w:val="24"/>
        </w:rPr>
        <w:t>Proposal by R2-2204847 on the replacement of RAN3 requirement in stage 2 as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line="240" w:lineRule="auto"/>
            </w:pPr>
            <w:r>
              <w:t>RAN visible QoE measurements can be reported with a reporting periodicity different from the one of regular QoE</w:t>
            </w:r>
            <w:ins w:id="71" w:author="R2-2204847" w:date="2022-05-12T20:37:00Z">
              <w:r>
                <w:rPr/>
                <w:t xml:space="preserve"> measurements</w:t>
              </w:r>
            </w:ins>
            <w:r>
              <w:t xml:space="preserve">. If there is no reporting periodicity defined in the RAN visible QoE configuration, </w:t>
            </w:r>
            <w:ins w:id="72" w:author="R2-2204847" w:date="2022-05-12T20:38:00Z">
              <w:r>
                <w:rPr/>
                <w:t>the reporting periodicity of the associated QoE measurement configuration shall be applied. The UE can send multiple RAN visible QoE reports to the gNB in the same MeasurementReportAppLayer message.</w:t>
              </w:r>
            </w:ins>
            <w:del w:id="73" w:author="R2-2204847" w:date="2022-05-12T20:38:00Z">
              <w:r>
                <w:rPr/>
                <w:delText>RAN visible QoE reports should be sent together with the legacy QoE reports.</w:delText>
              </w:r>
            </w:del>
          </w:p>
        </w:tc>
      </w:tr>
    </w:tbl>
    <w:p>
      <w:pPr>
        <w:rPr>
          <w:lang w:eastAsia="zh-CN"/>
        </w:rPr>
      </w:pPr>
    </w:p>
    <w:p>
      <w:pPr>
        <w:rPr>
          <w:b/>
          <w:bCs/>
        </w:rPr>
      </w:pPr>
      <w:r>
        <w:rPr>
          <w:b/>
          <w:bCs/>
        </w:rPr>
        <w:t>Q5: Do you agree that it’s based on UE implementation on how to send QoE and RVQoE reports to the gNB and the rewording text</w:t>
      </w:r>
      <w:r>
        <w:rPr>
          <w:rFonts w:hint="eastAsia"/>
          <w:b/>
          <w:bCs/>
        </w:rPr>
        <w:t>“</w:t>
      </w:r>
      <w:r>
        <w:rPr>
          <w:b/>
          <w:bCs/>
        </w:rPr>
        <w:t>If there is no reporting periodicity defined in the RAN visible QoE configuration, the reporting periodicity of the associated QoE measurement c</w:t>
      </w:r>
      <w:bookmarkStart w:id="9" w:name="_GoBack"/>
      <w:bookmarkEnd w:id="9"/>
      <w:r>
        <w:rPr>
          <w:b/>
          <w:bCs/>
        </w:rPr>
        <w:t>onfiguration shall be applied. The UE can send multiple RAN visible QoE reports to the gNB in the same MeasurementReportAppLayer message” in stage-2 CR?</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350" w:type="dxa"/>
            <w:shd w:val="clear" w:color="auto" w:fill="F1F1F1" w:themeFill="background1" w:themeFillShade="F2"/>
          </w:tcPr>
          <w:p>
            <w:pPr>
              <w:rPr>
                <w:b/>
                <w:bCs/>
              </w:rPr>
            </w:pPr>
            <w:r>
              <w:rPr>
                <w:b/>
                <w:bCs/>
              </w:rPr>
              <w:t>Yes/No</w:t>
            </w:r>
          </w:p>
        </w:tc>
        <w:tc>
          <w:tcPr>
            <w:tcW w:w="585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350" w:type="dxa"/>
          </w:tcPr>
          <w:p>
            <w:r>
              <w:t>This depends on the outcome of [078]</w:t>
            </w:r>
          </w:p>
        </w:tc>
        <w:tc>
          <w:tcPr>
            <w:tcW w:w="5856" w:type="dxa"/>
          </w:tcPr>
          <w:p>
            <w:r>
              <w:t>We agree it can be up to UE implementation on how to send QoE and RVQoE to the gNB.</w:t>
            </w:r>
          </w:p>
          <w:p>
            <w:r>
              <w:t>However, on the CR per se, we can wait until the outcome of [078] (Q5 in [078]) is concluded, where it has been suggested that we may assume reporting periodicity for RVQoE is always configured, such that the UE behaviour in this case does not have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1350" w:type="dxa"/>
          </w:tcPr>
          <w:p>
            <w:r>
              <w:t>Yes but</w:t>
            </w:r>
          </w:p>
        </w:tc>
        <w:tc>
          <w:tcPr>
            <w:tcW w:w="5856" w:type="dxa"/>
          </w:tcPr>
          <w:p>
            <w:r>
              <w:t>Proponent and we can wait for the outcome of [078].</w:t>
            </w:r>
          </w:p>
          <w:p>
            <w:r>
              <w:t>We think that the “should” requirement added by RAN3 is in contradiction with the RAN2 agreements made and which have been captured by the sentence below in 21.4:</w:t>
            </w:r>
          </w:p>
          <w:p>
            <w:r>
              <w:t xml:space="preserve">“UE </w:t>
            </w:r>
            <w:r>
              <w:rPr>
                <w:highlight w:val="yellow"/>
              </w:rPr>
              <w:t>can send</w:t>
            </w:r>
            <w:r>
              <w:t xml:space="preserve"> both RAN visible application layer measurement reports and the application layer measurement reports to the gNB in the same MeasurementReportAppLayer message.”</w:t>
            </w:r>
          </w:p>
          <w:p>
            <w:r>
              <w:t>Furthermore, we did not propose to add the sentence “The UE can send multiple RAN visible QoE reports to the gNB in the same MeasurementReportAppLayer message.” since this is already covered by the sentence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H</w:t>
            </w:r>
            <w:r>
              <w:rPr>
                <w:lang w:eastAsia="zh-CN"/>
              </w:rPr>
              <w:t>uawei, HiSilicon</w:t>
            </w:r>
          </w:p>
        </w:tc>
        <w:tc>
          <w:tcPr>
            <w:tcW w:w="1350" w:type="dxa"/>
          </w:tcPr>
          <w:p>
            <w:pPr>
              <w:rPr>
                <w:lang w:eastAsia="zh-CN"/>
              </w:rPr>
            </w:pPr>
            <w:r>
              <w:rPr>
                <w:rFonts w:hint="eastAsia"/>
                <w:lang w:eastAsia="zh-CN"/>
              </w:rPr>
              <w:t>W</w:t>
            </w:r>
            <w:r>
              <w:rPr>
                <w:lang w:eastAsia="zh-CN"/>
              </w:rPr>
              <w:t>ait for [078]</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1350" w:type="dxa"/>
          </w:tcPr>
          <w:p/>
        </w:tc>
        <w:tc>
          <w:tcPr>
            <w:tcW w:w="5856" w:type="dxa"/>
          </w:tcPr>
          <w:p>
            <w:r>
              <w:t>Wait for [078].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1350" w:type="dxa"/>
          </w:tcPr>
          <w:p>
            <w:r>
              <w:t>Yes</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PMingLiU"/>
                <w:lang w:eastAsia="zh-TW"/>
              </w:rPr>
            </w:pPr>
            <w:r>
              <w:rPr>
                <w:rFonts w:hint="eastAsia" w:eastAsia="PMingLiU"/>
                <w:lang w:eastAsia="zh-TW"/>
              </w:rPr>
              <w:t>I</w:t>
            </w:r>
            <w:r>
              <w:rPr>
                <w:rFonts w:eastAsia="PMingLiU"/>
                <w:lang w:eastAsia="zh-TW"/>
              </w:rPr>
              <w:t>TRI</w:t>
            </w:r>
          </w:p>
        </w:tc>
        <w:tc>
          <w:tcPr>
            <w:tcW w:w="1350" w:type="dxa"/>
          </w:tcPr>
          <w:p/>
        </w:tc>
        <w:tc>
          <w:tcPr>
            <w:tcW w:w="5856" w:type="dxa"/>
          </w:tcPr>
          <w:p>
            <w:r>
              <w:t>We can wait for the outcome of [078] and discuss it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1350" w:type="dxa"/>
          </w:tcPr>
          <w:p/>
        </w:tc>
        <w:tc>
          <w:tcPr>
            <w:tcW w:w="5856" w:type="dxa"/>
          </w:tcPr>
          <w:p>
            <w:pPr>
              <w:rPr>
                <w:lang w:eastAsia="zh-CN"/>
              </w:rPr>
            </w:pPr>
            <w:r>
              <w:rPr>
                <w:rFonts w:hint="eastAsia"/>
                <w:lang w:eastAsia="zh-CN"/>
              </w:rPr>
              <w:t>W</w:t>
            </w:r>
            <w:r>
              <w:rPr>
                <w:lang w:eastAsia="zh-CN"/>
              </w:rPr>
              <w:t>e can wait for [078] and decide if we need to reword the text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lang w:eastAsia="zh-CN"/>
              </w:rPr>
            </w:pPr>
            <w:r>
              <w:t>Intel</w:t>
            </w:r>
          </w:p>
        </w:tc>
        <w:tc>
          <w:tcPr>
            <w:tcW w:w="1350" w:type="dxa"/>
          </w:tcPr>
          <w:p>
            <w:r>
              <w:t>No.</w:t>
            </w:r>
          </w:p>
        </w:tc>
        <w:tc>
          <w:tcPr>
            <w:tcW w:w="5856" w:type="dxa"/>
          </w:tcPr>
          <w:p>
            <w:r>
              <w:t>Seems Q5 in [078] is removed in the recent version.</w:t>
            </w:r>
          </w:p>
          <w:p>
            <w:pPr>
              <w:rPr>
                <w:rFonts w:hint="eastAsia"/>
                <w:lang w:eastAsia="zh-CN"/>
              </w:rPr>
            </w:pPr>
            <w:r>
              <w:t>It is not clear how AS layer knows the periodicity of the associated QoE measurement configuration as such information is contained in the configuration container, which are transparent to AS layer. We prefer to stay with RAN3 agreement.</w:t>
            </w:r>
          </w:p>
        </w:tc>
      </w:tr>
    </w:tbl>
    <w:p/>
    <w:p>
      <w:pPr>
        <w:pStyle w:val="3"/>
      </w:pPr>
      <w:r>
        <w:t>On further changes captured in draft CR</w:t>
      </w:r>
    </w:p>
    <w:p>
      <w:r>
        <w:rPr>
          <w:b/>
          <w:bCs/>
        </w:rPr>
        <w:t>Various minor changes proposed by various contributions have been captured in</w:t>
      </w:r>
      <w:r>
        <w:t xml:space="preserve"> </w:t>
      </w:r>
      <w:r>
        <w:rPr>
          <w:b/>
          <w:bCs/>
          <w:u w:val="single"/>
        </w:rPr>
        <w:t>R2-22xxxxx draft 38.300 CR with minor changes for QoE.</w:t>
      </w:r>
    </w:p>
    <w:p>
      <w:pPr>
        <w:rPr>
          <w:b/>
          <w:bCs/>
        </w:rPr>
      </w:pPr>
      <w:r>
        <w:rPr>
          <w:b/>
          <w:bCs/>
        </w:rPr>
        <w:t xml:space="preserve">Q6: Do you agree with the changes proposed in this draft? Did you add comments into this draft?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 xml:space="preserve">We are concerned with the </w:t>
            </w:r>
            <w:r>
              <w:rPr>
                <w:highlight w:val="yellow"/>
              </w:rPr>
              <w:t>highlighted</w:t>
            </w:r>
            <w:r>
              <w:t xml:space="preserve"> parts of the following sentence in 21.4:</w:t>
            </w:r>
          </w:p>
          <w:p>
            <w:pPr>
              <w:rPr>
                <w:color w:val="4472C4" w:themeColor="accent1"/>
                <w14:textFill>
                  <w14:solidFill>
                    <w14:schemeClr w14:val="accent1"/>
                  </w14:solidFill>
                </w14:textFill>
              </w:rPr>
            </w:pPr>
            <w:r>
              <w:rPr>
                <w:color w:val="4472C4" w:themeColor="accent1"/>
                <w14:textFill>
                  <w14:solidFill>
                    <w14:schemeClr w14:val="accent1"/>
                  </w14:solidFill>
                </w14:textFill>
              </w:rPr>
              <w:t xml:space="preserve">… </w:t>
            </w:r>
            <w:ins w:id="74" w:author="China Unicom v1" w:date="2022-04-21T12:57:00Z">
              <w:r>
                <w:rPr>
                  <w:color w:val="4472C4" w:themeColor="accent1"/>
                  <w14:textFill>
                    <w14:solidFill>
                      <w14:schemeClr w14:val="accent1"/>
                    </w14:solidFill>
                  </w14:textFill>
                </w:rPr>
                <w:t xml:space="preserve">The </w:t>
              </w:r>
            </w:ins>
            <w:r>
              <w:rPr>
                <w:color w:val="4472C4" w:themeColor="accent1"/>
                <w14:textFill>
                  <w14:solidFill>
                    <w14:schemeClr w14:val="accent1"/>
                  </w14:solidFill>
                </w14:textFill>
              </w:rPr>
              <w:t xml:space="preserve">RAN visible QoE measurements (e.g., RAN visible QoE metrics, RAN visible QoE values) </w:t>
            </w:r>
            <w:del w:id="75" w:author="China Unicom R2-2204847" w:date="2022-05-12T20:19:00Z">
              <w:r>
                <w:rPr>
                  <w:color w:val="4472C4" w:themeColor="accent1"/>
                  <w14:textFill>
                    <w14:solidFill>
                      <w14:schemeClr w14:val="accent1"/>
                    </w14:solidFill>
                  </w14:textFill>
                </w:rPr>
                <w:delText xml:space="preserve">could </w:delText>
              </w:r>
            </w:del>
            <w:ins w:id="76" w:author="China Unicom R2-2204847" w:date="2022-05-12T20:19:00Z">
              <w:r>
                <w:rPr>
                  <w:color w:val="4472C4" w:themeColor="accent1"/>
                  <w14:textFill>
                    <w14:solidFill>
                      <w14:schemeClr w14:val="accent1"/>
                    </w14:solidFill>
                  </w14:textFill>
                </w:rPr>
                <w:t xml:space="preserve">can </w:t>
              </w:r>
            </w:ins>
            <w:r>
              <w:rPr>
                <w:color w:val="4472C4" w:themeColor="accent1"/>
                <w14:textFill>
                  <w14:solidFill>
                    <w14:schemeClr w14:val="accent1"/>
                  </w14:solidFill>
                </w14:textFill>
              </w:rPr>
              <w:t xml:space="preserve">be utilized by the </w:t>
            </w:r>
            <w:del w:id="77" w:author="China Unicom v1" w:date="2022-04-21T13:27:00Z">
              <w:r>
                <w:rPr>
                  <w:color w:val="4472C4" w:themeColor="accent1"/>
                  <w14:textFill>
                    <w14:solidFill>
                      <w14:schemeClr w14:val="accent1"/>
                    </w14:solidFill>
                  </w14:textFill>
                </w:rPr>
                <w:delText>NG-RAN node</w:delText>
              </w:r>
            </w:del>
            <w:ins w:id="78" w:author="China Unicom v1" w:date="2022-04-21T13:27:00Z">
              <w:r>
                <w:rPr>
                  <w:color w:val="4472C4" w:themeColor="accent1"/>
                  <w14:textFill>
                    <w14:solidFill>
                      <w14:schemeClr w14:val="accent1"/>
                    </w14:solidFill>
                  </w14:textFill>
                </w:rPr>
                <w:t>gNB</w:t>
              </w:r>
            </w:ins>
            <w:r>
              <w:rPr>
                <w:color w:val="4472C4" w:themeColor="accent1"/>
                <w14:textFill>
                  <w14:solidFill>
                    <w14:schemeClr w14:val="accent1"/>
                  </w14:solidFill>
                </w14:textFill>
              </w:rPr>
              <w:t xml:space="preserve"> for </w:t>
            </w:r>
            <w:ins w:id="79" w:author="China Unicom R2-2204847" w:date="2022-05-12T22:26:00Z">
              <w:r>
                <w:rPr>
                  <w:color w:val="4472C4" w:themeColor="accent1"/>
                  <w:highlight w:val="yellow"/>
                  <w14:textFill>
                    <w14:solidFill>
                      <w14:schemeClr w14:val="accent1"/>
                    </w14:solidFill>
                  </w14:textFill>
                </w:rPr>
                <w:t>the purpose of RRM</w:t>
              </w:r>
            </w:ins>
            <w:ins w:id="80" w:author="China Unicom R2-2204847" w:date="2022-05-12T22:26:00Z">
              <w:r>
                <w:rPr>
                  <w:color w:val="4472C4" w:themeColor="accent1"/>
                  <w14:textFill>
                    <w14:solidFill>
                      <w14:schemeClr w14:val="accent1"/>
                    </w14:solidFill>
                  </w14:textFill>
                </w:rPr>
                <w:t xml:space="preserve"> </w:t>
              </w:r>
            </w:ins>
            <w:r>
              <w:rPr>
                <w:color w:val="4472C4" w:themeColor="accent1"/>
                <w14:textFill>
                  <w14:solidFill>
                    <w14:schemeClr w14:val="accent1"/>
                  </w14:solidFill>
                </w14:textFill>
              </w:rPr>
              <w:t>network optimization. …</w:t>
            </w:r>
          </w:p>
          <w:p>
            <w:pPr>
              <w:rPr>
                <w:color w:val="000000" w:themeColor="text1"/>
                <w14:textFill>
                  <w14:solidFill>
                    <w14:schemeClr w14:val="tx1"/>
                  </w14:solidFill>
                </w14:textFill>
              </w:rPr>
            </w:pPr>
            <w:r>
              <w:rPr>
                <w:color w:val="000000" w:themeColor="text1"/>
                <w14:textFill>
                  <w14:solidFill>
                    <w14:schemeClr w14:val="tx1"/>
                  </w14:solidFill>
                </w14:textFill>
              </w:rPr>
              <w:t>From our perspective, “network optimization” is a generalized term that already covers RRM, not sure why we need to mention RRM explicitly – this sounds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Lenovo</w:t>
            </w:r>
          </w:p>
        </w:tc>
        <w:tc>
          <w:tcPr>
            <w:tcW w:w="7200" w:type="dxa"/>
          </w:tcPr>
          <w:p>
            <w:pPr>
              <w:pStyle w:val="43"/>
              <w:numPr>
                <w:ilvl w:val="0"/>
                <w:numId w:val="7"/>
              </w:numPr>
            </w:pPr>
            <w:r>
              <w:t>In cover page, “Reason for change” there is a typo: “NR-RAN” should be “N</w:t>
            </w:r>
            <w:r>
              <w:rPr>
                <w:color w:val="FF0000"/>
              </w:rPr>
              <w:t>G</w:t>
            </w:r>
            <w:r>
              <w:t>-RAN”.</w:t>
            </w:r>
          </w:p>
          <w:p>
            <w:pPr>
              <w:pStyle w:val="43"/>
              <w:ind w:left="360"/>
            </w:pPr>
          </w:p>
          <w:p>
            <w:pPr>
              <w:pStyle w:val="43"/>
              <w:numPr>
                <w:ilvl w:val="0"/>
                <w:numId w:val="7"/>
              </w:numPr>
            </w:pPr>
            <w:r>
              <w:t xml:space="preserve">In 21.1: </w:t>
            </w:r>
          </w:p>
          <w:p>
            <w:r>
              <w:t>The sentence “The QoE measurement collection is supported in RRC_CONNECTED state only.” has been added w/o change marks.</w:t>
            </w:r>
          </w:p>
          <w:p>
            <w:pPr>
              <w:pStyle w:val="43"/>
              <w:numPr>
                <w:ilvl w:val="0"/>
                <w:numId w:val="7"/>
              </w:numPr>
            </w:pPr>
            <w:r>
              <w:t>In 21.2.1:</w:t>
            </w:r>
          </w:p>
          <w:p>
            <w:r>
              <w:t>We don’t see the need to replace “RRC identifier” with “measConfigAppLayerId”. Such stage 3 detail can be omitted in stage 2.</w:t>
            </w:r>
          </w:p>
          <w:p>
            <w:r>
              <w:t>Furthermore, in the sentence below “MCE” has been added what is correct. However, “OAM” should then be removed, see reference message flows in TR 38.890.</w:t>
            </w:r>
          </w:p>
          <w:p>
            <w:r>
              <w:t>“…the application layer measurement report is forwarded to OAM/</w:t>
            </w:r>
            <w:r>
              <w:rPr>
                <w:color w:val="FF0000"/>
                <w:highlight w:val="yellow"/>
              </w:rPr>
              <w:t>MCE</w:t>
            </w:r>
            <w:r>
              <w:t xml:space="preserve"> together with the QoE Reference ID.”</w:t>
            </w:r>
          </w:p>
          <w:p>
            <w:pPr>
              <w:pStyle w:val="43"/>
              <w:numPr>
                <w:ilvl w:val="0"/>
                <w:numId w:val="7"/>
              </w:numPr>
            </w:pPr>
            <w:r>
              <w:t>In 21.3:</w:t>
            </w:r>
          </w:p>
          <w:p>
            <w:r>
              <w:t>In the sentence below “the target gNB” should be kept between “QoE” and “decides”. Otherwise the sentence looks bit odd.</w:t>
            </w:r>
          </w:p>
          <w:p>
            <w:r>
              <w:t xml:space="preserve">“For signalling based QoE, at handover to a target gNB that supports </w:t>
            </w:r>
            <w:r>
              <w:rPr>
                <w:highlight w:val="yellow"/>
              </w:rPr>
              <w:t>QoE decides</w:t>
            </w:r>
            <w:r>
              <w:t xml:space="preserve"> which of the application layer measurement configurations should be kept and or released, e.g. …”</w:t>
            </w:r>
          </w:p>
          <w:p>
            <w:r>
              <w:t>And in the last sentence “supporting” should be corrected to “support”:</w:t>
            </w:r>
          </w:p>
          <w:p>
            <w:r>
              <w:t xml:space="preserve">“When the UE resumes the connection with a gNB that does not </w:t>
            </w:r>
            <w:r>
              <w:rPr>
                <w:highlight w:val="yellow"/>
              </w:rPr>
              <w:t>supporting</w:t>
            </w:r>
            <w:r>
              <w:t xml:space="preserve"> QoE, the UE releases all application layer measurement configurations.”</w:t>
            </w:r>
          </w:p>
          <w:p>
            <w:pPr>
              <w:pStyle w:val="43"/>
              <w:numPr>
                <w:ilvl w:val="0"/>
                <w:numId w:val="7"/>
              </w:numPr>
            </w:pPr>
            <w:r>
              <w:t>In 21.4:</w:t>
            </w:r>
          </w:p>
          <w:p>
            <w:r>
              <w:t>We think the word “legacy” can be simply removed instead of replacing it with “non-RAN visible”.</w:t>
            </w:r>
          </w:p>
          <w:p>
            <w:r>
              <w:t>Same as in 21.2.1 we don’t see the need to replace “RRC identifier” with “measConfigAppLayerId”. Such stage 3 detail can be omitted in stage 2.</w:t>
            </w:r>
          </w:p>
          <w:p>
            <w:pPr>
              <w:pStyle w:val="43"/>
              <w:numPr>
                <w:ilvl w:val="0"/>
                <w:numId w:val="7"/>
              </w:numPr>
            </w:pPr>
            <w:r>
              <w:t>In 21.5: In the sentence below we wonder about “can” since the UE will send this indication only upon gNB configuration and not dependent on UE capability. So, we think it should be removed.</w:t>
            </w:r>
          </w:p>
          <w:p>
            <w:r>
              <w:t xml:space="preserve">“The UE configured with QoE measurements </w:t>
            </w:r>
            <w:r>
              <w:rPr>
                <w:highlight w:val="yellow"/>
              </w:rPr>
              <w:t>can</w:t>
            </w:r>
            <w:r>
              <w:t xml:space="preserve"> send an indication to inform the gNB about the start or the stop of a session of configured QoE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H</w:t>
            </w:r>
            <w:r>
              <w:rPr>
                <w:lang w:eastAsia="zh-CN"/>
              </w:rPr>
              <w:t>uawei, HiSilicon</w:t>
            </w:r>
          </w:p>
        </w:tc>
        <w:tc>
          <w:tcPr>
            <w:tcW w:w="7200" w:type="dxa"/>
          </w:tcPr>
          <w:p>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Mobility Robustness Optimization, RACH Optimization, </w:t>
            </w:r>
            <w:r>
              <w:rPr>
                <w:lang w:eastAsia="en-GB"/>
              </w:rPr>
              <w:t>PCI Optimization Function.</w:t>
            </w:r>
          </w:p>
          <w:p>
            <w:pPr>
              <w:rPr>
                <w:lang w:eastAsia="zh-CN"/>
              </w:rPr>
            </w:pPr>
            <w:r>
              <w:rPr>
                <w:lang w:eastAsia="en-GB"/>
              </w:rPr>
              <w:t>We can be also fine to simplify the wording if it brings some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Ericsson</w:t>
            </w:r>
          </w:p>
        </w:tc>
        <w:tc>
          <w:tcPr>
            <w:tcW w:w="7200" w:type="dxa"/>
          </w:tcPr>
          <w:p>
            <w:r>
              <w:t>In general we are fine, but we will review further when all changes have been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Nokia</w:t>
            </w:r>
          </w:p>
        </w:tc>
        <w:tc>
          <w:tcPr>
            <w:tcW w:w="7200" w:type="dxa"/>
          </w:tcPr>
          <w:p>
            <w:r>
              <w:t>Ok, to minor changes, but “for RRM purposes” may be limiting, why no other purposes? We believe its up to NW how to utilize the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C</w:t>
            </w:r>
            <w:r>
              <w:rPr>
                <w:lang w:eastAsia="zh-CN"/>
              </w:rPr>
              <w:t>hina Unicom</w:t>
            </w:r>
          </w:p>
        </w:tc>
        <w:tc>
          <w:tcPr>
            <w:tcW w:w="7200" w:type="dxa"/>
          </w:tcPr>
          <w:p>
            <w:pPr>
              <w:rPr>
                <w:lang w:eastAsia="zh-CN"/>
              </w:rPr>
            </w:pPr>
            <w:r>
              <w:rPr>
                <w:lang w:eastAsia="zh-CN"/>
              </w:rPr>
              <w:t xml:space="preserve">(1) To clarify that the original sentence in 38.0.0 V17.0.0 is “The gNB can use RAN visible application layer measurement configurations to instruct the UE to collect application layer measurements </w:t>
            </w:r>
            <w:r>
              <w:rPr>
                <w:color w:val="FF0000"/>
                <w:lang w:eastAsia="zh-CN"/>
              </w:rPr>
              <w:t>for RRM purposes.</w:t>
            </w:r>
            <w:r>
              <w:rPr>
                <w:lang w:eastAsia="zh-CN"/>
              </w:rPr>
              <w:t>”. So we are fine to keep “</w:t>
            </w:r>
            <w:ins w:id="81" w:author="China Unicom R2-2204847" w:date="2022-05-12T22:26:00Z">
              <w:r>
                <w:rPr>
                  <w:color w:val="4472C4" w:themeColor="accent1"/>
                  <w:highlight w:val="yellow"/>
                  <w14:textFill>
                    <w14:solidFill>
                      <w14:schemeClr w14:val="accent1"/>
                    </w14:solidFill>
                  </w14:textFill>
                </w:rPr>
                <w:t>he purpose of RRM</w:t>
              </w:r>
            </w:ins>
            <w:r>
              <w:rPr>
                <w:lang w:eastAsia="zh-CN"/>
              </w:rPr>
              <w:t>”.</w:t>
            </w:r>
          </w:p>
          <w:p>
            <w:pPr>
              <w:rPr>
                <w:lang w:eastAsia="zh-CN"/>
              </w:rPr>
            </w:pPr>
            <w:r>
              <w:rPr>
                <w:lang w:eastAsia="zh-CN"/>
              </w:rPr>
              <w:t xml:space="preserve"> (2) Correct the typo in the cover page: “NR-RAN”</w:t>
            </w:r>
            <w:r>
              <w:rPr>
                <w:rFonts w:hint="eastAsia"/>
                <w:lang w:eastAsia="zh-CN"/>
              </w:rPr>
              <w:t>=&gt;</w:t>
            </w:r>
            <w:r>
              <w:rPr>
                <w:lang w:eastAsia="zh-CN"/>
              </w:rPr>
              <w:t xml:space="preserve"> “NG-RAN”.</w:t>
            </w:r>
          </w:p>
          <w:p>
            <w:pPr>
              <w:rPr>
                <w:lang w:eastAsia="zh-CN"/>
              </w:rPr>
            </w:pPr>
            <w:r>
              <w:rPr>
                <w:lang w:eastAsia="zh-CN"/>
              </w:rPr>
              <w:t>(3) Whether to replace</w:t>
            </w:r>
            <w:r>
              <w:rPr>
                <w:rFonts w:hint="eastAsia"/>
                <w:lang w:eastAsia="zh-CN"/>
              </w:rPr>
              <w:t>“</w:t>
            </w:r>
            <w:r>
              <w:rPr>
                <w:lang w:eastAsia="zh-CN"/>
              </w:rPr>
              <w:t>RRC identifier” with “measConfigAppLayerId” can be further discussed.</w:t>
            </w:r>
          </w:p>
          <w:p>
            <w:pPr>
              <w:ind w:left="400" w:hanging="400" w:hangingChars="200"/>
              <w:rPr>
                <w:lang w:eastAsia="zh-CN"/>
              </w:rPr>
            </w:pPr>
            <w:r>
              <w:rPr>
                <w:lang w:eastAsia="zh-CN"/>
              </w:rPr>
              <w:t>(4) How to replace the word ‘legacy’ can wait for RAN3’s decision,  we can keep “non-RAN visible” for now.</w:t>
            </w:r>
          </w:p>
          <w:p>
            <w:pPr>
              <w:rPr>
                <w:lang w:eastAsia="zh-CN"/>
              </w:rPr>
            </w:pPr>
            <w:r>
              <w:rPr>
                <w:lang w:eastAsia="zh-CN"/>
              </w:rPr>
              <w:t>(5) The following sentences have been reworded.</w:t>
            </w:r>
          </w:p>
          <w:p>
            <w:r>
              <w:t xml:space="preserve"> “For signalling based QoE, at handover to a target gNB that supports QoE</w:t>
            </w:r>
            <w:r>
              <w:rPr>
                <w:color w:val="FF0000"/>
              </w:rPr>
              <w:t>, the target gNB</w:t>
            </w:r>
            <w:r>
              <w:t xml:space="preserve"> decides which of the application layer measurement configurations should be kept or released, e.g. based on application layer measurement configuration information received from the source gNB in Xn/N</w:t>
            </w:r>
            <w:r>
              <w:rPr>
                <w:rFonts w:hint="eastAsia"/>
                <w:lang w:eastAsia="zh-CN"/>
              </w:rPr>
              <w:t>G</w:t>
            </w:r>
            <w:r>
              <w:t xml:space="preserve"> signalling.”</w:t>
            </w:r>
          </w:p>
          <w:p>
            <w:r>
              <w:rPr>
                <w:rFonts w:hint="eastAsia"/>
              </w:rPr>
              <w:t>“</w:t>
            </w:r>
            <w:r>
              <w:t xml:space="preserve">When the UE resumes the connection with a gNB that does not </w:t>
            </w:r>
            <w:r>
              <w:rPr>
                <w:color w:val="FF0000"/>
              </w:rPr>
              <w:t>support</w:t>
            </w:r>
            <w:r>
              <w:t xml:space="preserve"> QoE, the UE releases all application layer measurement configurations.”</w:t>
            </w:r>
          </w:p>
          <w:p>
            <w:pPr>
              <w:rPr>
                <w:lang w:eastAsia="zh-CN"/>
              </w:rPr>
            </w:pPr>
            <w:r>
              <w:rPr>
                <w:rFonts w:hint="eastAsia"/>
                <w:lang w:eastAsia="zh-CN"/>
              </w:rPr>
              <w:t>(</w:t>
            </w:r>
            <w:r>
              <w:rPr>
                <w:lang w:eastAsia="zh-CN"/>
              </w:rPr>
              <w:t>6) For the following sentence, we prefer to keep the “</w:t>
            </w:r>
            <w:r>
              <w:rPr>
                <w:color w:val="FF0000"/>
                <w:lang w:eastAsia="zh-CN"/>
              </w:rPr>
              <w:t>can</w:t>
            </w:r>
            <w:r>
              <w:rPr>
                <w:lang w:eastAsia="zh-CN"/>
              </w:rPr>
              <w:t>” to represent the session start/stop indication are configurable.</w:t>
            </w:r>
          </w:p>
          <w:p>
            <w:pPr>
              <w:rPr>
                <w:lang w:eastAsia="zh-CN"/>
              </w:rPr>
            </w:pPr>
            <w:r>
              <w:rPr>
                <w:rFonts w:hint="eastAsia"/>
                <w:lang w:eastAsia="zh-CN"/>
              </w:rPr>
              <w:t>“</w:t>
            </w:r>
            <w:r>
              <w:rPr>
                <w:lang w:eastAsia="zh-CN"/>
              </w:rPr>
              <w:t xml:space="preserve">The UE configured with QoE measurements </w:t>
            </w:r>
            <w:r>
              <w:rPr>
                <w:color w:val="FF0000"/>
                <w:lang w:eastAsia="zh-CN"/>
              </w:rPr>
              <w:t>can</w:t>
            </w:r>
            <w:r>
              <w:rPr>
                <w:lang w:eastAsia="zh-CN"/>
              </w:rPr>
              <w:t xml:space="preserve"> send an indication to inform the gNB about the start or the stop of a session of configured QoE measurements.”</w:t>
            </w:r>
          </w:p>
          <w:p>
            <w:pPr>
              <w:rPr>
                <w:lang w:eastAsia="zh-CN"/>
              </w:rPr>
            </w:pPr>
            <w:r>
              <w:rPr>
                <w:lang w:eastAsia="zh-CN"/>
              </w:rPr>
              <w:t>We have correct (2) and (5) in the v01_Rapp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
      <w:pPr>
        <w:pStyle w:val="2"/>
        <w:numPr>
          <w:ilvl w:val="0"/>
          <w:numId w:val="0"/>
        </w:numPr>
      </w:pPr>
      <w:r>
        <w:t>3</w:t>
      </w:r>
      <w:r>
        <w:tab/>
      </w:r>
      <w:r>
        <w:t xml:space="preserve">Conclusion </w:t>
      </w:r>
    </w:p>
    <w:p>
      <w:pPr>
        <w:rPr>
          <w:b/>
          <w:bCs/>
        </w:rPr>
      </w:pPr>
      <w:r>
        <w:t>…</w:t>
      </w:r>
    </w:p>
    <w:p>
      <w:pPr>
        <w:rPr>
          <w:b/>
          <w:bCs/>
        </w:rPr>
      </w:pPr>
    </w:p>
    <w:p>
      <w:pPr>
        <w:pStyle w:val="2"/>
        <w:numPr>
          <w:ilvl w:val="0"/>
          <w:numId w:val="0"/>
        </w:numPr>
      </w:pPr>
      <w:r>
        <w:t>4</w:t>
      </w:r>
      <w:r>
        <w:tab/>
      </w:r>
      <w:r>
        <w:t>References</w:t>
      </w:r>
    </w:p>
    <w:p>
      <w:pPr>
        <w:pStyle w:val="43"/>
        <w:numPr>
          <w:ilvl w:val="0"/>
          <w:numId w:val="8"/>
        </w:numPr>
        <w:spacing w:after="120" w:line="240" w:lineRule="auto"/>
        <w:rPr>
          <w:lang w:val="en-US"/>
        </w:rPr>
      </w:pPr>
      <w:r>
        <w:t>R2-2204591</w:t>
      </w:r>
      <w:r>
        <w:tab/>
      </w:r>
      <w:r>
        <w:t>38.300 CR Correction for Introduction of QoE measurements in NR</w:t>
      </w:r>
      <w:r>
        <w:tab/>
      </w:r>
      <w:r>
        <w:t>China Unicom, Huawei, HiSilicon, Ericsson, Apple</w:t>
      </w:r>
      <w:r>
        <w:tab/>
      </w:r>
      <w:r>
        <w:t>CR</w:t>
      </w:r>
      <w:r>
        <w:tab/>
      </w:r>
      <w:r>
        <w:t>Rel-17</w:t>
      </w:r>
      <w:r>
        <w:tab/>
      </w:r>
      <w:r>
        <w:t>38.300</w:t>
      </w:r>
      <w:r>
        <w:tab/>
      </w:r>
      <w:r>
        <w:t>17.0.0</w:t>
      </w:r>
      <w:r>
        <w:tab/>
      </w:r>
      <w:r>
        <w:t>0441</w:t>
      </w:r>
      <w:r>
        <w:tab/>
      </w:r>
      <w:r>
        <w:t>-</w:t>
      </w:r>
      <w:r>
        <w:tab/>
      </w:r>
      <w:r>
        <w:t>F</w:t>
      </w:r>
      <w:r>
        <w:tab/>
      </w:r>
      <w:r>
        <w:t>NR_QoE-Core</w:t>
      </w:r>
    </w:p>
    <w:p>
      <w:pPr>
        <w:pStyle w:val="43"/>
        <w:numPr>
          <w:ilvl w:val="0"/>
          <w:numId w:val="8"/>
        </w:numPr>
        <w:spacing w:after="120" w:line="240" w:lineRule="auto"/>
        <w:rPr>
          <w:lang w:val="en-US"/>
        </w:rPr>
      </w:pPr>
      <w:r>
        <w:rPr>
          <w:lang w:val="en-US"/>
        </w:rPr>
        <w:t>R2-2205943</w:t>
      </w:r>
      <w:r>
        <w:rPr>
          <w:lang w:val="en-US"/>
        </w:rPr>
        <w:tab/>
      </w:r>
      <w:r>
        <w:rPr>
          <w:lang w:val="en-US"/>
        </w:rPr>
        <w:t>Corrections to TS 38.300 for NR QoE</w:t>
      </w:r>
      <w:r>
        <w:rPr>
          <w:lang w:val="en-US"/>
        </w:rPr>
        <w:tab/>
      </w:r>
      <w:r>
        <w:rPr>
          <w:lang w:val="en-US"/>
        </w:rPr>
        <w:t>Huawei, HiSilicon</w:t>
      </w:r>
    </w:p>
    <w:p>
      <w:pPr>
        <w:pStyle w:val="43"/>
        <w:numPr>
          <w:ilvl w:val="0"/>
          <w:numId w:val="8"/>
        </w:numPr>
        <w:spacing w:after="120" w:line="240" w:lineRule="auto"/>
        <w:rPr>
          <w:lang w:val="en-US"/>
        </w:rPr>
      </w:pPr>
      <w:r>
        <w:rPr>
          <w:lang w:val="en-US"/>
        </w:rPr>
        <w:t>R2-2205440</w:t>
      </w:r>
      <w:r>
        <w:rPr>
          <w:lang w:val="en-US"/>
        </w:rPr>
        <w:tab/>
      </w:r>
      <w:r>
        <w:rPr>
          <w:lang w:val="en-US"/>
        </w:rPr>
        <w:t>Discussion on naming of QoE measurements</w:t>
      </w:r>
      <w:r>
        <w:rPr>
          <w:lang w:val="en-US"/>
        </w:rPr>
        <w:tab/>
      </w:r>
      <w:r>
        <w:rPr>
          <w:lang w:val="en-US"/>
        </w:rPr>
        <w:t>Ericsson</w:t>
      </w:r>
      <w:r>
        <w:rPr>
          <w:lang w:val="en-US"/>
        </w:rPr>
        <w:tab/>
      </w:r>
      <w:r>
        <w:rPr>
          <w:lang w:val="en-US"/>
        </w:rPr>
        <w:t>discussion</w:t>
      </w:r>
      <w:r>
        <w:rPr>
          <w:lang w:val="en-US"/>
        </w:rPr>
        <w:tab/>
      </w:r>
      <w:r>
        <w:rPr>
          <w:lang w:val="en-US"/>
        </w:rPr>
        <w:t>Rel-17</w:t>
      </w:r>
      <w:r>
        <w:rPr>
          <w:lang w:val="en-US"/>
        </w:rPr>
        <w:tab/>
      </w:r>
      <w:r>
        <w:rPr>
          <w:lang w:val="en-US"/>
        </w:rPr>
        <w:t>NR_QoE-Core</w:t>
      </w:r>
    </w:p>
    <w:p>
      <w:pPr>
        <w:pStyle w:val="43"/>
        <w:numPr>
          <w:ilvl w:val="0"/>
          <w:numId w:val="8"/>
        </w:numPr>
        <w:spacing w:after="120" w:line="240" w:lineRule="auto"/>
        <w:rPr>
          <w:lang w:val="en-US"/>
        </w:rPr>
      </w:pPr>
      <w:r>
        <w:rPr>
          <w:lang w:val="en-US"/>
        </w:rPr>
        <w:t>R2-2204848</w:t>
      </w:r>
      <w:r>
        <w:rPr>
          <w:lang w:val="en-US"/>
        </w:rPr>
        <w:tab/>
      </w:r>
      <w:r>
        <w:rPr>
          <w:lang w:val="en-US"/>
        </w:rPr>
        <w:t>Discussion on NR QoE issues</w:t>
      </w:r>
      <w:r>
        <w:rPr>
          <w:lang w:val="en-US"/>
        </w:rPr>
        <w:tab/>
      </w:r>
      <w:r>
        <w:rPr>
          <w:lang w:val="en-US"/>
        </w:rPr>
        <w:t>Lenovo</w:t>
      </w:r>
      <w:r>
        <w:rPr>
          <w:lang w:val="en-US"/>
        </w:rPr>
        <w:tab/>
      </w:r>
      <w:r>
        <w:rPr>
          <w:lang w:val="en-US"/>
        </w:rPr>
        <w:t>discussion</w:t>
      </w:r>
      <w:r>
        <w:rPr>
          <w:lang w:val="en-US"/>
        </w:rPr>
        <w:tab/>
      </w:r>
      <w:r>
        <w:rPr>
          <w:lang w:val="en-US"/>
        </w:rPr>
        <w:t>Rel-17</w:t>
      </w:r>
      <w:r>
        <w:rPr>
          <w:lang w:val="en-US"/>
        </w:rPr>
        <w:tab/>
      </w:r>
      <w:r>
        <w:rPr>
          <w:lang w:val="en-US"/>
        </w:rPr>
        <w:t xml:space="preserve">NR_QoE-Core </w:t>
      </w:r>
    </w:p>
    <w:p>
      <w:pPr>
        <w:pStyle w:val="43"/>
        <w:numPr>
          <w:ilvl w:val="0"/>
          <w:numId w:val="8"/>
        </w:numPr>
        <w:spacing w:after="120" w:line="240" w:lineRule="auto"/>
        <w:rPr>
          <w:lang w:val="en-US"/>
        </w:rPr>
      </w:pPr>
      <w:r>
        <w:rPr>
          <w:lang w:val="en-US"/>
        </w:rPr>
        <w:t>R2-2204847</w:t>
      </w:r>
      <w:r>
        <w:rPr>
          <w:lang w:val="en-US"/>
        </w:rPr>
        <w:tab/>
      </w:r>
      <w:r>
        <w:rPr>
          <w:lang w:val="en-US"/>
        </w:rPr>
        <w:t>Corrections to stage 2 NR QoE description</w:t>
      </w:r>
      <w:r>
        <w:rPr>
          <w:lang w:val="en-US"/>
        </w:rPr>
        <w:tab/>
      </w:r>
      <w:r>
        <w:rPr>
          <w:lang w:val="en-US"/>
        </w:rPr>
        <w:t>Lenovo</w:t>
      </w:r>
      <w:r>
        <w:rPr>
          <w:lang w:val="en-US"/>
        </w:rPr>
        <w:tab/>
      </w:r>
      <w:r>
        <w:rPr>
          <w:lang w:val="en-US"/>
        </w:rPr>
        <w:t>draftCR</w:t>
      </w:r>
      <w:r>
        <w:rPr>
          <w:lang w:val="en-US"/>
        </w:rPr>
        <w:tab/>
      </w:r>
      <w:r>
        <w:rPr>
          <w:lang w:val="en-US"/>
        </w:rPr>
        <w:t>Rel-17</w:t>
      </w:r>
      <w:r>
        <w:rPr>
          <w:lang w:val="en-US"/>
        </w:rPr>
        <w:tab/>
      </w:r>
      <w:r>
        <w:rPr>
          <w:lang w:val="en-US"/>
        </w:rPr>
        <w:t>38.300</w:t>
      </w:r>
      <w:r>
        <w:rPr>
          <w:lang w:val="en-US"/>
        </w:rPr>
        <w:tab/>
      </w:r>
      <w:r>
        <w:rPr>
          <w:lang w:val="en-US"/>
        </w:rPr>
        <w:t>17.0.0</w:t>
      </w:r>
      <w:r>
        <w:rPr>
          <w:lang w:val="en-US"/>
        </w:rPr>
        <w:tab/>
      </w:r>
      <w:r>
        <w:rPr>
          <w:lang w:val="en-US"/>
        </w:rPr>
        <w:t>NR_QoE-Core</w:t>
      </w:r>
    </w:p>
    <w:sectPr>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4BF16B2"/>
    <w:multiLevelType w:val="multilevel"/>
    <w:tmpl w:val="14BF16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1EFB4A15"/>
    <w:multiLevelType w:val="multilevel"/>
    <w:tmpl w:val="1EFB4A15"/>
    <w:lvl w:ilvl="0" w:tentative="0">
      <w:start w:val="1"/>
      <w:numFmt w:val="decimal"/>
      <w:lvlText w:val="[%1]"/>
      <w:lvlJc w:val="left"/>
      <w:pPr>
        <w:ind w:left="420" w:hanging="420"/>
      </w:pPr>
      <w:rPr>
        <w:rFonts w:hint="default" w:ascii="Times New Roman" w:hAnsi="Times New Roman" w:eastAsia="宋体"/>
        <w:b w:val="0"/>
        <w:i w:val="0"/>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15675C"/>
    <w:multiLevelType w:val="multilevel"/>
    <w:tmpl w:val="371567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DF65F6"/>
    <w:multiLevelType w:val="multilevel"/>
    <w:tmpl w:val="4BDF65F6"/>
    <w:lvl w:ilvl="0" w:tentative="0">
      <w:start w:val="1"/>
      <w:numFmt w:val="decimal"/>
      <w:pStyle w:val="11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0755DB3"/>
    <w:multiLevelType w:val="multilevel"/>
    <w:tmpl w:val="50755DB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D7570"/>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57"/>
    <w:rsid w:val="00CD68A0"/>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6AF273E"/>
    <w:rsid w:val="1E33367E"/>
    <w:rsid w:val="3286D285"/>
    <w:rsid w:val="3EE91451"/>
    <w:rsid w:val="4B275FBA"/>
    <w:rsid w:val="53AC39E1"/>
    <w:rsid w:val="57F7B65F"/>
    <w:rsid w:val="5F54572A"/>
    <w:rsid w:val="5FAE6AE0"/>
    <w:rsid w:val="69B82DE4"/>
    <w:rsid w:val="73C8563B"/>
    <w:rsid w:val="7B770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5"/>
    <w:qFormat/>
    <w:uiPriority w:val="99"/>
    <w:rPr>
      <w:rFonts w:eastAsia="等线"/>
    </w:rPr>
  </w:style>
  <w:style w:type="paragraph" w:styleId="20">
    <w:name w:val="Body Text"/>
    <w:basedOn w:val="1"/>
    <w:link w:val="105"/>
    <w:qFormat/>
    <w:uiPriority w:val="0"/>
    <w:pPr>
      <w:spacing w:after="120"/>
    </w:pPr>
  </w:style>
  <w:style w:type="paragraph" w:styleId="21">
    <w:name w:val="List Number 3"/>
    <w:basedOn w:val="1"/>
    <w:qFormat/>
    <w:uiPriority w:val="0"/>
    <w:pPr>
      <w:numPr>
        <w:ilvl w:val="0"/>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5"/>
    <w:unhideWhenUsed/>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link w:val="37"/>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able of figures"/>
    <w:basedOn w:val="20"/>
    <w:next w:val="1"/>
    <w:qFormat/>
    <w:uiPriority w:val="99"/>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27">
    <w:name w:val="toc 9"/>
    <w:basedOn w:val="22"/>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9">
    <w:name w:val="annotation subject"/>
    <w:basedOn w:val="19"/>
    <w:next w:val="19"/>
    <w:link w:val="101"/>
    <w:qFormat/>
    <w:uiPriority w:val="0"/>
    <w:rPr>
      <w:rFonts w:eastAsia="宋体"/>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qFormat/>
    <w:uiPriority w:val="99"/>
    <w:rPr>
      <w:color w:val="0000FF"/>
      <w:u w:val="single"/>
    </w:rPr>
  </w:style>
  <w:style w:type="character" w:styleId="34">
    <w:name w:val="annotation reference"/>
    <w:qFormat/>
    <w:uiPriority w:val="0"/>
    <w:rPr>
      <w:sz w:val="16"/>
      <w:szCs w:val="16"/>
    </w:rPr>
  </w:style>
  <w:style w:type="character" w:customStyle="1" w:styleId="35">
    <w:name w:val="Balloon Text Char"/>
    <w:link w:val="23"/>
    <w:semiHidden/>
    <w:qFormat/>
    <w:uiPriority w:val="0"/>
    <w:rPr>
      <w:rFonts w:ascii="Segoe UI" w:hAnsi="Segoe UI" w:cs="Segoe UI"/>
      <w:sz w:val="18"/>
      <w:szCs w:val="18"/>
      <w:lang w:eastAsia="en-US"/>
    </w:rPr>
  </w:style>
  <w:style w:type="character" w:customStyle="1" w:styleId="36">
    <w:name w:val="ZGSM"/>
    <w:qFormat/>
    <w:uiPriority w:val="0"/>
  </w:style>
  <w:style w:type="character" w:customStyle="1" w:styleId="37">
    <w:name w:val="Header Char"/>
    <w:link w:val="25"/>
    <w:qFormat/>
    <w:uiPriority w:val="0"/>
    <w:rPr>
      <w:rFonts w:ascii="Arial" w:hAnsi="Arial"/>
      <w:b/>
      <w:sz w:val="18"/>
      <w:lang w:val="en-GB" w:eastAsia="ja-JP" w:bidi="ar-SA"/>
    </w:rPr>
  </w:style>
  <w:style w:type="character" w:customStyle="1" w:styleId="38">
    <w:name w:val="main text Char"/>
    <w:link w:val="39"/>
    <w:qFormat/>
    <w:uiPriority w:val="0"/>
    <w:rPr>
      <w:rFonts w:eastAsia="Malgun Gothic" w:cs="Batang"/>
      <w:lang w:val="en-GB" w:eastAsia="ko-KR"/>
    </w:rPr>
  </w:style>
  <w:style w:type="paragraph" w:customStyle="1" w:styleId="39">
    <w:name w:val="main text"/>
    <w:basedOn w:val="1"/>
    <w:link w:val="38"/>
    <w:qFormat/>
    <w:uiPriority w:val="0"/>
    <w:pPr>
      <w:spacing w:before="60" w:after="60" w:line="288" w:lineRule="auto"/>
      <w:ind w:firstLine="200" w:firstLineChars="200"/>
      <w:jc w:val="both"/>
    </w:pPr>
    <w:rPr>
      <w:rFonts w:eastAsia="Malgun Gothic" w:cs="Batang"/>
      <w:lang w:eastAsia="ko-KR"/>
    </w:rPr>
  </w:style>
  <w:style w:type="character" w:customStyle="1" w:styleId="40">
    <w:name w:val="CR Cover Page Zchn"/>
    <w:link w:val="41"/>
    <w:qFormat/>
    <w:uiPriority w:val="0"/>
    <w:rPr>
      <w:rFonts w:ascii="Arial" w:hAnsi="Arial" w:eastAsia="MS Mincho"/>
      <w:lang w:val="en-GB"/>
    </w:rPr>
  </w:style>
  <w:style w:type="paragraph" w:customStyle="1" w:styleId="41">
    <w:name w:val="CR Cover Page"/>
    <w:link w:val="40"/>
    <w:qFormat/>
    <w:uiPriority w:val="0"/>
    <w:pPr>
      <w:spacing w:after="120" w:line="259" w:lineRule="auto"/>
    </w:pPr>
    <w:rPr>
      <w:rFonts w:ascii="Arial" w:hAnsi="Arial" w:eastAsia="MS Mincho" w:cs="Times New Roman"/>
      <w:lang w:val="en-GB" w:eastAsia="en-US" w:bidi="ar-SA"/>
    </w:rPr>
  </w:style>
  <w:style w:type="character" w:customStyle="1" w:styleId="42">
    <w:name w:val="List Paragraph Char"/>
    <w:link w:val="43"/>
    <w:qFormat/>
    <w:locked/>
    <w:uiPriority w:val="34"/>
    <w:rPr>
      <w:lang w:val="en-GB"/>
    </w:rPr>
  </w:style>
  <w:style w:type="paragraph" w:styleId="43">
    <w:name w:val="List Paragraph"/>
    <w:basedOn w:val="1"/>
    <w:link w:val="42"/>
    <w:qFormat/>
    <w:uiPriority w:val="34"/>
    <w:pPr>
      <w:ind w:left="720"/>
      <w:contextualSpacing/>
    </w:pPr>
  </w:style>
  <w:style w:type="character" w:customStyle="1" w:styleId="44">
    <w:name w:val="Doc-text2 Char"/>
    <w:link w:val="45"/>
    <w:qFormat/>
    <w:uiPriority w:val="0"/>
    <w:rPr>
      <w:rFonts w:ascii="Arial" w:hAnsi="Arial" w:eastAsia="MS Mincho"/>
      <w:szCs w:val="24"/>
      <w:lang w:val="en-GB" w:eastAsia="en-GB"/>
    </w:rPr>
  </w:style>
  <w:style w:type="paragraph" w:customStyle="1" w:styleId="45">
    <w:name w:val="Doc-text2"/>
    <w:basedOn w:val="1"/>
    <w:link w:val="44"/>
    <w:qFormat/>
    <w:uiPriority w:val="0"/>
    <w:pPr>
      <w:tabs>
        <w:tab w:val="left" w:pos="1622"/>
      </w:tabs>
      <w:spacing w:after="0"/>
      <w:ind w:left="1622" w:hanging="363"/>
    </w:pPr>
    <w:rPr>
      <w:rFonts w:ascii="Arial" w:hAnsi="Arial" w:eastAsia="MS Mincho"/>
      <w:szCs w:val="24"/>
      <w:lang w:eastAsia="en-GB"/>
    </w:rPr>
  </w:style>
  <w:style w:type="character" w:customStyle="1" w:styleId="46">
    <w:name w:val="Doc-title Char"/>
    <w:link w:val="47"/>
    <w:qFormat/>
    <w:uiPriority w:val="0"/>
    <w:rPr>
      <w:rFonts w:ascii="Arial" w:hAnsi="Arial" w:eastAsia="MS Mincho"/>
      <w:szCs w:val="24"/>
      <w:lang w:val="en-GB" w:eastAsia="en-GB"/>
    </w:rPr>
  </w:style>
  <w:style w:type="paragraph" w:customStyle="1" w:styleId="47">
    <w:name w:val="Doc-title"/>
    <w:basedOn w:val="1"/>
    <w:next w:val="45"/>
    <w:link w:val="46"/>
    <w:qFormat/>
    <w:uiPriority w:val="0"/>
    <w:pPr>
      <w:spacing w:before="60" w:after="0"/>
      <w:ind w:left="1259" w:hanging="1259"/>
    </w:pPr>
    <w:rPr>
      <w:rFonts w:ascii="Arial" w:hAnsi="Arial" w:eastAsia="MS Mincho"/>
      <w:szCs w:val="24"/>
      <w:lang w:eastAsia="en-GB"/>
    </w:rPr>
  </w:style>
  <w:style w:type="character" w:customStyle="1" w:styleId="48">
    <w:name w:val="B1 Zchn"/>
    <w:link w:val="49"/>
    <w:qFormat/>
    <w:uiPriority w:val="0"/>
    <w:rPr>
      <w:lang w:val="en-GB"/>
    </w:rPr>
  </w:style>
  <w:style w:type="paragraph" w:customStyle="1" w:styleId="49">
    <w:name w:val="B1"/>
    <w:basedOn w:val="1"/>
    <w:link w:val="48"/>
    <w:qFormat/>
    <w:uiPriority w:val="0"/>
    <w:pPr>
      <w:ind w:left="568" w:hanging="284"/>
    </w:pPr>
  </w:style>
  <w:style w:type="character" w:customStyle="1" w:styleId="50">
    <w:name w:val="TF Char"/>
    <w:link w:val="51"/>
    <w:qFormat/>
    <w:uiPriority w:val="0"/>
    <w:rPr>
      <w:rFonts w:ascii="Arial" w:hAnsi="Arial"/>
      <w:b/>
      <w:lang w:val="en-GB"/>
    </w:rPr>
  </w:style>
  <w:style w:type="paragraph" w:customStyle="1" w:styleId="51">
    <w:name w:val="TF"/>
    <w:basedOn w:val="52"/>
    <w:link w:val="50"/>
    <w:qFormat/>
    <w:uiPriority w:val="0"/>
    <w:pPr>
      <w:keepNext w:val="0"/>
      <w:spacing w:before="0" w:after="240"/>
    </w:pPr>
  </w:style>
  <w:style w:type="paragraph" w:customStyle="1" w:styleId="52">
    <w:name w:val="TH"/>
    <w:basedOn w:val="1"/>
    <w:qFormat/>
    <w:uiPriority w:val="0"/>
    <w:pPr>
      <w:keepNext/>
      <w:keepLines/>
      <w:spacing w:before="60"/>
      <w:jc w:val="center"/>
    </w:pPr>
    <w:rPr>
      <w:rFonts w:ascii="Arial" w:hAnsi="Arial"/>
      <w:b/>
    </w:rPr>
  </w:style>
  <w:style w:type="character" w:customStyle="1" w:styleId="53">
    <w:name w:val="Bold Comments Char"/>
    <w:link w:val="54"/>
    <w:qFormat/>
    <w:locked/>
    <w:uiPriority w:val="0"/>
    <w:rPr>
      <w:rFonts w:ascii="Arial" w:hAnsi="Arial" w:eastAsia="MS Mincho" w:cs="Arial"/>
      <w:b/>
      <w:szCs w:val="24"/>
    </w:rPr>
  </w:style>
  <w:style w:type="paragraph" w:customStyle="1" w:styleId="54">
    <w:name w:val="Bold Comments"/>
    <w:basedOn w:val="1"/>
    <w:link w:val="53"/>
    <w:qFormat/>
    <w:uiPriority w:val="0"/>
    <w:pPr>
      <w:spacing w:before="240" w:after="60"/>
      <w:outlineLvl w:val="8"/>
    </w:pPr>
    <w:rPr>
      <w:rFonts w:ascii="Arial" w:hAnsi="Arial" w:eastAsia="MS Mincho" w:cs="Arial"/>
      <w:b/>
      <w:szCs w:val="24"/>
    </w:rPr>
  </w:style>
  <w:style w:type="character" w:customStyle="1" w:styleId="55">
    <w:name w:val="Comment Text Char"/>
    <w:link w:val="19"/>
    <w:qFormat/>
    <w:uiPriority w:val="99"/>
    <w:rPr>
      <w:rFonts w:eastAsia="等线"/>
      <w:lang w:val="en-GB"/>
    </w:rPr>
  </w:style>
  <w:style w:type="character" w:customStyle="1" w:styleId="56">
    <w:name w:val="NO Char"/>
    <w:link w:val="57"/>
    <w:qFormat/>
    <w:locked/>
    <w:uiPriority w:val="0"/>
    <w:rPr>
      <w:lang w:val="en-GB"/>
    </w:rPr>
  </w:style>
  <w:style w:type="paragraph" w:customStyle="1" w:styleId="57">
    <w:name w:val="NO"/>
    <w:basedOn w:val="1"/>
    <w:link w:val="56"/>
    <w:qFormat/>
    <w:uiPriority w:val="0"/>
    <w:pPr>
      <w:keepLines/>
      <w:ind w:left="1135" w:hanging="851"/>
    </w:pPr>
  </w:style>
  <w:style w:type="character" w:customStyle="1" w:styleId="58">
    <w:name w:val="B1 Char1"/>
    <w:qFormat/>
    <w:locked/>
    <w:uiPriority w:val="0"/>
    <w:rPr>
      <w:lang w:eastAsia="en-US"/>
    </w:rPr>
  </w:style>
  <w:style w:type="character" w:customStyle="1" w:styleId="59">
    <w:name w:val="B1 Char"/>
    <w:qFormat/>
    <w:uiPriority w:val="0"/>
    <w:rPr>
      <w:rFonts w:ascii="Times New Roman" w:hAnsi="Times New Roman" w:eastAsia="Times New Roman"/>
    </w:rPr>
  </w:style>
  <w:style w:type="character" w:customStyle="1" w:styleId="60">
    <w:name w:val="TAL Car"/>
    <w:link w:val="61"/>
    <w:qFormat/>
    <w:uiPriority w:val="0"/>
    <w:rPr>
      <w:rFonts w:ascii="Arial" w:hAnsi="Arial"/>
      <w:sz w:val="18"/>
      <w:lang w:val="en-GB"/>
    </w:rPr>
  </w:style>
  <w:style w:type="paragraph" w:customStyle="1" w:styleId="61">
    <w:name w:val="TAL"/>
    <w:basedOn w:val="1"/>
    <w:link w:val="60"/>
    <w:qFormat/>
    <w:uiPriority w:val="0"/>
    <w:pPr>
      <w:keepNext/>
      <w:keepLines/>
      <w:spacing w:after="0"/>
    </w:pPr>
    <w:rPr>
      <w:rFonts w:ascii="Arial" w:hAnsi="Arial"/>
      <w:sz w:val="18"/>
    </w:rPr>
  </w:style>
  <w:style w:type="character" w:customStyle="1" w:styleId="62">
    <w:name w:val="TAC Char"/>
    <w:link w:val="63"/>
    <w:qFormat/>
    <w:uiPriority w:val="0"/>
    <w:rPr>
      <w:rFonts w:ascii="Arial" w:hAnsi="Arial"/>
      <w:sz w:val="18"/>
      <w:lang w:val="en-GB"/>
    </w:rPr>
  </w:style>
  <w:style w:type="paragraph" w:customStyle="1" w:styleId="63">
    <w:name w:val="TAC"/>
    <w:basedOn w:val="61"/>
    <w:link w:val="62"/>
    <w:qFormat/>
    <w:uiPriority w:val="0"/>
    <w:pPr>
      <w:jc w:val="center"/>
    </w:pPr>
  </w:style>
  <w:style w:type="character" w:customStyle="1" w:styleId="64">
    <w:name w:val="Unresolved Mention1"/>
    <w:unhideWhenUsed/>
    <w:qFormat/>
    <w:uiPriority w:val="99"/>
    <w:rPr>
      <w:color w:val="605E5C"/>
      <w:shd w:val="clear" w:color="auto" w:fill="E1DFDD"/>
    </w:rPr>
  </w:style>
  <w:style w:type="character" w:customStyle="1" w:styleId="65">
    <w:name w:val="EmailDiscussion Char"/>
    <w:link w:val="66"/>
    <w:qFormat/>
    <w:uiPriority w:val="0"/>
    <w:rPr>
      <w:rFonts w:ascii="Arial" w:hAnsi="Arial" w:eastAsia="MS Mincho"/>
      <w:b/>
      <w:szCs w:val="24"/>
      <w:lang w:val="en-GB" w:eastAsia="en-GB"/>
    </w:rPr>
  </w:style>
  <w:style w:type="paragraph" w:customStyle="1" w:styleId="66">
    <w:name w:val="EmailDiscussion"/>
    <w:basedOn w:val="1"/>
    <w:next w:val="67"/>
    <w:link w:val="65"/>
    <w:qFormat/>
    <w:uiPriority w:val="0"/>
    <w:pPr>
      <w:numPr>
        <w:ilvl w:val="0"/>
        <w:numId w:val="3"/>
      </w:numPr>
      <w:spacing w:before="40" w:after="0"/>
    </w:pPr>
    <w:rPr>
      <w:rFonts w:ascii="Arial" w:hAnsi="Arial" w:eastAsia="MS Mincho"/>
      <w:b/>
      <w:szCs w:val="24"/>
      <w:lang w:eastAsia="en-GB"/>
    </w:rPr>
  </w:style>
  <w:style w:type="paragraph" w:customStyle="1" w:styleId="67">
    <w:name w:val="EmailDiscussion2"/>
    <w:basedOn w:val="45"/>
    <w:qFormat/>
    <w:uiPriority w:val="99"/>
  </w:style>
  <w:style w:type="paragraph" w:customStyle="1" w:styleId="68">
    <w:name w:val="Guidance"/>
    <w:basedOn w:val="1"/>
    <w:qFormat/>
    <w:uiPriority w:val="0"/>
    <w:rPr>
      <w:i/>
      <w:color w:val="0000FF"/>
    </w:rPr>
  </w:style>
  <w:style w:type="paragraph" w:customStyle="1" w:styleId="69">
    <w:name w:val="ZTD"/>
    <w:basedOn w:val="70"/>
    <w:qFormat/>
    <w:uiPriority w:val="0"/>
    <w:pPr>
      <w:framePr w:hRule="auto" w:y="852"/>
    </w:pPr>
    <w:rPr>
      <w:i w:val="0"/>
      <w:sz w:val="40"/>
    </w:rPr>
  </w:style>
  <w:style w:type="paragraph" w:customStyle="1" w:styleId="70">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1">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72">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3">
    <w:name w:val="Editor's Note"/>
    <w:basedOn w:val="57"/>
    <w:qFormat/>
    <w:uiPriority w:val="0"/>
    <w:rPr>
      <w:color w:val="FF0000"/>
    </w:rPr>
  </w:style>
  <w:style w:type="paragraph" w:customStyle="1" w:styleId="74">
    <w:name w:val="NW"/>
    <w:basedOn w:val="57"/>
    <w:qFormat/>
    <w:uiPriority w:val="0"/>
    <w:pPr>
      <w:spacing w:after="0"/>
    </w:pPr>
  </w:style>
  <w:style w:type="paragraph" w:customStyle="1" w:styleId="75">
    <w:name w:val="EX"/>
    <w:basedOn w:val="1"/>
    <w:qFormat/>
    <w:uiPriority w:val="0"/>
    <w:pPr>
      <w:keepLines/>
      <w:ind w:left="1702" w:hanging="1418"/>
    </w:pPr>
  </w:style>
  <w:style w:type="paragraph" w:customStyle="1" w:styleId="76">
    <w:name w:val="NF"/>
    <w:basedOn w:val="57"/>
    <w:qFormat/>
    <w:uiPriority w:val="0"/>
    <w:pPr>
      <w:keepNext/>
      <w:spacing w:after="0"/>
    </w:pPr>
    <w:rPr>
      <w:rFonts w:ascii="Arial" w:hAnsi="Arial"/>
      <w:sz w:val="18"/>
    </w:rPr>
  </w:style>
  <w:style w:type="paragraph" w:customStyle="1" w:styleId="77">
    <w:name w:val="EQ"/>
    <w:basedOn w:val="1"/>
    <w:next w:val="1"/>
    <w:qFormat/>
    <w:uiPriority w:val="0"/>
    <w:pPr>
      <w:keepLines/>
      <w:tabs>
        <w:tab w:val="center" w:pos="4536"/>
        <w:tab w:val="right" w:pos="9072"/>
      </w:tabs>
    </w:pPr>
    <w:rPr>
      <w:lang w:eastAsia="en-GB"/>
    </w:rPr>
  </w:style>
  <w:style w:type="paragraph" w:customStyle="1" w:styleId="78">
    <w:name w:val="TAJ"/>
    <w:basedOn w:val="52"/>
    <w:qFormat/>
    <w:uiPriority w:val="0"/>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81">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2">
    <w:name w:val="B5"/>
    <w:basedOn w:val="1"/>
    <w:qFormat/>
    <w:uiPriority w:val="0"/>
    <w:pPr>
      <w:ind w:left="1702" w:hanging="284"/>
    </w:pPr>
  </w:style>
  <w:style w:type="paragraph" w:customStyle="1" w:styleId="83">
    <w:name w:val="B2"/>
    <w:basedOn w:val="1"/>
    <w:link w:val="104"/>
    <w:qFormat/>
    <w:uiPriority w:val="0"/>
    <w:pPr>
      <w:ind w:left="851" w:hanging="284"/>
    </w:pPr>
  </w:style>
  <w:style w:type="paragraph" w:customStyle="1" w:styleId="84">
    <w:name w:val="TT"/>
    <w:basedOn w:val="2"/>
    <w:next w:val="1"/>
    <w:qFormat/>
    <w:uiPriority w:val="0"/>
    <w:pPr>
      <w:outlineLvl w:val="9"/>
    </w:pPr>
  </w:style>
  <w:style w:type="paragraph" w:customStyle="1" w:styleId="8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6">
    <w:name w:val="ZV"/>
    <w:basedOn w:val="79"/>
    <w:qFormat/>
    <w:uiPriority w:val="0"/>
    <w:pPr>
      <w:framePr w:y="16161"/>
    </w:pPr>
  </w:style>
  <w:style w:type="paragraph" w:customStyle="1" w:styleId="87">
    <w:name w:val="B3"/>
    <w:basedOn w:val="1"/>
    <w:qFormat/>
    <w:uiPriority w:val="0"/>
    <w:pPr>
      <w:ind w:left="1135" w:hanging="284"/>
    </w:pPr>
  </w:style>
  <w:style w:type="paragraph" w:customStyle="1" w:styleId="8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9">
    <w:name w:val="TAR"/>
    <w:basedOn w:val="61"/>
    <w:qFormat/>
    <w:uiPriority w:val="0"/>
    <w:pPr>
      <w:jc w:val="right"/>
    </w:pPr>
  </w:style>
  <w:style w:type="paragraph" w:customStyle="1" w:styleId="90">
    <w:name w:val="TAN"/>
    <w:basedOn w:val="61"/>
    <w:qFormat/>
    <w:uiPriority w:val="0"/>
    <w:pPr>
      <w:ind w:left="851" w:hanging="851"/>
    </w:pPr>
  </w:style>
  <w:style w:type="paragraph" w:customStyle="1" w:styleId="91">
    <w:name w:val="TAH"/>
    <w:basedOn w:val="63"/>
    <w:qFormat/>
    <w:uiPriority w:val="0"/>
    <w:rPr>
      <w:b/>
    </w:rPr>
  </w:style>
  <w:style w:type="paragraph" w:customStyle="1" w:styleId="92">
    <w:name w:val="B4"/>
    <w:basedOn w:val="1"/>
    <w:qFormat/>
    <w:uiPriority w:val="0"/>
    <w:pPr>
      <w:ind w:left="1418" w:hanging="284"/>
    </w:pPr>
  </w:style>
  <w:style w:type="paragraph" w:customStyle="1" w:styleId="93">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4">
    <w:name w:val="EW"/>
    <w:basedOn w:val="75"/>
    <w:qFormat/>
    <w:uiPriority w:val="0"/>
    <w:pPr>
      <w:spacing w:after="0"/>
    </w:pPr>
  </w:style>
  <w:style w:type="paragraph" w:customStyle="1" w:styleId="95">
    <w:name w:val="FP"/>
    <w:basedOn w:val="1"/>
    <w:qFormat/>
    <w:uiPriority w:val="0"/>
    <w:pPr>
      <w:spacing w:after="0"/>
    </w:pPr>
  </w:style>
  <w:style w:type="paragraph" w:customStyle="1" w:styleId="96">
    <w:name w:val="DocInfo"/>
    <w:basedOn w:val="1"/>
    <w:qFormat/>
    <w:uiPriority w:val="0"/>
    <w:pPr>
      <w:tabs>
        <w:tab w:val="left" w:pos="2160"/>
      </w:tabs>
      <w:spacing w:before="120" w:after="120"/>
    </w:pPr>
    <w:rPr>
      <w:sz w:val="28"/>
      <w:szCs w:val="28"/>
    </w:rPr>
  </w:style>
  <w:style w:type="paragraph" w:customStyle="1" w:styleId="97">
    <w:name w:val="Agreement"/>
    <w:basedOn w:val="1"/>
    <w:next w:val="45"/>
    <w:qFormat/>
    <w:uiPriority w:val="99"/>
    <w:pPr>
      <w:numPr>
        <w:ilvl w:val="0"/>
        <w:numId w:val="4"/>
      </w:numPr>
      <w:spacing w:before="60" w:after="0"/>
    </w:pPr>
    <w:rPr>
      <w:rFonts w:ascii="Arial" w:hAnsi="Arial" w:eastAsia="MS Mincho"/>
      <w:b/>
      <w:szCs w:val="24"/>
      <w:lang w:eastAsia="en-GB"/>
    </w:rPr>
  </w:style>
  <w:style w:type="paragraph" w:customStyle="1" w:styleId="9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table" w:customStyle="1" w:styleId="99">
    <w:name w:val="Grid Table 1 Light1"/>
    <w:basedOn w:val="3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00">
    <w:name w:val="列表段落 字符"/>
    <w:qFormat/>
    <w:locked/>
    <w:uiPriority w:val="34"/>
    <w:rPr>
      <w:lang w:val="en-GB"/>
    </w:rPr>
  </w:style>
  <w:style w:type="character" w:customStyle="1" w:styleId="101">
    <w:name w:val="Comment Subject Char"/>
    <w:link w:val="29"/>
    <w:qFormat/>
    <w:uiPriority w:val="0"/>
    <w:rPr>
      <w:rFonts w:eastAsia="等线"/>
      <w:b/>
      <w:bCs/>
      <w:lang w:val="en-GB" w:eastAsia="en-US"/>
    </w:rPr>
  </w:style>
  <w:style w:type="paragraph" w:customStyle="1" w:styleId="102">
    <w:name w:val="List Paragraph3"/>
    <w:basedOn w:val="1"/>
    <w:qFormat/>
    <w:uiPriority w:val="0"/>
    <w:pPr>
      <w:spacing w:before="100" w:beforeAutospacing="1"/>
      <w:ind w:left="720"/>
      <w:contextualSpacing/>
    </w:pPr>
    <w:rPr>
      <w:sz w:val="24"/>
      <w:szCs w:val="24"/>
      <w:lang w:val="en-US" w:eastAsia="zh-CN"/>
    </w:rPr>
  </w:style>
  <w:style w:type="paragraph" w:customStyle="1" w:styleId="103">
    <w:name w:val="List Paragraph1"/>
    <w:basedOn w:val="1"/>
    <w:qFormat/>
    <w:uiPriority w:val="0"/>
    <w:pPr>
      <w:spacing w:before="100" w:beforeAutospacing="1"/>
      <w:ind w:left="720"/>
      <w:contextualSpacing/>
    </w:pPr>
    <w:rPr>
      <w:sz w:val="24"/>
      <w:szCs w:val="24"/>
      <w:lang w:val="en-US" w:eastAsia="zh-CN"/>
    </w:rPr>
  </w:style>
  <w:style w:type="character" w:customStyle="1" w:styleId="104">
    <w:name w:val="B2 Char"/>
    <w:link w:val="83"/>
    <w:qFormat/>
    <w:locked/>
    <w:uiPriority w:val="0"/>
    <w:rPr>
      <w:lang w:eastAsia="en-US"/>
    </w:rPr>
  </w:style>
  <w:style w:type="character" w:customStyle="1" w:styleId="105">
    <w:name w:val="Body Text Char"/>
    <w:basedOn w:val="32"/>
    <w:link w:val="20"/>
    <w:qFormat/>
    <w:uiPriority w:val="0"/>
    <w:rPr>
      <w:lang w:eastAsia="en-US"/>
    </w:rPr>
  </w:style>
  <w:style w:type="character" w:customStyle="1" w:styleId="106">
    <w:name w:val="apple-converted-space"/>
    <w:basedOn w:val="32"/>
    <w:qFormat/>
    <w:uiPriority w:val="0"/>
  </w:style>
  <w:style w:type="paragraph" w:customStyle="1" w:styleId="107">
    <w:name w:val="修订1"/>
    <w:hidden/>
    <w:semiHidden/>
    <w:qFormat/>
    <w:uiPriority w:val="99"/>
    <w:rPr>
      <w:rFonts w:ascii="Times New Roman" w:hAnsi="Times New Roman" w:eastAsia="宋体" w:cs="Times New Roman"/>
      <w:lang w:val="en-GB" w:eastAsia="en-US" w:bidi="ar-SA"/>
    </w:rPr>
  </w:style>
  <w:style w:type="paragraph" w:customStyle="1" w:styleId="108">
    <w:name w:val="Revision"/>
    <w:hidden/>
    <w:semiHidden/>
    <w:qFormat/>
    <w:uiPriority w:val="99"/>
    <w:rPr>
      <w:rFonts w:ascii="Times New Roman" w:hAnsi="Times New Roman" w:eastAsia="宋体" w:cs="Times New Roman"/>
      <w:lang w:val="en-GB" w:eastAsia="en-US" w:bidi="ar-SA"/>
    </w:rPr>
  </w:style>
  <w:style w:type="character" w:customStyle="1" w:styleId="109">
    <w:name w:val="normaltextrun"/>
    <w:basedOn w:val="32"/>
    <w:qFormat/>
    <w:uiPriority w:val="0"/>
  </w:style>
  <w:style w:type="paragraph" w:customStyle="1" w:styleId="110">
    <w:name w:val="paragraph"/>
    <w:basedOn w:val="1"/>
    <w:qFormat/>
    <w:uiPriority w:val="99"/>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111">
    <w:name w:val="eop"/>
    <w:qFormat/>
    <w:uiPriority w:val="0"/>
  </w:style>
  <w:style w:type="paragraph" w:customStyle="1" w:styleId="112">
    <w:name w:val="First Change"/>
    <w:basedOn w:val="1"/>
    <w:qFormat/>
    <w:uiPriority w:val="0"/>
    <w:pPr>
      <w:jc w:val="center"/>
    </w:pPr>
    <w:rPr>
      <w:color w:val="FF0000"/>
    </w:rPr>
  </w:style>
  <w:style w:type="paragraph" w:customStyle="1" w:styleId="113">
    <w:name w:val="Reference"/>
    <w:basedOn w:val="20"/>
    <w:qFormat/>
    <w:uiPriority w:val="0"/>
    <w:pPr>
      <w:numPr>
        <w:ilvl w:val="0"/>
        <w:numId w:val="5"/>
      </w:numPr>
      <w:tabs>
        <w:tab w:val="clear" w:pos="567"/>
      </w:tabs>
      <w:overflowPunct w:val="0"/>
      <w:autoSpaceDE w:val="0"/>
      <w:autoSpaceDN w:val="0"/>
      <w:adjustRightInd w:val="0"/>
      <w:spacing w:line="240" w:lineRule="auto"/>
      <w:ind w:left="432" w:hanging="432"/>
      <w:jc w:val="both"/>
      <w:textAlignment w:val="baseline"/>
    </w:pPr>
    <w:rPr>
      <w:rFonts w:ascii="Arial" w:hAnsi="Arial" w:eastAsia="等线"/>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D4793-2B15-4AA9-9393-3CB65633672E}">
  <ds:schemaRefs/>
</ds:datastoreItem>
</file>

<file path=customXml/itemProps3.xml><?xml version="1.0" encoding="utf-8"?>
<ds:datastoreItem xmlns:ds="http://schemas.openxmlformats.org/officeDocument/2006/customXml" ds:itemID="{2F1DE2B2-46E3-4686-BE21-C88CAA9FBE5E}">
  <ds:schemaRefs/>
</ds:datastoreItem>
</file>

<file path=customXml/itemProps4.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TDoc.dot</Template>
  <Pages>13</Pages>
  <Words>4318</Words>
  <Characters>24617</Characters>
  <Lines>205</Lines>
  <Paragraphs>57</Paragraphs>
  <TotalTime>5</TotalTime>
  <ScaleCrop>false</ScaleCrop>
  <LinksUpToDate>false</LinksUpToDate>
  <CharactersWithSpaces>28878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2022-05-16T14:35:00Z</dcterms:created>
  <dc:creator>Nokia</dc:creator>
  <cp:lastModifiedBy>LYS</cp:lastModifiedBy>
  <dcterms:modified xsi:type="dcterms:W3CDTF">2022-05-17T05:48:06Z</dcterms:modified>
  <dc:subject>&lt;Title 1; Title 2&gt; (Release 13 |12 |11 | 10 | 9 | 8 | 7 | 6 | 5 | 4)</dc:subject>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2052-11.8.2.10393</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