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1"/>
      </w:pPr>
      <w:r>
        <w:t xml:space="preserve">Phase 1: </w:t>
      </w:r>
      <w:r w:rsidR="006973BC">
        <w:t>Discussion</w:t>
      </w:r>
    </w:p>
    <w:p w14:paraId="0C7BDF70" w14:textId="267F0147" w:rsidR="006072AC" w:rsidRDefault="006072AC" w:rsidP="00BF5D99">
      <w:pPr>
        <w:pStyle w:val="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ab"/>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30"/>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ab"/>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rFonts w:hint="eastAsia"/>
                <w:lang w:eastAsia="zh-CN"/>
              </w:rPr>
            </w:pPr>
            <w:r>
              <w:rPr>
                <w:rFonts w:hint="eastAsia"/>
                <w:lang w:eastAsia="zh-CN"/>
              </w:rPr>
              <w:t>H</w:t>
            </w:r>
            <w:r>
              <w:rPr>
                <w:lang w:eastAsia="zh-CN"/>
              </w:rPr>
              <w:t>uawei, HiSilicon</w:t>
            </w:r>
          </w:p>
        </w:tc>
        <w:tc>
          <w:tcPr>
            <w:tcW w:w="1890" w:type="dxa"/>
          </w:tcPr>
          <w:p w14:paraId="116E8C5E" w14:textId="30D4BB02" w:rsidR="001C3B9E" w:rsidRDefault="00AB42C7" w:rsidP="00AB42C7">
            <w:pPr>
              <w:rPr>
                <w:rFonts w:hint="eastAsia"/>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rFonts w:hint="eastAsia"/>
                <w:lang w:eastAsia="zh-CN"/>
              </w:rPr>
            </w:pPr>
            <w:r>
              <w:rPr>
                <w:lang w:eastAsia="zh-CN"/>
              </w:rPr>
              <w:t>The “</w:t>
            </w:r>
            <w:r w:rsidRPr="005C624F">
              <w:t>RRC identifier</w:t>
            </w:r>
            <w:r>
              <w:rPr>
                <w:lang w:eastAsia="zh-CN"/>
              </w:rPr>
              <w:t>” has been used in other places for NR QoE, so it is ok to have it. No strong view on the other change.</w:t>
            </w:r>
          </w:p>
        </w:tc>
      </w:tr>
      <w:tr w:rsidR="001C3B9E" w14:paraId="5C23DD99" w14:textId="77777777" w:rsidTr="000D75CF">
        <w:tc>
          <w:tcPr>
            <w:tcW w:w="2425" w:type="dxa"/>
          </w:tcPr>
          <w:p w14:paraId="36521CA7" w14:textId="77777777" w:rsidR="001C3B9E" w:rsidRDefault="001C3B9E" w:rsidP="000D75CF"/>
        </w:tc>
        <w:tc>
          <w:tcPr>
            <w:tcW w:w="1890" w:type="dxa"/>
          </w:tcPr>
          <w:p w14:paraId="07220C10" w14:textId="77777777" w:rsidR="001C3B9E" w:rsidRDefault="001C3B9E" w:rsidP="000D75CF"/>
        </w:tc>
        <w:tc>
          <w:tcPr>
            <w:tcW w:w="5316" w:type="dxa"/>
          </w:tcPr>
          <w:p w14:paraId="403569AD" w14:textId="77777777" w:rsidR="001C3B9E" w:rsidRDefault="001C3B9E" w:rsidP="000D75CF"/>
        </w:tc>
      </w:tr>
      <w:tr w:rsidR="001C3B9E" w14:paraId="3D5D6004" w14:textId="77777777" w:rsidTr="000D75CF">
        <w:tc>
          <w:tcPr>
            <w:tcW w:w="2425" w:type="dxa"/>
          </w:tcPr>
          <w:p w14:paraId="66F928EC" w14:textId="77777777" w:rsidR="001C3B9E" w:rsidRDefault="001C3B9E" w:rsidP="000D75CF"/>
        </w:tc>
        <w:tc>
          <w:tcPr>
            <w:tcW w:w="1890" w:type="dxa"/>
          </w:tcPr>
          <w:p w14:paraId="7FA3C69D" w14:textId="77777777" w:rsidR="001C3B9E" w:rsidRDefault="001C3B9E" w:rsidP="000D75CF"/>
        </w:tc>
        <w:tc>
          <w:tcPr>
            <w:tcW w:w="5316" w:type="dxa"/>
          </w:tcPr>
          <w:p w14:paraId="49076FEB" w14:textId="77777777" w:rsidR="001C3B9E" w:rsidRDefault="001C3B9E" w:rsidP="000D75CF"/>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2"/>
      </w:pPr>
      <w:r w:rsidRPr="007A0580">
        <w:lastRenderedPageBreak/>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30"/>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5" w:author="R2-2205943" w:date="2022-05-12T16:11:00Z">
              <w:r w:rsidRPr="007A0580">
                <w:rPr>
                  <w:lang w:eastAsia="zh-CN"/>
                </w:rPr>
                <w:t>pause/resume reporting of one or multiple QoE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ab"/>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Huawei, HiSilicon</w:t>
            </w:r>
          </w:p>
        </w:tc>
        <w:tc>
          <w:tcPr>
            <w:tcW w:w="1890" w:type="dxa"/>
          </w:tcPr>
          <w:p w14:paraId="7B1BEE7B" w14:textId="49AD8A4E" w:rsidR="00AE3A9C" w:rsidRDefault="00AB42C7" w:rsidP="000D75CF">
            <w:pPr>
              <w:rPr>
                <w:rFonts w:hint="eastAsia"/>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rFonts w:hint="eastAsia"/>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77777777" w:rsidR="00AE3A9C" w:rsidRDefault="00AE3A9C" w:rsidP="000D75CF"/>
        </w:tc>
        <w:tc>
          <w:tcPr>
            <w:tcW w:w="1890" w:type="dxa"/>
          </w:tcPr>
          <w:p w14:paraId="0B87F973" w14:textId="77777777" w:rsidR="00AE3A9C" w:rsidRDefault="00AE3A9C" w:rsidP="000D75CF"/>
        </w:tc>
        <w:tc>
          <w:tcPr>
            <w:tcW w:w="5316" w:type="dxa"/>
          </w:tcPr>
          <w:p w14:paraId="7A796706" w14:textId="77777777" w:rsidR="00AE3A9C" w:rsidRDefault="00AE3A9C" w:rsidP="000D75CF"/>
        </w:tc>
      </w:tr>
      <w:tr w:rsidR="00AE3A9C" w14:paraId="049F7CED" w14:textId="77777777" w:rsidTr="000D75CF">
        <w:tc>
          <w:tcPr>
            <w:tcW w:w="2425" w:type="dxa"/>
          </w:tcPr>
          <w:p w14:paraId="1FD48EF1" w14:textId="77777777" w:rsidR="00AE3A9C" w:rsidRDefault="00AE3A9C" w:rsidP="000D75CF"/>
        </w:tc>
        <w:tc>
          <w:tcPr>
            <w:tcW w:w="1890" w:type="dxa"/>
          </w:tcPr>
          <w:p w14:paraId="387C703E" w14:textId="77777777" w:rsidR="00AE3A9C" w:rsidRDefault="00AE3A9C" w:rsidP="000D75CF"/>
        </w:tc>
        <w:tc>
          <w:tcPr>
            <w:tcW w:w="5316" w:type="dxa"/>
          </w:tcPr>
          <w:p w14:paraId="18EAD94F" w14:textId="77777777" w:rsidR="00AE3A9C" w:rsidRDefault="00AE3A9C" w:rsidP="000D75CF"/>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ab"/>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2"/>
              <w:numPr>
                <w:ilvl w:val="0"/>
                <w:numId w:val="0"/>
              </w:numPr>
              <w:ind w:left="576" w:hanging="576"/>
            </w:pPr>
            <w:r>
              <w:lastRenderedPageBreak/>
              <w:t>21.4</w:t>
            </w:r>
            <w:r>
              <w:tab/>
            </w:r>
            <w:r w:rsidRPr="005646BD">
              <w:t>RAN Visible QoE Measurements</w:t>
            </w:r>
          </w:p>
          <w:p w14:paraId="5D8C14CB" w14:textId="77777777" w:rsidR="007C2F1A" w:rsidRDefault="007A0580">
            <w:pPr>
              <w:pPrChange w:id="8"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9"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rFonts w:hint="eastAsia"/>
                <w:lang w:eastAsia="zh-CN"/>
              </w:rPr>
            </w:pPr>
            <w:r>
              <w:rPr>
                <w:rFonts w:hint="eastAsia"/>
                <w:lang w:eastAsia="zh-CN"/>
              </w:rPr>
              <w:t>H</w:t>
            </w:r>
            <w:r>
              <w:rPr>
                <w:lang w:eastAsia="zh-CN"/>
              </w:rPr>
              <w:t>ua</w:t>
            </w:r>
            <w:r>
              <w:rPr>
                <w:rFonts w:hint="eastAsia"/>
                <w:lang w:eastAsia="zh-CN"/>
              </w:rPr>
              <w:t>w</w:t>
            </w:r>
            <w:r>
              <w:rPr>
                <w:lang w:eastAsia="zh-CN"/>
              </w:rPr>
              <w:t>ei, HiSilicon</w:t>
            </w:r>
          </w:p>
        </w:tc>
        <w:tc>
          <w:tcPr>
            <w:tcW w:w="1890" w:type="dxa"/>
          </w:tcPr>
          <w:p w14:paraId="235D76BD" w14:textId="570A69B7" w:rsidR="00AE3A9C" w:rsidRDefault="00A768C4" w:rsidP="000D75CF">
            <w:pPr>
              <w:rPr>
                <w:rFonts w:hint="eastAsia"/>
                <w:lang w:eastAsia="zh-CN"/>
              </w:rPr>
            </w:pPr>
            <w:r>
              <w:rPr>
                <w:rFonts w:hint="eastAsia"/>
                <w:lang w:eastAsia="zh-CN"/>
              </w:rPr>
              <w:t>L</w:t>
            </w:r>
            <w:r>
              <w:rPr>
                <w:lang w:eastAsia="zh-CN"/>
              </w:rPr>
              <w:t>eave the “RAN visible QoE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We re-checked the text “RAN visible QoE values”. At RAN3#115-e meeting, there were some agreements on QoE values:</w:t>
            </w:r>
          </w:p>
          <w:p w14:paraId="097898E3" w14:textId="77777777" w:rsidR="0087605B" w:rsidRDefault="0087605B" w:rsidP="0087605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14:paraId="575C42B9" w14:textId="3B4715AB" w:rsidR="0087605B" w:rsidRDefault="0087605B" w:rsidP="000D75CF">
            <w:r>
              <w:rPr>
                <w:rFonts w:cs="Calibri"/>
                <w:color w:val="00B050"/>
                <w:sz w:val="16"/>
                <w:szCs w:val="16"/>
              </w:rPr>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rFonts w:hint="eastAsia"/>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38.300 BL CR for Introduction of QoE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77777777" w:rsidR="00AE3A9C" w:rsidRDefault="00AE3A9C" w:rsidP="000D75CF"/>
        </w:tc>
        <w:tc>
          <w:tcPr>
            <w:tcW w:w="1890" w:type="dxa"/>
          </w:tcPr>
          <w:p w14:paraId="27CDFCF8" w14:textId="77777777" w:rsidR="00AE3A9C" w:rsidRDefault="00AE3A9C" w:rsidP="000D75CF"/>
        </w:tc>
        <w:tc>
          <w:tcPr>
            <w:tcW w:w="5316" w:type="dxa"/>
          </w:tcPr>
          <w:p w14:paraId="246E73E9" w14:textId="77777777" w:rsidR="00AE3A9C" w:rsidRDefault="00AE3A9C" w:rsidP="000D75CF"/>
        </w:tc>
      </w:tr>
      <w:tr w:rsidR="00AE3A9C" w14:paraId="0776FA56" w14:textId="77777777" w:rsidTr="000D75CF">
        <w:tc>
          <w:tcPr>
            <w:tcW w:w="2425" w:type="dxa"/>
          </w:tcPr>
          <w:p w14:paraId="04594F6C" w14:textId="77777777" w:rsidR="00AE3A9C" w:rsidRDefault="00AE3A9C" w:rsidP="000D75CF"/>
        </w:tc>
        <w:tc>
          <w:tcPr>
            <w:tcW w:w="1890" w:type="dxa"/>
          </w:tcPr>
          <w:p w14:paraId="7148976E" w14:textId="77777777" w:rsidR="00AE3A9C" w:rsidRDefault="00AE3A9C" w:rsidP="000D75CF"/>
        </w:tc>
        <w:tc>
          <w:tcPr>
            <w:tcW w:w="5316" w:type="dxa"/>
          </w:tcPr>
          <w:p w14:paraId="08E655D1" w14:textId="77777777" w:rsidR="00AE3A9C" w:rsidRDefault="00AE3A9C" w:rsidP="000D75CF"/>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ab"/>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rFonts w:hint="eastAsia"/>
                <w:lang w:eastAsia="zh-CN"/>
              </w:rPr>
            </w:pPr>
            <w:r>
              <w:rPr>
                <w:rFonts w:hint="eastAsia"/>
                <w:lang w:eastAsia="zh-CN"/>
              </w:rPr>
              <w:t>H</w:t>
            </w:r>
            <w:r>
              <w:rPr>
                <w:lang w:eastAsia="zh-CN"/>
              </w:rPr>
              <w:t>uawei, HiSilicon</w:t>
            </w:r>
          </w:p>
        </w:tc>
        <w:tc>
          <w:tcPr>
            <w:tcW w:w="1890" w:type="dxa"/>
          </w:tcPr>
          <w:p w14:paraId="73053E4E" w14:textId="1934AE14" w:rsidR="00BF374B" w:rsidRDefault="004838C1" w:rsidP="000D75CF">
            <w:pPr>
              <w:rPr>
                <w:rFonts w:hint="eastAsia"/>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rFonts w:hint="eastAsia"/>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77777777" w:rsidR="00BF374B" w:rsidRDefault="00BF374B" w:rsidP="000D75CF"/>
        </w:tc>
        <w:tc>
          <w:tcPr>
            <w:tcW w:w="1890" w:type="dxa"/>
          </w:tcPr>
          <w:p w14:paraId="0CEB4F4E" w14:textId="77777777" w:rsidR="00BF374B" w:rsidRDefault="00BF374B" w:rsidP="000D75CF"/>
        </w:tc>
        <w:tc>
          <w:tcPr>
            <w:tcW w:w="5316" w:type="dxa"/>
          </w:tcPr>
          <w:p w14:paraId="3A4E0D99" w14:textId="77777777" w:rsidR="00BF374B" w:rsidRDefault="00BF374B" w:rsidP="000D75CF"/>
        </w:tc>
      </w:tr>
      <w:tr w:rsidR="00BF374B" w14:paraId="38A5AE13" w14:textId="77777777" w:rsidTr="000D75CF">
        <w:tc>
          <w:tcPr>
            <w:tcW w:w="2425" w:type="dxa"/>
          </w:tcPr>
          <w:p w14:paraId="5D5725A2" w14:textId="77777777" w:rsidR="00BF374B" w:rsidRDefault="00BF374B" w:rsidP="000D75CF"/>
        </w:tc>
        <w:tc>
          <w:tcPr>
            <w:tcW w:w="1890" w:type="dxa"/>
          </w:tcPr>
          <w:p w14:paraId="734BA4B8" w14:textId="77777777" w:rsidR="00BF374B" w:rsidRDefault="00BF374B" w:rsidP="000D75CF"/>
        </w:tc>
        <w:tc>
          <w:tcPr>
            <w:tcW w:w="5316" w:type="dxa"/>
          </w:tcPr>
          <w:p w14:paraId="37FB2420" w14:textId="77777777" w:rsidR="00BF374B" w:rsidRDefault="00BF374B" w:rsidP="000D75CF"/>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ab"/>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ab"/>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lastRenderedPageBreak/>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t>H</w:t>
            </w:r>
            <w:r>
              <w:rPr>
                <w:lang w:eastAsia="zh-CN"/>
              </w:rPr>
              <w:t>uawei, HiSilicon</w:t>
            </w:r>
          </w:p>
        </w:tc>
        <w:tc>
          <w:tcPr>
            <w:tcW w:w="1890" w:type="dxa"/>
          </w:tcPr>
          <w:p w14:paraId="454C546F" w14:textId="2E78705E" w:rsidR="00AE3A9C" w:rsidRDefault="004838C1" w:rsidP="000D75CF">
            <w:pPr>
              <w:rPr>
                <w:rFonts w:hint="eastAsia"/>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rFonts w:hint="eastAsia"/>
                <w:lang w:eastAsia="zh-CN"/>
              </w:rPr>
            </w:pPr>
            <w:r>
              <w:rPr>
                <w:lang w:eastAsia="zh-CN"/>
              </w:rPr>
              <w:t>But also ok with the text in the Rapp CR R2-2204591.</w:t>
            </w:r>
          </w:p>
        </w:tc>
      </w:tr>
      <w:tr w:rsidR="00AE3A9C" w14:paraId="36341189" w14:textId="77777777" w:rsidTr="000D75CF">
        <w:tc>
          <w:tcPr>
            <w:tcW w:w="2425" w:type="dxa"/>
          </w:tcPr>
          <w:p w14:paraId="1C56D2D0" w14:textId="77777777" w:rsidR="00AE3A9C" w:rsidRDefault="00AE3A9C" w:rsidP="000D75CF"/>
        </w:tc>
        <w:tc>
          <w:tcPr>
            <w:tcW w:w="1890" w:type="dxa"/>
          </w:tcPr>
          <w:p w14:paraId="49E241D7" w14:textId="77777777" w:rsidR="00AE3A9C" w:rsidRDefault="00AE3A9C" w:rsidP="000D75CF"/>
        </w:tc>
        <w:tc>
          <w:tcPr>
            <w:tcW w:w="5316" w:type="dxa"/>
          </w:tcPr>
          <w:p w14:paraId="0804AB80" w14:textId="77777777" w:rsidR="00AE3A9C" w:rsidRDefault="00AE3A9C" w:rsidP="000D75CF"/>
        </w:tc>
      </w:tr>
      <w:tr w:rsidR="00AE3A9C" w14:paraId="12479D5A" w14:textId="77777777" w:rsidTr="000D75CF">
        <w:tc>
          <w:tcPr>
            <w:tcW w:w="2425" w:type="dxa"/>
          </w:tcPr>
          <w:p w14:paraId="06918BEA" w14:textId="77777777" w:rsidR="00AE3A9C" w:rsidRDefault="00AE3A9C" w:rsidP="000D75CF"/>
        </w:tc>
        <w:tc>
          <w:tcPr>
            <w:tcW w:w="1890" w:type="dxa"/>
          </w:tcPr>
          <w:p w14:paraId="18B14D01" w14:textId="77777777" w:rsidR="00AE3A9C" w:rsidRDefault="00AE3A9C" w:rsidP="000D75CF"/>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2"/>
      </w:pPr>
      <w:r>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ab"/>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等线" w:hAnsi="Arial"/>
                <w:sz w:val="32"/>
                <w:lang w:eastAsia="ja-JP"/>
              </w:rPr>
              <w:lastRenderedPageBreak/>
              <w:t>3.2</w:t>
            </w:r>
            <w:r w:rsidRPr="00A346C5">
              <w:rPr>
                <w:rFonts w:ascii="Arial" w:eastAsia="等线"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等线"/>
                <w:lang w:eastAsia="ja-JP"/>
              </w:rPr>
            </w:pPr>
            <w:r w:rsidRPr="00A346C5">
              <w:rPr>
                <w:rFonts w:eastAsia="等线"/>
                <w:b/>
                <w:lang w:eastAsia="ja-JP"/>
              </w:rPr>
              <w:t>Numerology</w:t>
            </w:r>
            <w:r w:rsidRPr="00A346C5">
              <w:rPr>
                <w:rFonts w:eastAsia="等线"/>
                <w:lang w:eastAsia="ja-JP"/>
              </w:rPr>
              <w:t xml:space="preserve">: corresponds to one subcarrier spacing in the frequency domain. By scaling a reference subcarrier spacing by an integer </w:t>
            </w:r>
            <w:r w:rsidRPr="00A346C5">
              <w:rPr>
                <w:rFonts w:eastAsia="等线"/>
                <w:i/>
                <w:lang w:eastAsia="ja-JP"/>
              </w:rPr>
              <w:t>N</w:t>
            </w:r>
            <w:r w:rsidRPr="00A346C5">
              <w:rPr>
                <w:rFonts w:eastAsia="等线"/>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等线"/>
                <w:lang w:eastAsia="ja-JP"/>
              </w:rPr>
            </w:pPr>
            <w:ins w:id="27" w:author="R2-2205440" w:date="2022-05-12T17:25:00Z">
              <w:r w:rsidRPr="00A346C5">
                <w:rPr>
                  <w:rFonts w:eastAsia="等线"/>
                  <w:b/>
                  <w:lang w:eastAsia="ja-JP"/>
                </w:rPr>
                <w:t xml:space="preserve">OAM-QoE measurements: </w:t>
              </w:r>
              <w:r w:rsidRPr="00A346C5">
                <w:rPr>
                  <w:rFonts w:eastAsia="等线"/>
                  <w:lang w:eastAsia="ja-JP"/>
                </w:rPr>
                <w:t>UE application layer</w:t>
              </w:r>
              <w:r w:rsidRPr="00A346C5">
                <w:rPr>
                  <w:rFonts w:eastAsia="等线"/>
                  <w:b/>
                  <w:lang w:eastAsia="ja-JP"/>
                </w:rPr>
                <w:t xml:space="preserve"> </w:t>
              </w:r>
              <w:r w:rsidRPr="00A346C5">
                <w:rPr>
                  <w:rFonts w:eastAsia="等线"/>
                  <w:lang w:eastAsia="ja-JP"/>
                </w:rPr>
                <w:t>measurements configured by the OAM for different service type</w:t>
              </w:r>
              <w:r w:rsidRPr="00A346C5">
                <w:rPr>
                  <w:rFonts w:eastAsia="等线" w:hint="eastAsia"/>
                  <w:lang w:eastAsia="zh-CN"/>
                </w:rPr>
                <w:t>s</w:t>
              </w:r>
              <w:r w:rsidRPr="00A346C5">
                <w:rPr>
                  <w:rFonts w:eastAsia="等线"/>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等线"/>
                <w:lang w:eastAsia="ja-JP"/>
              </w:rPr>
            </w:pPr>
            <w:ins w:id="28" w:author="R2-2205440" w:date="2022-05-12T17:25:00Z">
              <w:r w:rsidRPr="00A346C5">
                <w:rPr>
                  <w:rFonts w:eastAsia="等线"/>
                  <w:b/>
                  <w:lang w:eastAsia="ja-JP"/>
                </w:rPr>
                <w:t xml:space="preserve">OAM-QoE report: </w:t>
              </w:r>
              <w:r w:rsidRPr="00A346C5">
                <w:rPr>
                  <w:rFonts w:eastAsia="等线"/>
                  <w:lang w:eastAsia="ja-JP"/>
                </w:rPr>
                <w:t>the result of OAM-QoE measurements</w:t>
              </w:r>
              <w:r w:rsidRPr="00A346C5">
                <w:rPr>
                  <w:rFonts w:eastAsia="等线"/>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lang w:eastAsia="ja-JP"/>
              </w:rPr>
              <w:t>Parent node</w:t>
            </w:r>
            <w:r w:rsidRPr="00A346C5">
              <w:rPr>
                <w:rFonts w:eastAsia="等线"/>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等线"/>
                <w:lang w:eastAsia="ja-JP"/>
              </w:rPr>
            </w:pPr>
            <w:r w:rsidRPr="00A346C5">
              <w:rPr>
                <w:rFonts w:eastAsia="等线"/>
                <w:b/>
                <w:bCs/>
                <w:lang w:eastAsia="ja-JP"/>
              </w:rPr>
              <w:t>PC5 Relay RLC channel</w:t>
            </w:r>
            <w:r w:rsidRPr="00A346C5">
              <w:rPr>
                <w:rFonts w:eastAsia="等线"/>
                <w:lang w:eastAsia="ja-JP"/>
              </w:rPr>
              <w:t>: an RLC channel between L2 U2N Remote UE and L2 U2N Relay UE, which is used to transport packets over PC5 for L2 UE-to-Network Relay</w:t>
            </w:r>
            <w:r w:rsidRPr="00A346C5">
              <w:rPr>
                <w:rFonts w:eastAsia="等线"/>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等线"/>
                <w:bCs/>
                <w:lang w:eastAsia="ja-JP"/>
              </w:rPr>
            </w:pPr>
            <w:r w:rsidRPr="00A346C5">
              <w:rPr>
                <w:rFonts w:eastAsia="等线"/>
                <w:b/>
                <w:lang w:eastAsia="ja-JP"/>
              </w:rPr>
              <w:t>PLMN Cell</w:t>
            </w:r>
            <w:r w:rsidRPr="00A346C5">
              <w:rPr>
                <w:rFonts w:eastAsia="等线"/>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等线"/>
                <w:lang w:eastAsia="ja-JP"/>
              </w:rPr>
            </w:pPr>
            <w:ins w:id="31" w:author="R2-2205440" w:date="2022-05-12T17:25:00Z">
              <w:r w:rsidRPr="00A346C5">
                <w:rPr>
                  <w:rFonts w:eastAsia="等线"/>
                  <w:b/>
                  <w:lang w:eastAsia="ja-JP"/>
                </w:rPr>
                <w:t xml:space="preserve">RAN visible QoE measurements: </w:t>
              </w:r>
              <w:r w:rsidRPr="00A346C5">
                <w:rPr>
                  <w:rFonts w:eastAsia="等线"/>
                  <w:bCs/>
                  <w:lang w:eastAsia="ja-JP"/>
                </w:rPr>
                <w:t xml:space="preserve">a </w:t>
              </w:r>
              <w:r w:rsidRPr="00A346C5">
                <w:rPr>
                  <w:rFonts w:eastAsia="等线"/>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等线"/>
                <w:b/>
                <w:lang w:val="en-US" w:eastAsia="zh-CN"/>
              </w:rPr>
            </w:pPr>
            <w:ins w:id="32" w:author="R2-2205440" w:date="2022-05-12T17:25:00Z">
              <w:r w:rsidRPr="00A346C5">
                <w:rPr>
                  <w:rFonts w:eastAsia="等线"/>
                  <w:b/>
                  <w:lang w:eastAsia="ja-JP"/>
                </w:rPr>
                <w:t xml:space="preserve">RAN visible QoE report: </w:t>
              </w:r>
              <w:r w:rsidRPr="00A346C5">
                <w:rPr>
                  <w:rFonts w:eastAsia="等线"/>
                  <w:bCs/>
                  <w:lang w:eastAsia="ja-JP"/>
                </w:rPr>
                <w:t>the results of RAN Visible</w:t>
              </w:r>
              <w:r w:rsidRPr="00A346C5">
                <w:rPr>
                  <w:rFonts w:eastAsia="等线"/>
                  <w:lang w:eastAsia="ja-JP"/>
                </w:rPr>
                <w:t xml:space="preserve"> QoE measurements, reported from the UE the gNB in RRC format</w:t>
              </w:r>
              <w:r w:rsidRPr="00A346C5">
                <w:rPr>
                  <w:rFonts w:eastAsia="等线"/>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等线"/>
                <w:lang w:eastAsia="ko-KR"/>
              </w:rPr>
            </w:pPr>
            <w:r w:rsidRPr="00A346C5">
              <w:rPr>
                <w:rFonts w:eastAsia="等线"/>
                <w:b/>
                <w:lang w:eastAsia="ko-KR"/>
              </w:rPr>
              <w:t>RedCap UE:</w:t>
            </w:r>
            <w:r w:rsidRPr="00A346C5">
              <w:rPr>
                <w:rFonts w:eastAsia="等线"/>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等线"/>
                <w:bCs/>
                <w:lang w:eastAsia="zh-CN"/>
              </w:rPr>
            </w:pPr>
            <w:r w:rsidRPr="00A346C5">
              <w:rPr>
                <w:rFonts w:eastAsia="等线"/>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等线" w:hAnsi="Arial"/>
                <w:sz w:val="32"/>
                <w:lang w:eastAsia="ja-JP"/>
              </w:rPr>
            </w:pPr>
            <w:bookmarkStart w:id="34" w:name="_Toc76505088"/>
            <w:bookmarkStart w:id="35" w:name="_Toc100782288"/>
            <w:r w:rsidRPr="00BD19E2">
              <w:rPr>
                <w:rFonts w:ascii="Arial" w:eastAsia="等线" w:hAnsi="Arial"/>
                <w:sz w:val="32"/>
                <w:lang w:eastAsia="ja-JP"/>
              </w:rPr>
              <w:t>21.1</w:t>
            </w:r>
            <w:r w:rsidRPr="00BD19E2">
              <w:rPr>
                <w:rFonts w:ascii="Arial" w:eastAsia="等线"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等线"/>
                <w:lang w:eastAsia="ja-JP"/>
              </w:rPr>
            </w:pPr>
            <w:r w:rsidRPr="00BD19E2">
              <w:rPr>
                <w:rFonts w:eastAsia="等线"/>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等线"/>
                <w:lang w:eastAsia="zh-CN"/>
              </w:rPr>
            </w:pPr>
            <w:r w:rsidRPr="00BD19E2">
              <w:rPr>
                <w:rFonts w:eastAsia="等线"/>
                <w:lang w:eastAsia="zh-CN"/>
              </w:rPr>
              <w:t>-</w:t>
            </w:r>
            <w:r w:rsidRPr="00BD19E2">
              <w:rPr>
                <w:rFonts w:eastAsia="等线"/>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等线"/>
                <w:lang w:eastAsia="zh-CN"/>
              </w:rPr>
            </w:pPr>
            <w:r w:rsidRPr="00BD19E2">
              <w:rPr>
                <w:rFonts w:eastAsia="等线"/>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等线" w:hAnsi="Arial"/>
                <w:lang w:eastAsia="zh-CN"/>
              </w:rPr>
            </w:pPr>
            <w:r w:rsidRPr="00BD19E2">
              <w:rPr>
                <w:rFonts w:ascii="Arial" w:eastAsia="等线" w:hAnsi="Arial"/>
                <w:noProof/>
                <w:lang w:eastAsia="zh-CN"/>
              </w:rPr>
              <w:t>NOTE:</w:t>
            </w:r>
            <w:r w:rsidRPr="00BD19E2">
              <w:rPr>
                <w:rFonts w:ascii="Arial" w:eastAsia="等线" w:hAnsi="Arial"/>
                <w:noProof/>
                <w:lang w:eastAsia="zh-CN"/>
              </w:rPr>
              <w:tab/>
              <w:t xml:space="preserve">The naming QoE Measurement is used in NG, Xn, and interfaces between </w:t>
            </w:r>
            <w:ins w:id="36" w:author="R2-2205440" w:date="2022-05-12T17:28:00Z">
              <w:r>
                <w:rPr>
                  <w:rFonts w:ascii="Arial" w:eastAsia="等线" w:hAnsi="Arial"/>
                  <w:noProof/>
                  <w:lang w:eastAsia="zh-CN"/>
                </w:rPr>
                <w:t xml:space="preserve">the </w:t>
              </w:r>
            </w:ins>
            <w:r w:rsidRPr="00BD19E2">
              <w:rPr>
                <w:rFonts w:ascii="Arial" w:eastAsia="等线" w:hAnsi="Arial"/>
                <w:noProof/>
                <w:lang w:eastAsia="zh-CN"/>
              </w:rPr>
              <w:t xml:space="preserve">OAM and </w:t>
            </w:r>
            <w:ins w:id="37" w:author="R2-2205440" w:date="2022-05-12T17:28:00Z">
              <w:r>
                <w:rPr>
                  <w:rFonts w:ascii="Arial" w:eastAsia="等线" w:hAnsi="Arial"/>
                  <w:noProof/>
                  <w:lang w:eastAsia="zh-CN"/>
                </w:rPr>
                <w:t xml:space="preserve">the </w:t>
              </w:r>
            </w:ins>
            <w:del w:id="38" w:author="R2-2205440" w:date="2022-05-12T17:28:00Z">
              <w:r w:rsidRPr="00BD19E2" w:rsidDel="00BD19E2">
                <w:rPr>
                  <w:rFonts w:ascii="Arial" w:eastAsia="等线" w:hAnsi="Arial"/>
                  <w:noProof/>
                  <w:lang w:eastAsia="zh-CN"/>
                </w:rPr>
                <w:delText>RAN</w:delText>
              </w:r>
            </w:del>
            <w:ins w:id="39" w:author="R2-2205440" w:date="2022-05-12T17:28:00Z">
              <w:r>
                <w:rPr>
                  <w:rFonts w:ascii="Arial" w:eastAsia="等线" w:hAnsi="Arial"/>
                  <w:noProof/>
                  <w:lang w:eastAsia="zh-CN"/>
                </w:rPr>
                <w:t>gNB</w:t>
              </w:r>
            </w:ins>
            <w:r w:rsidRPr="00BD19E2">
              <w:rPr>
                <w:rFonts w:ascii="Arial" w:eastAsia="等线"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等线"/>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ab"/>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OAM-QoE measurements: </w:t>
            </w:r>
            <w:r w:rsidRPr="00AA6DD1">
              <w:rPr>
                <w:rFonts w:eastAsia="等线"/>
                <w:strike/>
                <w:color w:val="FF0000"/>
                <w:lang w:eastAsia="ja-JP"/>
              </w:rPr>
              <w:t xml:space="preserve">UE </w:t>
            </w:r>
            <w:r w:rsidRPr="00AA6DD1">
              <w:rPr>
                <w:rFonts w:eastAsia="等线"/>
                <w:color w:val="4472C4" w:themeColor="accent1"/>
                <w:u w:val="single"/>
                <w:lang w:eastAsia="ja-JP"/>
              </w:rPr>
              <w:t xml:space="preserve">the </w:t>
            </w:r>
            <w:r w:rsidRPr="00AA6DD1">
              <w:rPr>
                <w:rFonts w:eastAsia="等线"/>
                <w:color w:val="385623" w:themeColor="accent6" w:themeShade="80"/>
                <w:lang w:eastAsia="ja-JP"/>
              </w:rPr>
              <w:t>application layer</w:t>
            </w:r>
            <w:r w:rsidRPr="00AA6DD1">
              <w:rPr>
                <w:rFonts w:eastAsia="等线"/>
                <w:b/>
                <w:color w:val="385623" w:themeColor="accent6" w:themeShade="80"/>
                <w:lang w:eastAsia="ja-JP"/>
              </w:rPr>
              <w:t xml:space="preserve"> </w:t>
            </w:r>
            <w:r w:rsidRPr="00AA6DD1">
              <w:rPr>
                <w:rFonts w:eastAsia="等线"/>
                <w:color w:val="385623" w:themeColor="accent6" w:themeShade="80"/>
                <w:lang w:eastAsia="ja-JP"/>
              </w:rPr>
              <w:t>measurements configured by the OAM for different service type</w:t>
            </w:r>
            <w:r w:rsidRPr="00AA6DD1">
              <w:rPr>
                <w:rFonts w:eastAsia="等线" w:hint="eastAsia"/>
                <w:color w:val="385623" w:themeColor="accent6" w:themeShade="80"/>
                <w:lang w:eastAsia="zh-CN"/>
              </w:rPr>
              <w:t>s</w:t>
            </w:r>
            <w:r w:rsidRPr="00AA6DD1">
              <w:rPr>
                <w:rFonts w:eastAsia="等线"/>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OAM-QoE report: </w:t>
            </w:r>
            <w:r w:rsidRPr="00AA6DD1">
              <w:rPr>
                <w:rFonts w:eastAsia="等线"/>
                <w:color w:val="385623" w:themeColor="accent6" w:themeShade="80"/>
                <w:lang w:eastAsia="ja-JP"/>
              </w:rPr>
              <w:t>the result of OAM-QoE measurements</w:t>
            </w:r>
            <w:r>
              <w:rPr>
                <w:rFonts w:eastAsia="等线"/>
                <w:color w:val="4472C4" w:themeColor="accent1"/>
                <w:u w:val="single"/>
                <w:lang w:eastAsia="zh-CN"/>
              </w:rPr>
              <w:t>, which is to be reported to the MCE</w:t>
            </w:r>
            <w:r w:rsidRPr="00AA6DD1">
              <w:rPr>
                <w:rFonts w:eastAsia="等线"/>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等线"/>
                <w:color w:val="385623" w:themeColor="accent6" w:themeShade="80"/>
                <w:lang w:eastAsia="ja-JP"/>
              </w:rPr>
            </w:pPr>
            <w:r w:rsidRPr="00AA6DD1">
              <w:rPr>
                <w:rFonts w:eastAsia="等线"/>
                <w:b/>
                <w:color w:val="385623" w:themeColor="accent6" w:themeShade="80"/>
                <w:lang w:eastAsia="ja-JP"/>
              </w:rPr>
              <w:t xml:space="preserve">RAN visible QoE measurements: </w:t>
            </w:r>
            <w:r w:rsidRPr="00AA6DD1">
              <w:rPr>
                <w:rFonts w:eastAsia="等线"/>
                <w:bCs/>
                <w:color w:val="385623" w:themeColor="accent6" w:themeShade="80"/>
                <w:lang w:eastAsia="ja-JP"/>
              </w:rPr>
              <w:t xml:space="preserve">a </w:t>
            </w:r>
            <w:r w:rsidRPr="00AA6DD1">
              <w:rPr>
                <w:rFonts w:eastAsia="等线"/>
                <w:color w:val="385623" w:themeColor="accent6" w:themeShade="80"/>
                <w:lang w:eastAsia="ja-JP"/>
              </w:rPr>
              <w:t>subset of OAM-QoE measurements configured by the gNB</w:t>
            </w:r>
            <w:r>
              <w:rPr>
                <w:rFonts w:eastAsia="等线"/>
                <w:color w:val="4472C4" w:themeColor="accent1"/>
                <w:u w:val="single"/>
                <w:lang w:eastAsia="ja-JP"/>
              </w:rPr>
              <w:t xml:space="preserve"> </w:t>
            </w:r>
            <w:r w:rsidRPr="00AA6DD1">
              <w:rPr>
                <w:rFonts w:eastAsia="等线"/>
                <w:strike/>
                <w:color w:val="FF0000"/>
                <w:lang w:eastAsia="ja-JP"/>
              </w:rPr>
              <w:t>and reported to the NG-RAN node</w:t>
            </w:r>
            <w:r w:rsidRPr="00AA6DD1">
              <w:rPr>
                <w:rFonts w:eastAsia="等线"/>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等线"/>
                <w:b/>
                <w:color w:val="385623" w:themeColor="accent6" w:themeShade="80"/>
                <w:lang w:val="en-US" w:eastAsia="zh-CN"/>
              </w:rPr>
            </w:pPr>
            <w:r w:rsidRPr="00AA6DD1">
              <w:rPr>
                <w:rFonts w:eastAsia="等线"/>
                <w:b/>
                <w:color w:val="385623" w:themeColor="accent6" w:themeShade="80"/>
                <w:lang w:eastAsia="ja-JP"/>
              </w:rPr>
              <w:t xml:space="preserve">RAN visible QoE report: </w:t>
            </w:r>
            <w:r w:rsidRPr="00AA6DD1">
              <w:rPr>
                <w:rFonts w:eastAsia="等线"/>
                <w:bCs/>
                <w:color w:val="385623" w:themeColor="accent6" w:themeShade="80"/>
                <w:lang w:eastAsia="ja-JP"/>
              </w:rPr>
              <w:t>the results of RAN Visible</w:t>
            </w:r>
            <w:r w:rsidRPr="00AA6DD1">
              <w:rPr>
                <w:rFonts w:eastAsia="等线"/>
                <w:color w:val="385623" w:themeColor="accent6" w:themeShade="80"/>
                <w:lang w:eastAsia="ja-JP"/>
              </w:rPr>
              <w:t xml:space="preserve"> QoE measurements</w:t>
            </w:r>
            <w:r>
              <w:rPr>
                <w:rFonts w:eastAsia="等线"/>
                <w:color w:val="4472C4" w:themeColor="accent1"/>
                <w:u w:val="single"/>
                <w:lang w:eastAsia="zh-CN"/>
              </w:rPr>
              <w:t>, which is to be reported to the NG-RAN node</w:t>
            </w:r>
            <w:r w:rsidRPr="00AA6DD1">
              <w:rPr>
                <w:rFonts w:eastAsia="等线"/>
                <w:color w:val="385623" w:themeColor="accent6" w:themeShade="80"/>
                <w:lang w:val="en-US" w:eastAsia="zh-CN"/>
              </w:rPr>
              <w:t>.</w:t>
            </w:r>
            <w:r w:rsidRPr="00AA6DD1">
              <w:rPr>
                <w:rFonts w:eastAsia="等线"/>
                <w:strike/>
                <w:color w:val="FF0000"/>
                <w:lang w:eastAsia="ja-JP"/>
              </w:rPr>
              <w:t>, reported from the UE the gNB in RRC format</w:t>
            </w:r>
            <w:r w:rsidRPr="00AA6DD1">
              <w:rPr>
                <w:rFonts w:eastAsia="等线"/>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uawei, HiSilicon</w:t>
            </w:r>
          </w:p>
        </w:tc>
        <w:tc>
          <w:tcPr>
            <w:tcW w:w="1890" w:type="dxa"/>
          </w:tcPr>
          <w:p w14:paraId="185648F3" w14:textId="74AE4FFE" w:rsidR="0014388E" w:rsidRDefault="008F4F4B">
            <w:pPr>
              <w:rPr>
                <w:rFonts w:hint="eastAsia"/>
                <w:lang w:eastAsia="zh-CN"/>
              </w:rPr>
            </w:pPr>
            <w:r>
              <w:rPr>
                <w:rFonts w:hint="eastAsia"/>
                <w:lang w:eastAsia="zh-CN"/>
              </w:rPr>
              <w:t>Y</w:t>
            </w:r>
            <w:r>
              <w:rPr>
                <w:lang w:eastAsia="zh-CN"/>
              </w:rPr>
              <w:t>es</w:t>
            </w:r>
          </w:p>
        </w:tc>
        <w:tc>
          <w:tcPr>
            <w:tcW w:w="5316" w:type="dxa"/>
          </w:tcPr>
          <w:p w14:paraId="41395590" w14:textId="075041A0" w:rsidR="0014388E" w:rsidRDefault="008F4F4B">
            <w:pPr>
              <w:rPr>
                <w:rFonts w:hint="eastAsia"/>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 xml:space="preserve">no </w:t>
      </w:r>
      <w:r w:rsidRPr="003D5F19">
        <w:lastRenderedPageBreak/>
        <w:t>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ab"/>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ab"/>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t>H</w:t>
            </w:r>
            <w:r>
              <w:rPr>
                <w:lang w:eastAsia="zh-CN"/>
              </w:rPr>
              <w:t>uawei, HiSilicon</w:t>
            </w:r>
          </w:p>
        </w:tc>
        <w:tc>
          <w:tcPr>
            <w:tcW w:w="1350" w:type="dxa"/>
          </w:tcPr>
          <w:p w14:paraId="54C1B198" w14:textId="5C25F01D" w:rsidR="003E1EFA" w:rsidRDefault="008F4F4B" w:rsidP="00280465">
            <w:pPr>
              <w:rPr>
                <w:rFonts w:hint="eastAsia"/>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77777777" w:rsidR="003E1EFA" w:rsidRDefault="003E1EFA" w:rsidP="00280465"/>
        </w:tc>
        <w:tc>
          <w:tcPr>
            <w:tcW w:w="1350" w:type="dxa"/>
          </w:tcPr>
          <w:p w14:paraId="6C6A5927" w14:textId="77777777" w:rsidR="003E1EFA" w:rsidRDefault="003E1EFA" w:rsidP="00280465"/>
        </w:tc>
        <w:tc>
          <w:tcPr>
            <w:tcW w:w="5856" w:type="dxa"/>
          </w:tcPr>
          <w:p w14:paraId="46EB2D12" w14:textId="77777777" w:rsidR="003E1EFA" w:rsidRDefault="003E1EFA" w:rsidP="00280465"/>
        </w:tc>
      </w:tr>
      <w:tr w:rsidR="003E1EFA" w14:paraId="150085B3" w14:textId="77777777" w:rsidTr="00280465">
        <w:tc>
          <w:tcPr>
            <w:tcW w:w="2425" w:type="dxa"/>
          </w:tcPr>
          <w:p w14:paraId="20C487C6" w14:textId="77777777" w:rsidR="003E1EFA" w:rsidRDefault="003E1EFA" w:rsidP="00280465"/>
        </w:tc>
        <w:tc>
          <w:tcPr>
            <w:tcW w:w="1350" w:type="dxa"/>
          </w:tcPr>
          <w:p w14:paraId="2E997F89" w14:textId="77777777" w:rsidR="003E1EFA" w:rsidRDefault="003E1EFA" w:rsidP="00280465"/>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lastRenderedPageBreak/>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ab"/>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ae"/>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ae"/>
              <w:ind w:left="360"/>
            </w:pPr>
          </w:p>
          <w:p w14:paraId="59192C08" w14:textId="77777777" w:rsidR="00A169F2" w:rsidRDefault="00A169F2" w:rsidP="00A169F2">
            <w:pPr>
              <w:pStyle w:val="ae"/>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ae"/>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ae"/>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ae"/>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ae"/>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t>H</w:t>
            </w:r>
            <w:r>
              <w:rPr>
                <w:lang w:eastAsia="zh-CN"/>
              </w:rPr>
              <w:t>uawei, HiSilicon</w:t>
            </w:r>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rFonts w:hint="eastAsia"/>
                <w:lang w:eastAsia="zh-CN"/>
              </w:rPr>
            </w:pPr>
            <w:bookmarkStart w:id="60" w:name="_GoBack"/>
            <w:bookmarkEnd w:id="60"/>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77777777" w:rsidR="00BB2EC6" w:rsidRPr="002C7E5D" w:rsidRDefault="00BB2EC6" w:rsidP="00280465"/>
        </w:tc>
        <w:tc>
          <w:tcPr>
            <w:tcW w:w="7200" w:type="dxa"/>
          </w:tcPr>
          <w:p w14:paraId="33D662C3" w14:textId="77777777" w:rsidR="00BB2EC6" w:rsidRPr="002C7E5D" w:rsidRDefault="00BB2EC6" w:rsidP="00280465"/>
        </w:tc>
      </w:tr>
      <w:tr w:rsidR="00BB2EC6" w:rsidRPr="002C7E5D" w14:paraId="77223861" w14:textId="77777777" w:rsidTr="00280465">
        <w:tc>
          <w:tcPr>
            <w:tcW w:w="2425" w:type="dxa"/>
          </w:tcPr>
          <w:p w14:paraId="50861859" w14:textId="77777777" w:rsidR="00BB2EC6" w:rsidRPr="002C7E5D" w:rsidRDefault="00BB2EC6" w:rsidP="00280465"/>
        </w:tc>
        <w:tc>
          <w:tcPr>
            <w:tcW w:w="7200" w:type="dxa"/>
          </w:tcPr>
          <w:p w14:paraId="4360E446" w14:textId="77777777" w:rsidR="00BB2EC6" w:rsidRPr="002C7E5D" w:rsidRDefault="00BB2EC6" w:rsidP="00280465"/>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1"/>
        <w:numPr>
          <w:ilvl w:val="0"/>
          <w:numId w:val="0"/>
        </w:numPr>
      </w:pPr>
      <w:r>
        <w:t>4</w:t>
      </w:r>
      <w:r>
        <w:tab/>
        <w:t>References</w:t>
      </w:r>
    </w:p>
    <w:p w14:paraId="3563AE60" w14:textId="2368C033" w:rsidR="00D024FC" w:rsidRPr="002C7E5D" w:rsidRDefault="00B837E0" w:rsidP="00B837E0">
      <w:pPr>
        <w:pStyle w:val="ae"/>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ae"/>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ae"/>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ae"/>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ae"/>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B69D0" w14:textId="77777777" w:rsidR="00E25B54" w:rsidRDefault="00E25B54" w:rsidP="00C00511">
      <w:pPr>
        <w:spacing w:after="0" w:line="240" w:lineRule="auto"/>
      </w:pPr>
      <w:r>
        <w:separator/>
      </w:r>
    </w:p>
  </w:endnote>
  <w:endnote w:type="continuationSeparator" w:id="0">
    <w:p w14:paraId="7A2EDA38" w14:textId="77777777" w:rsidR="00E25B54" w:rsidRDefault="00E25B54" w:rsidP="00C00511">
      <w:pPr>
        <w:spacing w:after="0" w:line="240" w:lineRule="auto"/>
      </w:pPr>
      <w:r>
        <w:continuationSeparator/>
      </w:r>
    </w:p>
  </w:endnote>
  <w:endnote w:type="continuationNotice" w:id="1">
    <w:p w14:paraId="4AB9934D" w14:textId="77777777" w:rsidR="00E25B54" w:rsidRDefault="00E25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MS Mincho"/>
    <w:panose1 w:val="02020609040205080304"/>
    <w:charset w:val="80"/>
    <w:family w:val="roman"/>
    <w:notTrueType/>
    <w:pitch w:val="fixed"/>
    <w:sig w:usb0="00000001" w:usb1="08070000" w:usb2="00000010" w:usb3="00000000" w:csb0="00020000" w:csb1="00000000"/>
  </w:font>
  <w:font w:name="Monotype Sorts">
    <w:altName w:val="Symbol"/>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EDC4" w14:textId="77777777" w:rsidR="00E25B54" w:rsidRDefault="00E25B54" w:rsidP="00C00511">
      <w:pPr>
        <w:spacing w:after="0" w:line="240" w:lineRule="auto"/>
      </w:pPr>
      <w:r>
        <w:separator/>
      </w:r>
    </w:p>
  </w:footnote>
  <w:footnote w:type="continuationSeparator" w:id="0">
    <w:p w14:paraId="13451C80" w14:textId="77777777" w:rsidR="00E25B54" w:rsidRDefault="00E25B54" w:rsidP="00C00511">
      <w:pPr>
        <w:spacing w:after="0" w:line="240" w:lineRule="auto"/>
      </w:pPr>
      <w:r>
        <w:continuationSeparator/>
      </w:r>
    </w:p>
  </w:footnote>
  <w:footnote w:type="continuationNotice" w:id="1">
    <w:p w14:paraId="3D74F1F9" w14:textId="77777777" w:rsidR="00E25B54" w:rsidRDefault="00E25B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宋体"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64463"/>
    <w:multiLevelType w:val="hybridMultilevel"/>
    <w:tmpl w:val="B98A93DA"/>
    <w:lvl w:ilvl="0" w:tplc="2612CF84">
      <w:start w:val="5"/>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3"/>
  </w:num>
  <w:num w:numId="5">
    <w:abstractNumId w:val="12"/>
  </w:num>
  <w:num w:numId="6">
    <w:abstractNumId w:val="13"/>
  </w:num>
  <w:num w:numId="7">
    <w:abstractNumId w:val="21"/>
  </w:num>
  <w:num w:numId="8">
    <w:abstractNumId w:val="11"/>
  </w:num>
  <w:num w:numId="9">
    <w:abstractNumId w:val="6"/>
  </w:num>
  <w:num w:numId="10">
    <w:abstractNumId w:val="1"/>
  </w:num>
  <w:num w:numId="11">
    <w:abstractNumId w:val="17"/>
  </w:num>
  <w:num w:numId="12">
    <w:abstractNumId w:val="16"/>
  </w:num>
  <w:num w:numId="13">
    <w:abstractNumId w:val="15"/>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8"/>
  </w:num>
  <w:num w:numId="17">
    <w:abstractNumId w:val="4"/>
  </w:num>
  <w:num w:numId="18">
    <w:abstractNumId w:val="2"/>
  </w:num>
  <w:num w:numId="19">
    <w:abstractNumId w:val="11"/>
  </w:num>
  <w:num w:numId="20">
    <w:abstractNumId w:val="7"/>
  </w:num>
  <w:num w:numId="21">
    <w:abstractNumId w:val="9"/>
  </w:num>
  <w:num w:numId="22">
    <w:abstractNumId w:val="5"/>
  </w:num>
  <w:num w:numId="23">
    <w:abstractNumId w:val="19"/>
  </w:num>
  <w:num w:numId="24">
    <w:abstractNumId w:val="18"/>
  </w:num>
  <w:num w:numId="25">
    <w:abstractNumId w:val="14"/>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18D7"/>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Char"/>
    <w:uiPriority w:val="99"/>
    <w:qFormat/>
    <w:rPr>
      <w:rFonts w:eastAsia="等线"/>
    </w:rPr>
  </w:style>
  <w:style w:type="paragraph" w:styleId="a4">
    <w:name w:val="Body Text"/>
    <w:basedOn w:val="a"/>
    <w:link w:val="Char0"/>
    <w:qFormat/>
    <w:pPr>
      <w:spacing w:after="120"/>
    </w:pPr>
  </w:style>
  <w:style w:type="paragraph" w:styleId="80">
    <w:name w:val="toc 8"/>
    <w:basedOn w:val="10"/>
    <w:next w:val="a"/>
    <w:semiHidden/>
    <w:qFormat/>
    <w:pPr>
      <w:spacing w:before="180"/>
      <w:ind w:left="2693" w:hanging="2693"/>
    </w:pPr>
    <w:rPr>
      <w:b/>
    </w:rPr>
  </w:style>
  <w:style w:type="paragraph" w:styleId="a5">
    <w:name w:val="Balloon Text"/>
    <w:basedOn w:val="a"/>
    <w:link w:val="Char1"/>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8">
    <w:name w:val="table of figures"/>
    <w:basedOn w:val="a4"/>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a">
    <w:name w:val="annotation subject"/>
    <w:basedOn w:val="a3"/>
    <w:next w:val="a3"/>
    <w:link w:val="Char3"/>
    <w:qFormat/>
    <w:rPr>
      <w:rFonts w:eastAsia="宋体"/>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qFormat/>
    <w:rPr>
      <w:sz w:val="16"/>
      <w:szCs w:val="16"/>
    </w:rPr>
  </w:style>
  <w:style w:type="character" w:customStyle="1" w:styleId="Char1">
    <w:name w:val="批注框文本 Char"/>
    <w:link w:val="a5"/>
    <w:semiHidden/>
    <w:qFormat/>
    <w:rPr>
      <w:rFonts w:ascii="Segoe UI" w:hAnsi="Segoe UI" w:cs="Segoe UI"/>
      <w:sz w:val="18"/>
      <w:szCs w:val="18"/>
      <w:lang w:eastAsia="en-US"/>
    </w:rPr>
  </w:style>
  <w:style w:type="character" w:customStyle="1" w:styleId="ZGSM">
    <w:name w:val="ZGSM"/>
    <w:qFormat/>
  </w:style>
  <w:style w:type="character" w:customStyle="1" w:styleId="Char2">
    <w:name w:val="页眉 Char"/>
    <w:link w:val="a7"/>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e"/>
    <w:uiPriority w:val="34"/>
    <w:qFormat/>
    <w:locked/>
    <w:rPr>
      <w:lang w:val="en-GB"/>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4"/>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Char">
    <w:name w:val="批注文字 Char"/>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
    <w:name w:val="列表段落 字符"/>
    <w:uiPriority w:val="34"/>
    <w:qFormat/>
    <w:locked/>
    <w:rPr>
      <w:lang w:val="en-GB"/>
    </w:rPr>
  </w:style>
  <w:style w:type="character" w:customStyle="1" w:styleId="Char3">
    <w:name w:val="批注主题 Char"/>
    <w:link w:val="aa"/>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Char0">
    <w:name w:val="正文文本 Char"/>
    <w:basedOn w:val="a0"/>
    <w:link w:val="a4"/>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0">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a"/>
    <w:qFormat/>
    <w:rsid w:val="00BF5D99"/>
    <w:pPr>
      <w:jc w:val="center"/>
    </w:pPr>
    <w:rPr>
      <w:color w:val="FF0000"/>
    </w:rPr>
  </w:style>
  <w:style w:type="paragraph" w:customStyle="1" w:styleId="Reference">
    <w:name w:val="Reference"/>
    <w:basedOn w:val="a4"/>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等线"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documentManagement/types"/>
    <ds:schemaRef ds:uri="http://purl.org/dc/elements/1.1/"/>
    <ds:schemaRef ds:uri="http://purl.org/dc/terms/"/>
    <ds:schemaRef ds:uri="80530660-24fd-4391-a7a1-d653900fee43"/>
    <ds:schemaRef ds:uri="http://schemas.microsoft.com/office/2006/metadata/properties"/>
    <ds:schemaRef ds:uri="http://purl.org/dc/dcmitype/"/>
    <ds:schemaRef ds:uri="http://schemas.microsoft.com/office/infopath/2007/PartnerControls"/>
    <ds:schemaRef ds:uri="042397af-7977-45ef-9118-11c18c8623b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40</TotalTime>
  <Pages>11</Pages>
  <Words>3441</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Huawei - Jun Chen</cp:lastModifiedBy>
  <cp:revision>29</cp:revision>
  <dcterms:created xsi:type="dcterms:W3CDTF">2022-05-14T10:33:00Z</dcterms:created>
  <dcterms:modified xsi:type="dcterms:W3CDTF">2022-05-16T07:06:00Z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