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30A41" w14:textId="77777777" w:rsidR="00CE4F57" w:rsidRDefault="003A557B">
      <w:pPr>
        <w:pStyle w:val="a8"/>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a8"/>
        <w:rPr>
          <w:bCs/>
          <w:sz w:val="22"/>
          <w:szCs w:val="22"/>
          <w:lang w:val="en-US"/>
        </w:rPr>
      </w:pPr>
    </w:p>
    <w:p w14:paraId="211C8D0B" w14:textId="77777777" w:rsidR="00CE4F57" w:rsidRDefault="00CE4F57">
      <w:pPr>
        <w:pStyle w:val="a8"/>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w:t>
      </w:r>
      <w:proofErr w:type="gramStart"/>
      <w:r>
        <w:rPr>
          <w:rFonts w:cs="Arial"/>
          <w:b/>
          <w:bCs/>
          <w:sz w:val="22"/>
          <w:szCs w:val="22"/>
        </w:rPr>
        <w:t>][</w:t>
      </w:r>
      <w:proofErr w:type="gramEnd"/>
      <w:r>
        <w:rPr>
          <w:rFonts w:cs="Arial"/>
          <w:b/>
          <w:bCs/>
          <w:sz w:val="22"/>
          <w:szCs w:val="22"/>
        </w:rPr>
        <w:t>020][NR1516]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[AT118-e][020][NR1516]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14:paraId="09B47F33" w14:textId="77777777" w:rsidR="00CE4F57" w:rsidRDefault="003A557B">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 xml:space="preserve">W1 </w:t>
      </w:r>
      <w:proofErr w:type="spellStart"/>
      <w:r>
        <w:rPr>
          <w:rFonts w:eastAsia="MS Mincho"/>
          <w:b/>
          <w:highlight w:val="yellow"/>
          <w:lang w:val="en-GB" w:eastAsia="en-GB"/>
        </w:rPr>
        <w:t>Thursd</w:t>
      </w:r>
      <w:proofErr w:type="spellEnd"/>
      <w:r>
        <w:rPr>
          <w:rFonts w:eastAsia="MS Mincho"/>
          <w:b/>
          <w:highlight w:val="yellow"/>
          <w:lang w:val="en-GB" w:eastAsia="en-GB"/>
        </w:rPr>
        <w:t xml:space="preserve"> May 12</w:t>
      </w:r>
      <w:r>
        <w:rPr>
          <w:rFonts w:eastAsia="MS Mincho"/>
          <w:b/>
          <w:highlight w:val="yellow"/>
          <w:vertAlign w:val="superscript"/>
          <w:lang w:val="en-GB" w:eastAsia="en-GB"/>
        </w:rPr>
        <w:t>th</w:t>
      </w:r>
      <w:r>
        <w:rPr>
          <w:rFonts w:eastAsia="MS Mincho"/>
          <w:b/>
          <w:highlight w:val="yellow"/>
          <w:lang w:val="en-GB" w:eastAsia="en-GB"/>
        </w:rPr>
        <w:t xml:space="preserve"> 1200 UTC</w:t>
      </w:r>
      <w:r>
        <w:rPr>
          <w:rFonts w:eastAsia="MS Mincho"/>
          <w:lang w:val="en-GB" w:eastAsia="en-GB"/>
        </w:rPr>
        <w:t xml:space="preserve"> to settle scope what is agreeable etc</w:t>
      </w:r>
    </w:p>
    <w:p w14:paraId="6C806C3D" w14:textId="77777777" w:rsidR="00CE4F57" w:rsidRDefault="003A557B">
      <w:pPr>
        <w:spacing w:before="40"/>
        <w:ind w:left="284"/>
        <w:rPr>
          <w:rFonts w:eastAsia="MS Mincho"/>
          <w:lang w:val="en-GB" w:eastAsia="en-GB"/>
        </w:rPr>
      </w:pPr>
      <w:proofErr w:type="gramStart"/>
      <w:r>
        <w:rPr>
          <w:rFonts w:eastAsia="MS Mincho"/>
          <w:lang w:val="en-GB" w:eastAsia="en-GB"/>
        </w:rPr>
        <w:t xml:space="preserve">A Final round with </w:t>
      </w:r>
      <w:r>
        <w:rPr>
          <w:rFonts w:eastAsia="MS Mincho"/>
          <w:b/>
          <w:lang w:val="en-GB" w:eastAsia="en-GB"/>
        </w:rPr>
        <w:t xml:space="preserve">Final deadline W2 </w:t>
      </w:r>
      <w:proofErr w:type="spellStart"/>
      <w:r>
        <w:rPr>
          <w:rFonts w:eastAsia="MS Mincho"/>
          <w:b/>
          <w:lang w:val="en-GB" w:eastAsia="en-GB"/>
        </w:rPr>
        <w:t>Wednesd</w:t>
      </w:r>
      <w:proofErr w:type="spellEnd"/>
      <w:r>
        <w:rPr>
          <w:rFonts w:eastAsia="MS Mincho"/>
          <w:b/>
          <w:lang w:val="en-GB" w:eastAsia="en-GB"/>
        </w:rPr>
        <w:t xml:space="preserve"> May 18</w:t>
      </w:r>
      <w:r>
        <w:rPr>
          <w:rFonts w:eastAsia="MS Mincho"/>
          <w:b/>
          <w:vertAlign w:val="superscript"/>
          <w:lang w:val="en-GB" w:eastAsia="en-GB"/>
        </w:rPr>
        <w:t>th</w:t>
      </w:r>
      <w:r>
        <w:rPr>
          <w:rFonts w:eastAsia="MS Mincho"/>
          <w:b/>
          <w:lang w:val="en-GB" w:eastAsia="en-GB"/>
        </w:rPr>
        <w:t xml:space="preserve"> 1200 UTC </w:t>
      </w:r>
      <w:r>
        <w:rPr>
          <w:rFonts w:eastAsia="MS Mincho"/>
          <w:lang w:val="en-GB" w:eastAsia="en-GB"/>
        </w:rPr>
        <w:t>to settle details / agree CRs etc.</w:t>
      </w:r>
      <w:proofErr w:type="gramEnd"/>
      <w:r>
        <w:rPr>
          <w:rFonts w:eastAsia="MS Mincho"/>
          <w:lang w:val="en-GB" w:eastAsia="en-GB"/>
        </w:rPr>
        <w:t xml:space="preserve"> </w:t>
      </w:r>
    </w:p>
    <w:p w14:paraId="15C56084" w14:textId="77777777" w:rsidR="00CE4F57" w:rsidRDefault="003A557B">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MS Mincho"/>
          <w:lang w:eastAsia="en-GB"/>
        </w:rPr>
      </w:pPr>
    </w:p>
    <w:p w14:paraId="38E4928C" w14:textId="77777777" w:rsidR="00CE4F57" w:rsidRDefault="003A557B">
      <w:pPr>
        <w:pStyle w:val="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rsidRPr="00D66356"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p w14:paraId="24530207" w14:textId="77777777" w:rsidR="00CE4F57" w:rsidRDefault="003A557B">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proofErr w:type="spellStart"/>
            <w:r>
              <w:rPr>
                <w:rFonts w:hint="eastAsia"/>
                <w:lang w:eastAsia="zh-CN"/>
              </w:rPr>
              <w:t>Z</w:t>
            </w:r>
            <w:r>
              <w:rPr>
                <w:lang w:eastAsia="zh-CN"/>
              </w:rPr>
              <w:t>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Pr="00D66356" w:rsidRDefault="003A557B">
            <w:pPr>
              <w:pStyle w:val="TAC"/>
              <w:spacing w:before="20" w:after="20"/>
              <w:ind w:left="57" w:right="57"/>
              <w:jc w:val="left"/>
              <w:rPr>
                <w:lang w:val="sv-SE" w:eastAsia="zh-CN"/>
              </w:rPr>
            </w:pPr>
            <w:r w:rsidRPr="00D66356">
              <w:rPr>
                <w:rFonts w:hint="eastAsia"/>
                <w:lang w:val="sv-SE" w:eastAsia="zh-CN"/>
              </w:rPr>
              <w:t>q</w:t>
            </w:r>
            <w:r w:rsidRPr="00D66356">
              <w:rPr>
                <w:lang w:val="sv-SE" w:eastAsia="zh-CN"/>
              </w:rPr>
              <w:t>ianxi.lu@oppo.com</w:t>
            </w:r>
          </w:p>
          <w:p w14:paraId="21CBDC44" w14:textId="77777777" w:rsidR="00CE4F57" w:rsidRPr="00D66356" w:rsidRDefault="003A557B">
            <w:pPr>
              <w:pStyle w:val="TAC"/>
              <w:spacing w:before="20" w:after="20"/>
              <w:ind w:left="57" w:right="57"/>
              <w:jc w:val="left"/>
              <w:rPr>
                <w:lang w:val="sv-SE" w:eastAsia="zh-CN"/>
              </w:rPr>
            </w:pPr>
            <w:r w:rsidRPr="00D66356">
              <w:rPr>
                <w:lang w:val="sv-SE"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Pr="00D66356" w:rsidRDefault="003A557B">
            <w:pPr>
              <w:pStyle w:val="TAC"/>
              <w:spacing w:before="20" w:after="20"/>
              <w:ind w:left="57" w:right="57"/>
              <w:jc w:val="left"/>
              <w:rPr>
                <w:lang w:val="sv-SE" w:eastAsia="zh-CN"/>
              </w:rPr>
            </w:pPr>
            <w:r w:rsidRPr="00D66356">
              <w:rPr>
                <w:lang w:val="sv-SE" w:eastAsia="zh-CN"/>
              </w:rPr>
              <w:t>Zhongda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proofErr w:type="spellStart"/>
            <w:r>
              <w:rPr>
                <w:rFonts w:hint="eastAsia"/>
                <w:lang w:val="en-US" w:eastAsia="zh-CN"/>
              </w:rPr>
              <w:t>Liwenting</w:t>
            </w:r>
            <w:proofErr w:type="spellEnd"/>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527897">
            <w:pPr>
              <w:pStyle w:val="TAC"/>
              <w:spacing w:before="20" w:after="20"/>
              <w:ind w:left="57" w:right="57"/>
              <w:jc w:val="left"/>
              <w:rPr>
                <w:lang w:val="en-US" w:eastAsia="zh-CN"/>
              </w:rPr>
            </w:pPr>
            <w:hyperlink r:id="rId13" w:history="1">
              <w:r w:rsidR="003A557B">
                <w:rPr>
                  <w:rStyle w:val="ac"/>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EA0D13"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5267C35C" w:rsidR="00EA0D13" w:rsidRDefault="00EA0D13" w:rsidP="00EA0D1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CA446D" w14:textId="71BE857F" w:rsidR="00EA0D13" w:rsidRDefault="00EA0D13" w:rsidP="00EA0D13">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6AFF62B" w14:textId="35145A9D" w:rsidR="00EA0D13" w:rsidRDefault="00EA0D13" w:rsidP="00EA0D13">
            <w:pPr>
              <w:pStyle w:val="TAC"/>
              <w:spacing w:before="20" w:after="20"/>
              <w:ind w:left="57" w:right="57"/>
              <w:jc w:val="left"/>
              <w:rPr>
                <w:lang w:eastAsia="zh-CN"/>
              </w:rPr>
            </w:pPr>
            <w:r>
              <w:rPr>
                <w:lang w:eastAsia="zh-CN"/>
              </w:rPr>
              <w:t>hchoi5@lenovo.com</w:t>
            </w:r>
          </w:p>
        </w:tc>
      </w:tr>
      <w:tr w:rsidR="00524764"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26F02807" w:rsidR="00524764" w:rsidRDefault="00524764" w:rsidP="00524764">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F227F7A" w14:textId="663C4AF0" w:rsidR="00524764" w:rsidRDefault="00524764" w:rsidP="00524764">
            <w:pPr>
              <w:pStyle w:val="TAC"/>
              <w:spacing w:before="20" w:after="20"/>
              <w:ind w:left="57" w:right="57"/>
              <w:jc w:val="left"/>
              <w:rPr>
                <w:rFonts w:eastAsia="Malgun Gothic"/>
                <w:lang w:eastAsia="ko-KR"/>
              </w:rPr>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9815F62" w14:textId="3213D472" w:rsidR="00524764" w:rsidRDefault="00524764" w:rsidP="00524764">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844700"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121A2A4F"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2DC445F" w14:textId="10D5D505"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4737CE52" w14:textId="7659DCC2" w:rsidR="00844700" w:rsidRDefault="00844700" w:rsidP="00844700">
            <w:pPr>
              <w:pStyle w:val="TAC"/>
              <w:spacing w:before="20" w:after="20"/>
              <w:ind w:left="57" w:right="57"/>
              <w:jc w:val="left"/>
              <w:rPr>
                <w:lang w:val="en-US" w:eastAsia="zh-CN"/>
              </w:rPr>
            </w:pPr>
            <w:r>
              <w:rPr>
                <w:rFonts w:eastAsia="PMingLiU"/>
                <w:lang w:eastAsia="zh-TW"/>
              </w:rPr>
              <w:t>morton.lin@mediatek.com</w:t>
            </w:r>
          </w:p>
        </w:tc>
      </w:tr>
      <w:tr w:rsidR="00524764"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693F123E" w:rsidR="00524764" w:rsidRDefault="00F50E39" w:rsidP="0052476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F551A1A" w14:textId="2E46A062" w:rsidR="00524764" w:rsidRDefault="00F50E39" w:rsidP="00524764">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7ED74EBB" w14:textId="34B64D89" w:rsidR="00524764" w:rsidRDefault="00F50E39" w:rsidP="00524764">
            <w:pPr>
              <w:pStyle w:val="TAC"/>
              <w:spacing w:before="20" w:after="20"/>
              <w:ind w:left="57" w:right="57"/>
              <w:jc w:val="left"/>
              <w:rPr>
                <w:lang w:eastAsia="zh-CN"/>
              </w:rPr>
            </w:pPr>
            <w:r>
              <w:rPr>
                <w:lang w:eastAsia="zh-CN"/>
              </w:rPr>
              <w:t>lian.araujo@ericsson.com</w:t>
            </w:r>
          </w:p>
        </w:tc>
      </w:tr>
      <w:tr w:rsidR="00524764"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1FEB80A9" w:rsidR="00524764" w:rsidRDefault="00533CF2" w:rsidP="00524764">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092ECBF" w14:textId="56503B73" w:rsidR="00524764" w:rsidRDefault="00533CF2" w:rsidP="00524764">
            <w:pPr>
              <w:pStyle w:val="TAC"/>
              <w:spacing w:before="20" w:after="20"/>
              <w:ind w:left="57" w:right="57"/>
              <w:jc w:val="left"/>
              <w:rPr>
                <w:lang w:eastAsia="zh-CN"/>
              </w:rPr>
            </w:pPr>
            <w:proofErr w:type="spellStart"/>
            <w:r>
              <w:rPr>
                <w:lang w:eastAsia="zh-CN"/>
              </w:rPr>
              <w:t>X</w:t>
            </w:r>
            <w:r>
              <w:rPr>
                <w:rFonts w:hint="eastAsia"/>
                <w:lang w:eastAsia="zh-CN"/>
              </w:rPr>
              <w:t>iangdong</w:t>
            </w:r>
            <w:proofErr w:type="spellEnd"/>
            <w:r>
              <w:rPr>
                <w:rFonts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F91336D" w14:textId="4BB32739" w:rsidR="00524764" w:rsidRDefault="00533CF2" w:rsidP="00524764">
            <w:pPr>
              <w:pStyle w:val="TAC"/>
              <w:spacing w:before="20" w:after="20"/>
              <w:ind w:left="57" w:right="57"/>
              <w:jc w:val="left"/>
              <w:rPr>
                <w:lang w:eastAsia="zh-CN"/>
              </w:rPr>
            </w:pPr>
            <w:r>
              <w:rPr>
                <w:rFonts w:hint="eastAsia"/>
                <w:lang w:eastAsia="zh-CN"/>
              </w:rPr>
              <w:t>zhangxiangdong@catt.cn</w:t>
            </w:r>
          </w:p>
        </w:tc>
      </w:tr>
    </w:tbl>
    <w:p w14:paraId="34CF3C30" w14:textId="77777777" w:rsidR="00CE4F57" w:rsidRDefault="003A557B">
      <w:pPr>
        <w:pStyle w:val="1"/>
        <w:ind w:left="0" w:firstLine="0"/>
      </w:pPr>
      <w:r>
        <w:t>3</w:t>
      </w:r>
      <w:r>
        <w:tab/>
        <w:t>Discussion (1</w:t>
      </w:r>
      <w:r>
        <w:rPr>
          <w:vertAlign w:val="superscript"/>
        </w:rPr>
        <w:t>st</w:t>
      </w:r>
      <w:r>
        <w:t xml:space="preserve"> round)</w:t>
      </w:r>
    </w:p>
    <w:p w14:paraId="0D44D09D" w14:textId="77777777" w:rsidR="00CE4F57" w:rsidRDefault="003A557B">
      <w:pPr>
        <w:pStyle w:val="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 xml:space="preserve">Proposal 1: For inter-band EN-DC, NE-DC, NR CA, NR DC and SUL configurations, </w:t>
      </w:r>
      <w:proofErr w:type="gramStart"/>
      <w:r>
        <w:rPr>
          <w:rFonts w:cs="Arial"/>
          <w:sz w:val="21"/>
          <w:szCs w:val="21"/>
        </w:rPr>
        <w:t>If</w:t>
      </w:r>
      <w:proofErr w:type="gramEnd"/>
      <w:r>
        <w:rPr>
          <w:rFonts w:cs="Arial"/>
          <w:sz w:val="21"/>
          <w:szCs w:val="21"/>
        </w:rPr>
        <w:t xml:space="preserve"> mandatory simultaneous </w:t>
      </w:r>
      <w:proofErr w:type="spellStart"/>
      <w:r>
        <w:rPr>
          <w:rFonts w:cs="Arial"/>
          <w:sz w:val="21"/>
          <w:szCs w:val="21"/>
        </w:rPr>
        <w:t>RxTx</w:t>
      </w:r>
      <w:proofErr w:type="spellEnd"/>
      <w:r>
        <w:rPr>
          <w:rFonts w:cs="Arial"/>
          <w:sz w:val="21"/>
          <w:szCs w:val="21"/>
        </w:rPr>
        <w:t xml:space="preserve"> capability apply for a band configuration, mandatory simultaneous </w:t>
      </w:r>
      <w:proofErr w:type="spellStart"/>
      <w:r>
        <w:rPr>
          <w:rFonts w:cs="Arial"/>
          <w:sz w:val="21"/>
          <w:szCs w:val="21"/>
        </w:rPr>
        <w:t>RxTx</w:t>
      </w:r>
      <w:proofErr w:type="spellEnd"/>
      <w:r>
        <w:rPr>
          <w:rFonts w:cs="Arial"/>
          <w:sz w:val="21"/>
          <w:szCs w:val="21"/>
        </w:rPr>
        <w:t xml:space="preserve">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w:t>
      </w:r>
      <w:proofErr w:type="spellStart"/>
      <w:r>
        <w:t>signalling</w:t>
      </w:r>
      <w:proofErr w:type="spellEnd"/>
      <w:r>
        <w:t xml:space="preserve"> should be used if the UE supports the capability for all </w:t>
      </w:r>
      <w:r>
        <w:rPr>
          <w:i/>
          <w:iCs/>
        </w:rPr>
        <w:t>applicable</w:t>
      </w:r>
      <w:r>
        <w:t xml:space="preserve"> band pairs, as simultaneous Rx/Tx capability is not applicable to certain band combinations or band pairs, e.g. intra-band band pairs.</w:t>
      </w:r>
    </w:p>
    <w:p w14:paraId="7C0B9B23" w14:textId="77777777" w:rsidR="00CE4F57" w:rsidRDefault="00CE4F57"/>
    <w:p w14:paraId="644B93C2" w14:textId="77777777" w:rsidR="00CE4F57" w:rsidRDefault="003A557B">
      <w:pPr>
        <w:outlineLvl w:val="2"/>
        <w:rPr>
          <w:b/>
          <w:bCs/>
        </w:rPr>
      </w:pPr>
      <w:r>
        <w:rPr>
          <w:b/>
          <w:bCs/>
        </w:rPr>
        <w:t xml:space="preserve">Question 1: Do companies agree with the intention of R2-2205118 [1] and its mirror </w:t>
      </w:r>
      <w:proofErr w:type="gramStart"/>
      <w:r>
        <w:rPr>
          <w:b/>
          <w:bCs/>
        </w:rPr>
        <w:t>CRs[</w:t>
      </w:r>
      <w:proofErr w:type="gramEnd"/>
      <w:r>
        <w:rPr>
          <w:b/>
          <w:bCs/>
        </w:rPr>
        <w:t>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Qianxi</w:t>
            </w:r>
            <w:proofErr w:type="spellEnd"/>
            <w:r>
              <w:rPr>
                <w:lang w:eastAsia="zh-CN"/>
              </w:rPr>
              <w:t>)</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w:t>
            </w:r>
            <w:proofErr w:type="spellStart"/>
            <w:r>
              <w:rPr>
                <w:lang w:eastAsia="zh-CN"/>
              </w:rPr>
              <w:t>simultaneousRxTxSULPerBandPair</w:t>
            </w:r>
            <w:proofErr w:type="spellEnd"/>
            <w:r>
              <w:rPr>
                <w:lang w:eastAsia="zh-CN"/>
              </w:rPr>
              <w:t xml:space="preserve">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proofErr w:type="spellStart"/>
            <w:r>
              <w:rPr>
                <w:b/>
                <w:i/>
              </w:rPr>
              <w:t>simultaneousRxTxSULPerBandPair</w:t>
            </w:r>
            <w:proofErr w:type="spellEnd"/>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proofErr w:type="spellStart"/>
            <w:r>
              <w:rPr>
                <w:i/>
                <w:lang w:eastAsia="zh-CN"/>
              </w:rPr>
              <w:t>simultaneousRxTxInterBandCAPerBandPair</w:t>
            </w:r>
            <w:proofErr w:type="spellEnd"/>
            <w:r>
              <w:rPr>
                <w:i/>
                <w:lang w:eastAsia="zh-CN"/>
              </w:rPr>
              <w:t xml:space="preserve"> </w:t>
            </w:r>
            <w:r>
              <w:rPr>
                <w:lang w:eastAsia="zh-CN"/>
              </w:rPr>
              <w:t>and</w:t>
            </w:r>
            <w:r>
              <w:rPr>
                <w:i/>
                <w:lang w:eastAsia="zh-CN"/>
              </w:rPr>
              <w:t xml:space="preserve"> </w:t>
            </w:r>
            <w:proofErr w:type="spellStart"/>
            <w:r>
              <w:rPr>
                <w:i/>
                <w:lang w:eastAsia="zh-CN"/>
              </w:rPr>
              <w:t>simultaneousRxTxSULPerBandPair</w:t>
            </w:r>
            <w:proofErr w:type="spellEnd"/>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similar to the text for release-15 capability </w:t>
            </w:r>
            <w:proofErr w:type="spellStart"/>
            <w:r w:rsidRPr="003A19C4">
              <w:rPr>
                <w:rFonts w:eastAsiaTheme="minorEastAsia"/>
                <w:i/>
                <w:iCs/>
                <w:lang w:eastAsia="ja-JP"/>
              </w:rPr>
              <w:t>simultaneousRxTxInterBandCA</w:t>
            </w:r>
            <w:proofErr w:type="spellEnd"/>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524764"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52842333"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657E8E87" w14:textId="32474E52"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524764" w:rsidRDefault="00524764" w:rsidP="00524764">
            <w:pPr>
              <w:pStyle w:val="TAC"/>
              <w:spacing w:before="20" w:after="20"/>
              <w:ind w:left="57" w:right="57"/>
              <w:jc w:val="left"/>
              <w:rPr>
                <w:lang w:eastAsia="zh-CN"/>
              </w:rPr>
            </w:pPr>
          </w:p>
        </w:tc>
      </w:tr>
      <w:tr w:rsidR="00844700"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5CD5A9AA" w:rsidR="00844700" w:rsidRPr="00844700" w:rsidRDefault="00844700" w:rsidP="008447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8BFCF39" w14:textId="0BDACA0F"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844700" w:rsidRDefault="00844700" w:rsidP="00844700">
            <w:pPr>
              <w:pStyle w:val="TAC"/>
              <w:spacing w:before="20" w:after="20"/>
              <w:ind w:left="57" w:right="57"/>
              <w:jc w:val="left"/>
              <w:rPr>
                <w:lang w:eastAsia="zh-CN"/>
              </w:rPr>
            </w:pPr>
          </w:p>
        </w:tc>
      </w:tr>
      <w:tr w:rsidR="00524764"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4D4777CC" w:rsidR="00524764" w:rsidRDefault="00037FD1" w:rsidP="00524764">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8A971CC" w14:textId="08BD4C24" w:rsidR="00524764" w:rsidRDefault="00037FD1" w:rsidP="0052476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524764" w:rsidRDefault="00524764" w:rsidP="00524764">
            <w:pPr>
              <w:pStyle w:val="TAC"/>
              <w:spacing w:before="20" w:after="20"/>
              <w:ind w:left="57" w:right="57"/>
              <w:jc w:val="left"/>
              <w:rPr>
                <w:lang w:eastAsia="zh-CN"/>
              </w:rPr>
            </w:pPr>
          </w:p>
        </w:tc>
      </w:tr>
      <w:tr w:rsidR="00524764"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5FAD8214" w:rsidR="00524764" w:rsidRDefault="00D66356" w:rsidP="00524764">
            <w:pPr>
              <w:pStyle w:val="TAC"/>
              <w:spacing w:before="20" w:after="20"/>
              <w:ind w:left="57" w:right="57"/>
              <w:jc w:val="left"/>
              <w:rPr>
                <w:rFonts w:eastAsia="Malgun Gothic"/>
                <w:lang w:eastAsia="ko-KR"/>
              </w:rPr>
            </w:pPr>
            <w:r>
              <w:rPr>
                <w:rFonts w:eastAsia="Malgun Gothic"/>
                <w:lang w:eastAsia="ko-KR"/>
              </w:rPr>
              <w:t>Ericsson</w:t>
            </w:r>
          </w:p>
        </w:tc>
        <w:tc>
          <w:tcPr>
            <w:tcW w:w="1275" w:type="dxa"/>
            <w:tcBorders>
              <w:top w:val="single" w:sz="4" w:space="0" w:color="auto"/>
              <w:left w:val="single" w:sz="4" w:space="0" w:color="auto"/>
              <w:bottom w:val="single" w:sz="4" w:space="0" w:color="auto"/>
              <w:right w:val="single" w:sz="4" w:space="0" w:color="auto"/>
            </w:tcBorders>
          </w:tcPr>
          <w:p w14:paraId="10A44084" w14:textId="7028D923" w:rsidR="00524764" w:rsidRDefault="00D66356" w:rsidP="00524764">
            <w:pPr>
              <w:pStyle w:val="TAC"/>
              <w:spacing w:before="20" w:after="20"/>
              <w:ind w:left="57" w:right="57"/>
              <w:jc w:val="left"/>
              <w:rPr>
                <w:rFonts w:eastAsia="Malgun Gothic"/>
                <w:lang w:eastAsia="ko-KR"/>
              </w:rPr>
            </w:pPr>
            <w:r>
              <w:rPr>
                <w:rFonts w:eastAsia="Malgun Gothic"/>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084BBD28" w14:textId="30FD0C1B" w:rsidR="00524764" w:rsidRDefault="00D66356" w:rsidP="00524764">
            <w:pPr>
              <w:pStyle w:val="TAC"/>
              <w:spacing w:before="20" w:after="20"/>
              <w:ind w:left="57" w:right="57"/>
              <w:jc w:val="left"/>
              <w:rPr>
                <w:lang w:eastAsia="zh-CN"/>
              </w:rPr>
            </w:pPr>
            <w:r>
              <w:rPr>
                <w:lang w:eastAsia="zh-CN"/>
              </w:rPr>
              <w:t>We also prefer the suggestion given by Qualcomm.</w:t>
            </w:r>
          </w:p>
        </w:tc>
      </w:tr>
      <w:tr w:rsidR="00524764"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5EEE2333" w:rsidR="00524764" w:rsidRDefault="00C406F5" w:rsidP="00524764">
            <w:pPr>
              <w:pStyle w:val="TAC"/>
              <w:spacing w:before="20" w:after="20"/>
              <w:ind w:left="57" w:right="57"/>
              <w:jc w:val="left"/>
              <w:rPr>
                <w:lang w:val="en-US" w:eastAsia="zh-CN"/>
              </w:rPr>
            </w:pPr>
            <w:r>
              <w:rPr>
                <w:lang w:val="en-US"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F71E84" w14:textId="3D95809F" w:rsidR="005C139F" w:rsidRDefault="005C139F" w:rsidP="00524764">
            <w:pPr>
              <w:pStyle w:val="TAC"/>
              <w:spacing w:before="20" w:after="20"/>
              <w:ind w:left="57" w:right="57"/>
              <w:jc w:val="left"/>
              <w:rPr>
                <w:lang w:val="en-US" w:eastAsia="zh-CN"/>
              </w:rPr>
            </w:pPr>
            <w:r>
              <w:rPr>
                <w:lang w:val="en-US" w:eastAsia="zh-CN"/>
              </w:rPr>
              <w:t>Yes</w:t>
            </w:r>
          </w:p>
          <w:p w14:paraId="199B096A" w14:textId="24AFAB7B" w:rsidR="00524764" w:rsidRDefault="005C139F" w:rsidP="00524764">
            <w:pPr>
              <w:pStyle w:val="TAC"/>
              <w:spacing w:before="20" w:after="20"/>
              <w:ind w:left="57" w:right="57"/>
              <w:jc w:val="left"/>
              <w:rPr>
                <w:lang w:val="en-US" w:eastAsia="zh-CN"/>
              </w:rPr>
            </w:pPr>
            <w:r>
              <w:rPr>
                <w:lang w:val="en-US" w:eastAsia="zh-CN"/>
              </w:rPr>
              <w:t>(</w:t>
            </w:r>
            <w:r w:rsidR="00C406F5">
              <w:rPr>
                <w:lang w:val="en-US" w:eastAsia="zh-CN"/>
              </w:rPr>
              <w:t>Proponent</w:t>
            </w:r>
            <w:r>
              <w:rPr>
                <w:lang w:val="en-US" w:eastAsia="zh-CN"/>
              </w:rPr>
              <w:t>)</w:t>
            </w:r>
          </w:p>
        </w:tc>
        <w:tc>
          <w:tcPr>
            <w:tcW w:w="6237" w:type="dxa"/>
            <w:tcBorders>
              <w:top w:val="single" w:sz="4" w:space="0" w:color="auto"/>
              <w:left w:val="single" w:sz="4" w:space="0" w:color="auto"/>
              <w:bottom w:val="single" w:sz="4" w:space="0" w:color="auto"/>
              <w:right w:val="single" w:sz="4" w:space="0" w:color="auto"/>
            </w:tcBorders>
          </w:tcPr>
          <w:p w14:paraId="705F7ACC" w14:textId="65B3D9B4" w:rsidR="00C406F5" w:rsidRDefault="00C406F5" w:rsidP="00C406F5">
            <w:pPr>
              <w:pStyle w:val="TAC"/>
              <w:spacing w:before="20" w:after="20"/>
              <w:ind w:left="57" w:right="57"/>
              <w:jc w:val="left"/>
              <w:rPr>
                <w:lang w:eastAsia="zh-CN"/>
              </w:rPr>
            </w:pPr>
            <w:r>
              <w:rPr>
                <w:lang w:eastAsia="zh-CN"/>
              </w:rPr>
              <w:t>Regarding the first comment from HW on SUL, we are ok to add the word “applicable” for alignment.</w:t>
            </w:r>
          </w:p>
          <w:p w14:paraId="10D1AA32" w14:textId="77777777" w:rsidR="00C406F5" w:rsidRDefault="00C406F5" w:rsidP="00C406F5">
            <w:pPr>
              <w:pStyle w:val="TAC"/>
              <w:spacing w:before="20" w:after="20"/>
              <w:ind w:left="57" w:right="57"/>
              <w:jc w:val="left"/>
              <w:rPr>
                <w:lang w:eastAsia="zh-CN"/>
              </w:rPr>
            </w:pPr>
            <w:r>
              <w:rPr>
                <w:lang w:eastAsia="zh-CN"/>
              </w:rPr>
              <w:t xml:space="preserve">On the second comment (whether the bit for </w:t>
            </w:r>
            <w:proofErr w:type="spellStart"/>
            <w:proofErr w:type="gramStart"/>
            <w:r>
              <w:rPr>
                <w:lang w:eastAsia="zh-CN"/>
              </w:rPr>
              <w:t>a</w:t>
            </w:r>
            <w:proofErr w:type="spellEnd"/>
            <w:proofErr w:type="gramEnd"/>
            <w:r>
              <w:rPr>
                <w:lang w:eastAsia="zh-CN"/>
              </w:rPr>
              <w:t xml:space="preserve"> intra-band band pair shall be 0), we are not sure current specification has such a requirement as the bit is not applicable. We are fine to discuss it in the 2</w:t>
            </w:r>
            <w:r w:rsidRPr="00C406F5">
              <w:rPr>
                <w:vertAlign w:val="superscript"/>
                <w:lang w:eastAsia="zh-CN"/>
              </w:rPr>
              <w:t>nd</w:t>
            </w:r>
            <w:r>
              <w:rPr>
                <w:lang w:eastAsia="zh-CN"/>
              </w:rPr>
              <w:t xml:space="preserve"> round if companies are ok.</w:t>
            </w:r>
          </w:p>
          <w:p w14:paraId="428E4C1D" w14:textId="77777777" w:rsidR="00892D0F" w:rsidRDefault="00892D0F" w:rsidP="00C406F5">
            <w:pPr>
              <w:pStyle w:val="TAC"/>
              <w:spacing w:before="20" w:after="20"/>
              <w:ind w:left="57" w:right="57"/>
              <w:jc w:val="left"/>
              <w:rPr>
                <w:lang w:eastAsia="zh-CN"/>
              </w:rPr>
            </w:pPr>
          </w:p>
          <w:p w14:paraId="740FA665" w14:textId="1C0CCD87" w:rsidR="00C406F5" w:rsidRDefault="00892D0F" w:rsidP="00C406F5">
            <w:pPr>
              <w:pStyle w:val="TAC"/>
              <w:spacing w:before="20" w:after="20"/>
              <w:ind w:left="57" w:right="57"/>
              <w:jc w:val="left"/>
              <w:rPr>
                <w:lang w:eastAsia="zh-CN"/>
              </w:rPr>
            </w:pPr>
            <w:r>
              <w:rPr>
                <w:lang w:eastAsia="zh-CN"/>
              </w:rPr>
              <w:t xml:space="preserve">As for QC’s wording suggestion, the motivation of our proposed text is that, if the UE supports </w:t>
            </w:r>
            <w:proofErr w:type="spellStart"/>
            <w:r>
              <w:rPr>
                <w:lang w:eastAsia="zh-CN"/>
              </w:rPr>
              <w:t>simul</w:t>
            </w:r>
            <w:proofErr w:type="spellEnd"/>
            <w:r>
              <w:rPr>
                <w:lang w:eastAsia="zh-CN"/>
              </w:rPr>
              <w:t xml:space="preserve"> </w:t>
            </w:r>
            <w:proofErr w:type="spellStart"/>
            <w:r>
              <w:rPr>
                <w:lang w:eastAsia="zh-CN"/>
              </w:rPr>
              <w:t>rx</w:t>
            </w:r>
            <w:proofErr w:type="spellEnd"/>
            <w:r>
              <w:rPr>
                <w:lang w:eastAsia="zh-CN"/>
              </w:rPr>
              <w:t>/</w:t>
            </w:r>
            <w:proofErr w:type="spellStart"/>
            <w:r>
              <w:rPr>
                <w:lang w:eastAsia="zh-CN"/>
              </w:rPr>
              <w:t>tx</w:t>
            </w:r>
            <w:proofErr w:type="spellEnd"/>
            <w:r>
              <w:rPr>
                <w:lang w:eastAsia="zh-CN"/>
              </w:rPr>
              <w:t xml:space="preserve"> for all the band pairs then advertising the per-band-pair capability bit itself is not mandatory, hence the wording of “otherwise” and “shall set the bits to 1”.</w:t>
            </w:r>
          </w:p>
          <w:p w14:paraId="6BC4EEFD" w14:textId="36DDC6B4" w:rsidR="00892D0F" w:rsidRDefault="00892D0F" w:rsidP="00C406F5">
            <w:pPr>
              <w:pStyle w:val="TAC"/>
              <w:spacing w:before="20" w:after="20"/>
              <w:ind w:left="57" w:right="57"/>
              <w:jc w:val="left"/>
              <w:rPr>
                <w:lang w:eastAsia="zh-CN"/>
              </w:rPr>
            </w:pPr>
            <w:r>
              <w:rPr>
                <w:lang w:eastAsia="zh-CN"/>
              </w:rPr>
              <w:t>However, as the aspect looks clear from preceding sentence (The UE does not include this field if…), we are fine to adopt QC’s wording if companies like it better – currently it seems so.</w:t>
            </w:r>
          </w:p>
        </w:tc>
      </w:tr>
      <w:tr w:rsidR="00524764"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3AEB7D76" w:rsidR="00524764" w:rsidRDefault="00EC7F16" w:rsidP="00524764">
            <w:pPr>
              <w:pStyle w:val="TAC"/>
              <w:spacing w:before="20" w:after="20"/>
              <w:ind w:left="57" w:right="57"/>
              <w:jc w:val="left"/>
              <w:rPr>
                <w:lang w:val="en-US" w:eastAsia="zh-CN"/>
              </w:rPr>
            </w:pPr>
            <w:r>
              <w:rPr>
                <w:rFonts w:hint="eastAsia"/>
                <w:lang w:val="en-US" w:eastAsia="zh-CN"/>
              </w:rPr>
              <w:t>CATT</w:t>
            </w:r>
          </w:p>
        </w:tc>
        <w:tc>
          <w:tcPr>
            <w:tcW w:w="1275" w:type="dxa"/>
            <w:tcBorders>
              <w:top w:val="single" w:sz="4" w:space="0" w:color="auto"/>
              <w:left w:val="single" w:sz="4" w:space="0" w:color="auto"/>
              <w:bottom w:val="single" w:sz="4" w:space="0" w:color="auto"/>
              <w:right w:val="single" w:sz="4" w:space="0" w:color="auto"/>
            </w:tcBorders>
          </w:tcPr>
          <w:p w14:paraId="7A68E89A" w14:textId="3D689224" w:rsidR="00524764" w:rsidRDefault="00EC7F16" w:rsidP="00524764">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524764" w:rsidRDefault="00524764" w:rsidP="00524764">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2"/>
      </w:pPr>
      <w:r>
        <w:t xml:space="preserve">3.2 R4 - </w:t>
      </w:r>
      <w:proofErr w:type="spellStart"/>
      <w:r>
        <w:rPr>
          <w:i/>
          <w:iCs/>
        </w:rPr>
        <w:t>maxNumberCSI</w:t>
      </w:r>
      <w:proofErr w:type="spellEnd"/>
      <w:r>
        <w:rPr>
          <w:i/>
          <w:iCs/>
        </w:rPr>
        <w:t>-RS-RRM-RS-SINR</w:t>
      </w:r>
    </w:p>
    <w:p w14:paraId="1F9D8BBC"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t>To</w:t>
      </w:r>
      <w:proofErr w:type="gramStart"/>
      <w:r>
        <w:t>:RAN1</w:t>
      </w:r>
      <w:proofErr w:type="gramEnd"/>
      <w:r>
        <w:t>,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lastRenderedPageBreak/>
        <w:t>[5] R2-2206063</w:t>
      </w:r>
      <w:r>
        <w:tab/>
        <w:t xml:space="preserve">Clarification on the applicability of mixed numerology on UE capability </w:t>
      </w:r>
      <w:proofErr w:type="spellStart"/>
      <w:r>
        <w:t>maxNumberCSI</w:t>
      </w:r>
      <w:proofErr w:type="spellEnd"/>
      <w:r>
        <w:t>-RS-RRM-RS-SINR</w:t>
      </w:r>
      <w:r>
        <w:tab/>
        <w:t xml:space="preserve">Apple </w:t>
      </w:r>
      <w:proofErr w:type="spellStart"/>
      <w:r>
        <w:t>Inc</w:t>
      </w:r>
      <w:proofErr w:type="spellEnd"/>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 xml:space="preserve">Clarification on the applicability of mixed numerology on UE capability </w:t>
      </w:r>
      <w:proofErr w:type="spellStart"/>
      <w:r>
        <w:t>maxNumberCSI</w:t>
      </w:r>
      <w:proofErr w:type="spellEnd"/>
      <w:r>
        <w:t>-RS-RRM-RS-SINR</w:t>
      </w:r>
      <w:r>
        <w:tab/>
        <w:t xml:space="preserve">Apple </w:t>
      </w:r>
      <w:proofErr w:type="spellStart"/>
      <w:r>
        <w:t>Inc</w:t>
      </w:r>
      <w:proofErr w:type="spellEnd"/>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 xml:space="preserve">the number of CSI-RS resources in any duration that equals to the length of a slot is no larger than UE capability </w:t>
      </w:r>
      <w:proofErr w:type="spellStart"/>
      <w:r>
        <w:rPr>
          <w:i/>
          <w:iCs/>
          <w:lang w:val="en-US" w:eastAsia="ja-JP"/>
        </w:rPr>
        <w:t>maxNumberCSI</w:t>
      </w:r>
      <w:proofErr w:type="spellEnd"/>
      <w:r>
        <w:rPr>
          <w:i/>
          <w:iCs/>
          <w:lang w:val="en-US" w:eastAsia="ja-JP"/>
        </w:rPr>
        <w:t>-RS-RRM-RS-SINR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proofErr w:type="spellStart"/>
      <w:r>
        <w:rPr>
          <w:i/>
          <w:lang w:eastAsia="zh-CN"/>
        </w:rPr>
        <w:t>maxNumberCSI</w:t>
      </w:r>
      <w:proofErr w:type="spellEnd"/>
      <w:r>
        <w:rPr>
          <w:i/>
          <w:lang w:eastAsia="zh-CN"/>
        </w:rPr>
        <w:t>-RS-RRM-RS-SINR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proofErr w:type="spellStart"/>
      <w:r>
        <w:rPr>
          <w:i/>
          <w:iCs/>
          <w:lang w:val="en-GB" w:eastAsia="en-US"/>
        </w:rPr>
        <w:t>maxNumberCSI</w:t>
      </w:r>
      <w:proofErr w:type="spellEnd"/>
      <w:r>
        <w:rPr>
          <w:i/>
          <w:iCs/>
          <w:lang w:val="en-GB" w:eastAsia="en-US"/>
        </w:rPr>
        <w:t>-RS-RRM-RS-SINR</w:t>
      </w:r>
      <w:r>
        <w:rPr>
          <w:lang w:val="en-GB" w:eastAsia="en-US"/>
        </w:rPr>
        <w:t xml:space="preserve"> and the related requirements should be specified based on the duration associated with the slot of minimum SCS in case of mixed numerologies. The </w:t>
      </w:r>
      <w:proofErr w:type="gramStart"/>
      <w:r>
        <w:rPr>
          <w:lang w:val="en-GB" w:eastAsia="en-US"/>
        </w:rPr>
        <w:t>CRs[</w:t>
      </w:r>
      <w:proofErr w:type="gramEnd"/>
      <w:r>
        <w:rPr>
          <w:lang w:val="en-GB" w:eastAsia="en-US"/>
        </w:rPr>
        <w:t>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proofErr w:type="spellStart"/>
      <w:r>
        <w:rPr>
          <w:b/>
          <w:i/>
        </w:rPr>
        <w:t>maxNumberCSI</w:t>
      </w:r>
      <w:proofErr w:type="spellEnd"/>
      <w:r>
        <w:rPr>
          <w:b/>
          <w:i/>
        </w:rPr>
        <w:t>-RS-RRM-RS-SINR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p w14:paraId="105DD47D" w14:textId="77777777" w:rsidR="00CE4F57" w:rsidRDefault="00CE4F57">
      <w:pPr>
        <w:pStyle w:val="TAL"/>
      </w:pPr>
    </w:p>
    <w:p w14:paraId="7AAD67A5" w14:textId="77777777" w:rsidR="00CE4F57" w:rsidRDefault="003A557B">
      <w:pPr>
        <w:pStyle w:val="TAN"/>
        <w:rPr>
          <w:rFonts w:eastAsia="MS PGothic"/>
          <w:color w:val="FF0000"/>
          <w:u w:val="single"/>
        </w:rPr>
      </w:pPr>
      <w:r>
        <w:rPr>
          <w:rFonts w:eastAsia="MS PGothic"/>
          <w:color w:val="FF0000"/>
          <w:u w:val="single"/>
        </w:rPr>
        <w:t>NOTE:</w:t>
      </w:r>
      <w:r>
        <w:rPr>
          <w:rFonts w:eastAsia="MS PGothic"/>
          <w:color w:val="FF0000"/>
          <w:u w:val="single"/>
        </w:rPr>
        <w:tab/>
        <w:t xml:space="preserve">A slot is based on minimum SCS among all measurement frequencies configured for </w:t>
      </w:r>
      <w:r>
        <w:rPr>
          <w:color w:val="FF0000"/>
          <w:u w:val="single"/>
        </w:rPr>
        <w:t>RRM and RS-SINR measurement</w:t>
      </w:r>
      <w:r>
        <w:rPr>
          <w:rFonts w:eastAsia="MS PGothic"/>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Haitao</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 xml:space="preserve">We think the interop statement is incorrect that if the network is not implemented according to the CR the definition of length of slot is not aligned and may result in </w:t>
            </w:r>
            <w:proofErr w:type="spellStart"/>
            <w:r>
              <w:rPr>
                <w:color w:val="FF0000"/>
                <w:u w:val="single"/>
                <w:lang w:val="en-US" w:eastAsia="zh-CN"/>
              </w:rPr>
              <w:t>overconfiguration</w:t>
            </w:r>
            <w:proofErr w:type="spellEnd"/>
            <w:r>
              <w:rPr>
                <w:color w:val="FF0000"/>
                <w:u w:val="single"/>
                <w:lang w:val="en-US" w:eastAsia="zh-CN"/>
              </w:rPr>
              <w:t xml:space="preserve">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524764"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2595F11A"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600665F" w14:textId="044F4971"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524764" w:rsidRDefault="00524764" w:rsidP="00524764">
            <w:pPr>
              <w:pStyle w:val="TAC"/>
              <w:spacing w:before="20" w:after="20"/>
              <w:ind w:left="57" w:right="57"/>
              <w:jc w:val="left"/>
              <w:rPr>
                <w:lang w:eastAsia="zh-CN"/>
              </w:rPr>
            </w:pPr>
          </w:p>
        </w:tc>
      </w:tr>
      <w:tr w:rsidR="00844700"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6AE56A27"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4C4017F0" w14:textId="7E263F0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844700" w:rsidRDefault="00844700" w:rsidP="00844700">
            <w:pPr>
              <w:pStyle w:val="TAC"/>
              <w:spacing w:before="20" w:after="20"/>
              <w:ind w:left="57" w:right="57"/>
              <w:jc w:val="left"/>
              <w:rPr>
                <w:lang w:eastAsia="zh-CN"/>
              </w:rPr>
            </w:pPr>
          </w:p>
        </w:tc>
      </w:tr>
      <w:tr w:rsidR="00524764"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1DBFDDED" w:rsidR="00524764" w:rsidRDefault="00740531" w:rsidP="00524764">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A5E0BB3" w14:textId="723E1AFA" w:rsidR="00524764" w:rsidRDefault="00740531"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524764" w:rsidRDefault="00524764" w:rsidP="00524764">
            <w:pPr>
              <w:pStyle w:val="TAC"/>
              <w:spacing w:before="20" w:after="20"/>
              <w:ind w:left="57" w:right="57"/>
              <w:jc w:val="left"/>
              <w:rPr>
                <w:lang w:eastAsia="zh-CN"/>
              </w:rPr>
            </w:pPr>
          </w:p>
        </w:tc>
      </w:tr>
      <w:tr w:rsidR="00524764"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68C54B78" w:rsidR="00524764" w:rsidRDefault="00D66356" w:rsidP="00524764">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B45CD72" w14:textId="27675DB7" w:rsidR="00524764" w:rsidRDefault="00D66356"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524764" w:rsidRDefault="00524764" w:rsidP="00524764">
            <w:pPr>
              <w:pStyle w:val="TAC"/>
              <w:spacing w:before="20" w:after="20"/>
              <w:ind w:left="57" w:right="57"/>
              <w:jc w:val="left"/>
              <w:rPr>
                <w:lang w:eastAsia="zh-CN"/>
              </w:rPr>
            </w:pPr>
          </w:p>
        </w:tc>
      </w:tr>
      <w:tr w:rsidR="00524764"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5A7D78C6" w:rsidR="00524764" w:rsidRDefault="00892D0F" w:rsidP="00524764">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4CC2C315" w14:textId="3446EDC1" w:rsidR="00524764" w:rsidRDefault="00892D0F" w:rsidP="00524764">
            <w:pPr>
              <w:pStyle w:val="TAC"/>
              <w:spacing w:before="20" w:after="20"/>
              <w:ind w:left="57" w:right="57"/>
              <w:jc w:val="left"/>
              <w:rPr>
                <w:rFonts w:eastAsia="Malgun Gothic"/>
                <w:lang w:eastAsia="ko-KR"/>
              </w:rPr>
            </w:pPr>
            <w:r>
              <w:rPr>
                <w:rFonts w:eastAsia="Malgun Gothic"/>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524764" w:rsidRDefault="00524764" w:rsidP="00524764">
            <w:pPr>
              <w:pStyle w:val="TAC"/>
              <w:spacing w:before="20" w:after="20"/>
              <w:ind w:left="57" w:right="57"/>
              <w:jc w:val="left"/>
              <w:rPr>
                <w:lang w:eastAsia="zh-CN"/>
              </w:rPr>
            </w:pPr>
          </w:p>
        </w:tc>
      </w:tr>
      <w:tr w:rsidR="00524764"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3DCFB972" w:rsidR="00524764" w:rsidRDefault="00A73143" w:rsidP="00524764">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A2446A8" w14:textId="23B8C1BD" w:rsidR="00524764" w:rsidRDefault="00A73143" w:rsidP="00524764">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524764" w:rsidRDefault="00524764" w:rsidP="00524764">
            <w:pPr>
              <w:pStyle w:val="TAC"/>
              <w:spacing w:before="20" w:after="20"/>
              <w:ind w:left="57" w:right="57"/>
              <w:jc w:val="left"/>
              <w:rPr>
                <w:lang w:eastAsia="zh-CN"/>
              </w:rPr>
            </w:pPr>
          </w:p>
        </w:tc>
      </w:tr>
      <w:tr w:rsidR="00524764"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5FEF045"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524764" w:rsidRDefault="00524764" w:rsidP="00524764">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2"/>
      </w:pPr>
      <w:r>
        <w:lastRenderedPageBreak/>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Yu Mincho" w:cs="Arial"/>
          <w:bCs/>
          <w:iCs/>
          <w:lang w:eastAsia="ja-JP"/>
        </w:rPr>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Yu Mincho"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w:t>
            </w:r>
            <w:proofErr w:type="gramStart"/>
            <w:r>
              <w:rPr>
                <w:lang w:eastAsia="zh-CN"/>
              </w:rPr>
              <w:t>field(</w:t>
            </w:r>
            <w:proofErr w:type="gramEnd"/>
            <w:r>
              <w:rPr>
                <w:lang w:eastAsia="zh-CN"/>
              </w:rPr>
              <w:t xml:space="preserve">i.e. </w:t>
            </w:r>
            <w:proofErr w:type="spellStart"/>
            <w:r>
              <w:rPr>
                <w:i/>
                <w:lang w:eastAsia="zh-CN"/>
              </w:rPr>
              <w:t>pdcch-MonitoringSingleOccasion</w:t>
            </w:r>
            <w:proofErr w:type="spellEnd"/>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 xml:space="preserve">For correction 2), we prefer not to add any pre-requisite to the legacy field (i.e. </w:t>
            </w:r>
            <w:proofErr w:type="spellStart"/>
            <w:r>
              <w:rPr>
                <w:i/>
                <w:lang w:eastAsia="zh-CN"/>
              </w:rPr>
              <w:t>pdcch-MonitoringSingleOccasion</w:t>
            </w:r>
            <w:proofErr w:type="spellEnd"/>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EA0D13"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1C4790B5"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40CE265E" w14:textId="00873C8F" w:rsidR="00EA0D13" w:rsidRDefault="00EA0D13" w:rsidP="00EA0D13">
            <w:pPr>
              <w:pStyle w:val="TAC"/>
              <w:spacing w:before="20" w:after="20"/>
              <w:ind w:left="57" w:right="57"/>
              <w:jc w:val="left"/>
              <w:rPr>
                <w:lang w:eastAsia="zh-CN"/>
              </w:rPr>
            </w:pPr>
            <w:r>
              <w:rPr>
                <w:lang w:eastAsia="zh-CN"/>
              </w:rPr>
              <w:t>Yes with comments</w:t>
            </w:r>
          </w:p>
        </w:tc>
        <w:tc>
          <w:tcPr>
            <w:tcW w:w="6525" w:type="dxa"/>
            <w:tcBorders>
              <w:top w:val="single" w:sz="4" w:space="0" w:color="auto"/>
              <w:left w:val="single" w:sz="4" w:space="0" w:color="auto"/>
              <w:bottom w:val="single" w:sz="4" w:space="0" w:color="auto"/>
              <w:right w:val="single" w:sz="4" w:space="0" w:color="auto"/>
            </w:tcBorders>
          </w:tcPr>
          <w:p w14:paraId="5F2AF464" w14:textId="77777777" w:rsidR="00EA0D13" w:rsidRDefault="00EA0D13" w:rsidP="00EA0D13">
            <w:pPr>
              <w:pStyle w:val="TAC"/>
              <w:spacing w:before="20" w:after="20"/>
              <w:ind w:left="57" w:right="57"/>
              <w:jc w:val="left"/>
              <w:rPr>
                <w:lang w:eastAsia="zh-CN"/>
              </w:rPr>
            </w:pPr>
            <w:r>
              <w:rPr>
                <w:lang w:eastAsia="zh-CN"/>
              </w:rPr>
              <w:t>R2-224840,</w:t>
            </w:r>
            <w:r>
              <w:t xml:space="preserve"> </w:t>
            </w:r>
            <w:r>
              <w:rPr>
                <w:lang w:eastAsia="zh-CN"/>
              </w:rPr>
              <w:t>c</w:t>
            </w:r>
            <w:r w:rsidRPr="008B7A56">
              <w:rPr>
                <w:lang w:eastAsia="zh-CN"/>
              </w:rPr>
              <w:t>over page: In WI code “TEI-16” remove dash.</w:t>
            </w:r>
          </w:p>
          <w:p w14:paraId="0DEE943F" w14:textId="77777777" w:rsidR="00EA0D13" w:rsidRDefault="00EA0D13" w:rsidP="00EA0D13">
            <w:pPr>
              <w:pStyle w:val="TAC"/>
              <w:spacing w:before="20" w:after="20"/>
              <w:ind w:left="57" w:right="57"/>
              <w:jc w:val="left"/>
              <w:rPr>
                <w:lang w:eastAsia="zh-CN"/>
              </w:rPr>
            </w:pPr>
            <w:r>
              <w:rPr>
                <w:lang w:eastAsia="zh-CN"/>
              </w:rPr>
              <w:t>R2-224841: The following c</w:t>
            </w:r>
            <w:r w:rsidRPr="008B7A56">
              <w:rPr>
                <w:lang w:eastAsia="zh-CN"/>
              </w:rPr>
              <w:t>omment should be added above the capability</w:t>
            </w:r>
            <w:r>
              <w:rPr>
                <w:lang w:eastAsia="zh-CN"/>
              </w:rPr>
              <w:t xml:space="preserve">: </w:t>
            </w:r>
          </w:p>
          <w:p w14:paraId="14B9F3C1" w14:textId="77777777" w:rsidR="00EA0D13" w:rsidRDefault="00EA0D13" w:rsidP="00EA0D13">
            <w:pPr>
              <w:pStyle w:val="TAC"/>
              <w:spacing w:before="20" w:after="20"/>
              <w:ind w:left="57" w:right="57"/>
              <w:jc w:val="left"/>
              <w:rPr>
                <w:lang w:eastAsia="zh-CN"/>
              </w:rPr>
            </w:pPr>
            <w:r>
              <w:rPr>
                <w:lang w:eastAsia="zh-CN"/>
              </w:rPr>
              <w:t>“</w:t>
            </w:r>
            <w:r w:rsidRPr="008B7A56">
              <w:rPr>
                <w:lang w:eastAsia="zh-CN"/>
              </w:rPr>
              <w:t>-- R1 22-12: PDCCH monitoring with a single span of three contiguous OFDM symbols that is within the first four OFDM symbols in a slot</w:t>
            </w:r>
            <w:r>
              <w:rPr>
                <w:lang w:eastAsia="zh-CN"/>
              </w:rPr>
              <w:t>”</w:t>
            </w:r>
          </w:p>
          <w:p w14:paraId="3CC8F5CD" w14:textId="77777777" w:rsidR="00EA0D13" w:rsidRDefault="00EA0D13" w:rsidP="00EA0D13">
            <w:pPr>
              <w:pStyle w:val="TAC"/>
              <w:spacing w:before="20" w:after="20"/>
              <w:ind w:left="57" w:right="57"/>
              <w:jc w:val="left"/>
              <w:rPr>
                <w:lang w:eastAsia="zh-CN"/>
              </w:rPr>
            </w:pPr>
          </w:p>
          <w:p w14:paraId="048A8647" w14:textId="77777777" w:rsidR="00EA0D13" w:rsidRDefault="00EA0D13" w:rsidP="00EA0D13">
            <w:pPr>
              <w:pStyle w:val="TAC"/>
              <w:spacing w:before="20" w:after="20"/>
              <w:ind w:left="57" w:right="57"/>
              <w:jc w:val="left"/>
              <w:rPr>
                <w:lang w:eastAsia="zh-CN"/>
              </w:rPr>
            </w:pPr>
            <w:r>
              <w:rPr>
                <w:lang w:eastAsia="zh-CN"/>
              </w:rPr>
              <w:t xml:space="preserve">Furthermore, for the new FG 22-12 we </w:t>
            </w:r>
            <w:r w:rsidRPr="008B7A56">
              <w:rPr>
                <w:lang w:eastAsia="zh-CN"/>
              </w:rPr>
              <w:t>prefer not to add any pre-requisite to the legacy field</w:t>
            </w:r>
            <w:r>
              <w:rPr>
                <w:lang w:eastAsia="zh-CN"/>
              </w:rPr>
              <w:t xml:space="preserve"> since this was not indicated by RAN1.</w:t>
            </w:r>
          </w:p>
          <w:p w14:paraId="514E0C3C" w14:textId="77777777" w:rsidR="00EA0D13" w:rsidRDefault="00EA0D13" w:rsidP="00EA0D13">
            <w:pPr>
              <w:pStyle w:val="TAC"/>
              <w:spacing w:before="20" w:after="20"/>
              <w:ind w:left="57" w:right="57"/>
              <w:jc w:val="left"/>
              <w:rPr>
                <w:lang w:eastAsia="zh-CN"/>
              </w:rPr>
            </w:pPr>
          </w:p>
          <w:p w14:paraId="3FA2CB06" w14:textId="3A384DB6" w:rsidR="00EA0D13" w:rsidRDefault="00EA0D13" w:rsidP="00EA0D13">
            <w:pPr>
              <w:pStyle w:val="TAC"/>
              <w:spacing w:before="20" w:after="20"/>
              <w:ind w:left="57" w:right="57"/>
              <w:jc w:val="left"/>
              <w:rPr>
                <w:lang w:eastAsia="zh-CN"/>
              </w:rPr>
            </w:pPr>
            <w:r>
              <w:rPr>
                <w:lang w:eastAsia="zh-CN"/>
              </w:rPr>
              <w:t>Last but not least we suppose R17 shadow CRs will be provided if the R16 CRs are agreeable.</w:t>
            </w:r>
          </w:p>
        </w:tc>
      </w:tr>
      <w:tr w:rsidR="00524764"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45795269"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A2E1CD2" w14:textId="5A5B5677"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524764" w:rsidRDefault="00524764" w:rsidP="00524764">
            <w:pPr>
              <w:pStyle w:val="TAC"/>
              <w:spacing w:before="20" w:after="20"/>
              <w:ind w:left="57" w:right="57"/>
              <w:jc w:val="left"/>
              <w:rPr>
                <w:lang w:eastAsia="zh-CN"/>
              </w:rPr>
            </w:pPr>
          </w:p>
        </w:tc>
      </w:tr>
      <w:tr w:rsidR="00844700"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383CCC0F"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53125EC7" w14:textId="0F6D205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844700" w:rsidRDefault="00844700" w:rsidP="00844700">
            <w:pPr>
              <w:pStyle w:val="TAC"/>
              <w:spacing w:before="20" w:after="20"/>
              <w:ind w:left="57" w:right="57"/>
              <w:jc w:val="left"/>
              <w:rPr>
                <w:lang w:eastAsia="zh-CN"/>
              </w:rPr>
            </w:pPr>
          </w:p>
        </w:tc>
      </w:tr>
      <w:tr w:rsidR="00844700"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55E05695" w:rsidR="00844700" w:rsidRDefault="00F905C0"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20BD1C21" w14:textId="58423053" w:rsidR="00844700" w:rsidRDefault="00F905C0"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844700" w:rsidRDefault="00844700" w:rsidP="00844700">
            <w:pPr>
              <w:pStyle w:val="TAC"/>
              <w:spacing w:before="20" w:after="20"/>
              <w:ind w:left="57" w:right="57"/>
              <w:jc w:val="left"/>
              <w:rPr>
                <w:lang w:eastAsia="zh-CN"/>
              </w:rPr>
            </w:pPr>
          </w:p>
        </w:tc>
      </w:tr>
      <w:tr w:rsidR="00844700"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45C2B65A" w:rsidR="00844700" w:rsidRDefault="00D66356" w:rsidP="00844700">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064994A4" w14:textId="0294BBE6" w:rsidR="00844700" w:rsidRDefault="00D66356" w:rsidP="00844700">
            <w:pPr>
              <w:pStyle w:val="TAC"/>
              <w:spacing w:before="20" w:after="20"/>
              <w:ind w:left="57" w:right="57"/>
              <w:jc w:val="left"/>
              <w:rPr>
                <w:rFonts w:eastAsia="Malgun Gothic"/>
                <w:lang w:eastAsia="ko-KR"/>
              </w:rPr>
            </w:pPr>
            <w:r>
              <w:rPr>
                <w:rFonts w:eastAsia="Malgun Gothic"/>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4FD81D7C" w14:textId="6671EAFF" w:rsidR="00844700" w:rsidRDefault="00D66356" w:rsidP="00844700">
            <w:pPr>
              <w:pStyle w:val="TAC"/>
              <w:spacing w:before="20" w:after="20"/>
              <w:ind w:left="57" w:right="57"/>
              <w:jc w:val="left"/>
              <w:rPr>
                <w:lang w:eastAsia="zh-CN"/>
              </w:rPr>
            </w:pPr>
            <w:r>
              <w:rPr>
                <w:lang w:eastAsia="zh-CN"/>
              </w:rPr>
              <w:t xml:space="preserve">Agree with </w:t>
            </w:r>
            <w:r w:rsidR="00F50E39">
              <w:rPr>
                <w:lang w:eastAsia="zh-CN"/>
              </w:rPr>
              <w:t>Intel.</w:t>
            </w:r>
          </w:p>
        </w:tc>
      </w:tr>
      <w:tr w:rsidR="00844700"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2BF88BF2" w:rsidR="00844700" w:rsidRDefault="0090026E" w:rsidP="00844700">
            <w:pPr>
              <w:pStyle w:val="TAC"/>
              <w:spacing w:before="20" w:after="20"/>
              <w:ind w:left="57" w:right="57"/>
              <w:jc w:val="left"/>
              <w:rPr>
                <w:lang w:val="en-US" w:eastAsia="zh-CN"/>
              </w:rPr>
            </w:pPr>
            <w:r>
              <w:rPr>
                <w:lang w:val="en-US" w:eastAsia="zh-CN"/>
              </w:rPr>
              <w:t>Docomo</w:t>
            </w:r>
          </w:p>
        </w:tc>
        <w:tc>
          <w:tcPr>
            <w:tcW w:w="1418" w:type="dxa"/>
            <w:tcBorders>
              <w:top w:val="single" w:sz="4" w:space="0" w:color="auto"/>
              <w:left w:val="single" w:sz="4" w:space="0" w:color="auto"/>
              <w:bottom w:val="single" w:sz="4" w:space="0" w:color="auto"/>
              <w:right w:val="single" w:sz="4" w:space="0" w:color="auto"/>
            </w:tcBorders>
          </w:tcPr>
          <w:p w14:paraId="1DE774C2" w14:textId="58FD9B4C" w:rsidR="00844700" w:rsidRDefault="0090026E" w:rsidP="00844700">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91ECD9E" w14:textId="27046D63" w:rsidR="005C139F" w:rsidRDefault="005C139F" w:rsidP="00844700">
            <w:pPr>
              <w:pStyle w:val="TAC"/>
              <w:spacing w:before="20" w:after="20"/>
              <w:ind w:left="57" w:right="57"/>
              <w:jc w:val="left"/>
              <w:rPr>
                <w:lang w:eastAsia="zh-CN"/>
              </w:rPr>
            </w:pPr>
            <w:r>
              <w:rPr>
                <w:lang w:eastAsia="zh-CN"/>
              </w:rPr>
              <w:t>Yes as Docomo.</w:t>
            </w:r>
          </w:p>
          <w:p w14:paraId="6FE52583" w14:textId="77777777" w:rsidR="005C139F" w:rsidRDefault="005C139F" w:rsidP="00844700">
            <w:pPr>
              <w:pStyle w:val="TAC"/>
              <w:spacing w:before="20" w:after="20"/>
              <w:ind w:left="57" w:right="57"/>
              <w:jc w:val="left"/>
              <w:rPr>
                <w:lang w:eastAsia="zh-CN"/>
              </w:rPr>
            </w:pPr>
          </w:p>
          <w:p w14:paraId="5376EBE6" w14:textId="3EA4E3D6" w:rsidR="00844700" w:rsidRDefault="005C139F" w:rsidP="00844700">
            <w:pPr>
              <w:pStyle w:val="TAC"/>
              <w:spacing w:before="20" w:after="20"/>
              <w:ind w:left="57" w:right="57"/>
              <w:jc w:val="left"/>
              <w:rPr>
                <w:lang w:eastAsia="zh-CN"/>
              </w:rPr>
            </w:pPr>
            <w:r>
              <w:rPr>
                <w:lang w:eastAsia="zh-CN"/>
              </w:rPr>
              <w:t>As moderator, f</w:t>
            </w:r>
            <w:r w:rsidR="0090026E">
              <w:rPr>
                <w:lang w:eastAsia="zh-CN"/>
              </w:rPr>
              <w:t>rom moderator perspective, the editorial suggestion</w:t>
            </w:r>
            <w:r>
              <w:rPr>
                <w:lang w:eastAsia="zh-CN"/>
              </w:rPr>
              <w:t>s</w:t>
            </w:r>
            <w:r w:rsidR="0090026E">
              <w:rPr>
                <w:lang w:eastAsia="zh-CN"/>
              </w:rPr>
              <w:t xml:space="preserve"> from Lenovo (i.e. TEI-16, --R1 22-12, R17 shadow) look non-controversial so far.</w:t>
            </w:r>
          </w:p>
        </w:tc>
      </w:tr>
      <w:tr w:rsidR="00844700"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3AFF77" w:rsidR="00844700" w:rsidRDefault="00CA0190" w:rsidP="00844700">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82292A2" w14:textId="21D0B4CC" w:rsidR="00844700" w:rsidRDefault="00CA0190" w:rsidP="00844700">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61605A7E" w14:textId="4B89CDBF" w:rsidR="00844700" w:rsidRDefault="00CA0190" w:rsidP="00844700">
            <w:pPr>
              <w:pStyle w:val="TAC"/>
              <w:spacing w:before="20" w:after="20"/>
              <w:ind w:left="57" w:right="57"/>
              <w:jc w:val="left"/>
              <w:rPr>
                <w:lang w:eastAsia="zh-CN"/>
              </w:rPr>
            </w:pPr>
            <w:r>
              <w:rPr>
                <w:rFonts w:hint="eastAsia"/>
                <w:lang w:eastAsia="zh-CN"/>
              </w:rPr>
              <w:t>Agree with Lenovo.</w:t>
            </w: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However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EA0D13"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DD9EA3F"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DDD5076" w14:textId="2BFC68D3" w:rsidR="00EA0D13" w:rsidRDefault="00EA0D13" w:rsidP="00EA0D13">
            <w:pPr>
              <w:pStyle w:val="TAC"/>
              <w:spacing w:before="20" w:after="20"/>
              <w:ind w:left="57" w:right="57"/>
              <w:jc w:val="left"/>
              <w:rPr>
                <w:lang w:eastAsia="zh-CN"/>
              </w:rPr>
            </w:pPr>
            <w:r>
              <w:rPr>
                <w:lang w:eastAsia="zh-CN"/>
              </w:rPr>
              <w:t>Yes but</w:t>
            </w:r>
          </w:p>
        </w:tc>
        <w:tc>
          <w:tcPr>
            <w:tcW w:w="6525" w:type="dxa"/>
            <w:tcBorders>
              <w:top w:val="single" w:sz="4" w:space="0" w:color="auto"/>
              <w:left w:val="single" w:sz="4" w:space="0" w:color="auto"/>
              <w:bottom w:val="single" w:sz="4" w:space="0" w:color="auto"/>
              <w:right w:val="single" w:sz="4" w:space="0" w:color="auto"/>
            </w:tcBorders>
          </w:tcPr>
          <w:p w14:paraId="0D4E3CE6" w14:textId="77777777" w:rsidR="00EA0D13" w:rsidRDefault="00EA0D13" w:rsidP="00EA0D13">
            <w:pPr>
              <w:pStyle w:val="TAC"/>
              <w:spacing w:before="20" w:after="20"/>
              <w:ind w:left="57" w:right="57"/>
              <w:jc w:val="left"/>
              <w:rPr>
                <w:lang w:eastAsia="zh-CN"/>
              </w:rPr>
            </w:pPr>
            <w:r>
              <w:rPr>
                <w:lang w:eastAsia="zh-CN"/>
              </w:rPr>
              <w:t>Cover page changes are needed for both CRs:</w:t>
            </w:r>
          </w:p>
          <w:p w14:paraId="0D82F9A8" w14:textId="77777777" w:rsidR="00EA0D13" w:rsidRDefault="00EA0D13" w:rsidP="00EA0D13">
            <w:pPr>
              <w:pStyle w:val="TAC"/>
              <w:spacing w:before="20" w:after="20"/>
              <w:ind w:left="57" w:right="57"/>
              <w:jc w:val="left"/>
              <w:rPr>
                <w:lang w:eastAsia="zh-CN"/>
              </w:rPr>
            </w:pPr>
            <w:r w:rsidRPr="00553BAB">
              <w:rPr>
                <w:lang w:eastAsia="zh-CN"/>
              </w:rPr>
              <w:t>R2-2205451</w:t>
            </w:r>
            <w:r>
              <w:rPr>
                <w:lang w:eastAsia="zh-CN"/>
              </w:rPr>
              <w:t xml:space="preserve">: It’s a R17 CR, so category </w:t>
            </w:r>
            <w:r w:rsidRPr="00553BAB">
              <w:rPr>
                <w:lang w:eastAsia="zh-CN"/>
              </w:rPr>
              <w:t>should be “A”.</w:t>
            </w:r>
          </w:p>
          <w:p w14:paraId="74B05B0C" w14:textId="77777777" w:rsidR="00EA0D13" w:rsidRDefault="00EA0D13" w:rsidP="00EA0D13">
            <w:pPr>
              <w:pStyle w:val="TAC"/>
              <w:spacing w:before="20" w:after="20"/>
              <w:ind w:left="57" w:right="57"/>
              <w:jc w:val="left"/>
              <w:rPr>
                <w:lang w:eastAsia="zh-CN"/>
              </w:rPr>
            </w:pPr>
            <w:r w:rsidRPr="00553BAB">
              <w:rPr>
                <w:lang w:eastAsia="zh-CN"/>
              </w:rPr>
              <w:t>R2-2205452</w:t>
            </w:r>
            <w:r>
              <w:rPr>
                <w:lang w:eastAsia="zh-CN"/>
              </w:rPr>
              <w:t xml:space="preserve">: It’s a R16 CR, </w:t>
            </w:r>
            <w:r w:rsidRPr="00553BAB">
              <w:rPr>
                <w:lang w:eastAsia="zh-CN"/>
              </w:rPr>
              <w:t>so category should be “</w:t>
            </w:r>
            <w:r>
              <w:rPr>
                <w:lang w:eastAsia="zh-CN"/>
              </w:rPr>
              <w:t>F</w:t>
            </w:r>
            <w:r w:rsidRPr="00553BAB">
              <w:rPr>
                <w:lang w:eastAsia="zh-CN"/>
              </w:rPr>
              <w:t>”.</w:t>
            </w:r>
          </w:p>
          <w:p w14:paraId="2E64A9F1" w14:textId="2CA1E454" w:rsidR="00EA0D13" w:rsidRDefault="00EA0D13" w:rsidP="00EA0D13">
            <w:pPr>
              <w:pStyle w:val="TAC"/>
              <w:spacing w:before="20" w:after="20"/>
              <w:ind w:left="57" w:right="57"/>
              <w:jc w:val="left"/>
              <w:rPr>
                <w:lang w:eastAsia="zh-CN"/>
              </w:rPr>
            </w:pPr>
            <w:r>
              <w:rPr>
                <w:lang w:eastAsia="zh-CN"/>
              </w:rPr>
              <w:t>And since the capability “</w:t>
            </w:r>
            <w:r w:rsidRPr="00553BAB">
              <w:rPr>
                <w:lang w:eastAsia="zh-CN"/>
              </w:rPr>
              <w:t>overlapPDSCHsInTimePartiallyFreq-r16</w:t>
            </w:r>
            <w:r>
              <w:rPr>
                <w:lang w:eastAsia="zh-CN"/>
              </w:rPr>
              <w:t>” was introduced in the context of MIMO the</w:t>
            </w:r>
            <w:r w:rsidRPr="00553BAB">
              <w:rPr>
                <w:lang w:eastAsia="zh-CN"/>
              </w:rPr>
              <w:t xml:space="preserve"> WI code should be </w:t>
            </w:r>
            <w:r>
              <w:rPr>
                <w:lang w:eastAsia="zh-CN"/>
              </w:rPr>
              <w:t>“</w:t>
            </w:r>
            <w:proofErr w:type="spellStart"/>
            <w:r w:rsidRPr="00553BAB">
              <w:rPr>
                <w:lang w:eastAsia="zh-CN"/>
              </w:rPr>
              <w:t>NR_eMIMO</w:t>
            </w:r>
            <w:proofErr w:type="spellEnd"/>
            <w:r w:rsidRPr="00553BAB">
              <w:rPr>
                <w:lang w:eastAsia="zh-CN"/>
              </w:rPr>
              <w:t>-Core</w:t>
            </w:r>
            <w:r>
              <w:rPr>
                <w:lang w:eastAsia="zh-CN"/>
              </w:rPr>
              <w:t>”</w:t>
            </w:r>
            <w:r w:rsidRPr="00553BAB">
              <w:rPr>
                <w:lang w:eastAsia="zh-CN"/>
              </w:rPr>
              <w:t xml:space="preserve"> </w:t>
            </w:r>
            <w:r>
              <w:rPr>
                <w:lang w:eastAsia="zh-CN"/>
              </w:rPr>
              <w:t>instead of “TEI16”.</w:t>
            </w:r>
          </w:p>
        </w:tc>
      </w:tr>
      <w:tr w:rsidR="00524764"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420E6A1"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7717AA" w14:textId="2D3C9E0F"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AD39C8A" w14:textId="09886AC3" w:rsidR="00524764" w:rsidRDefault="00524764" w:rsidP="00524764">
            <w:pPr>
              <w:pStyle w:val="TAC"/>
              <w:spacing w:before="20" w:after="20"/>
              <w:ind w:left="57" w:right="57"/>
              <w:jc w:val="left"/>
              <w:rPr>
                <w:lang w:eastAsia="zh-CN"/>
              </w:rPr>
            </w:pPr>
            <w:r>
              <w:rPr>
                <w:rFonts w:eastAsia="Malgun Gothic"/>
                <w:lang w:eastAsia="ko-KR"/>
              </w:rPr>
              <w:t>P</w:t>
            </w:r>
            <w:r>
              <w:rPr>
                <w:rFonts w:eastAsia="Malgun Gothic" w:hint="eastAsia"/>
                <w:lang w:eastAsia="ko-KR"/>
              </w:rPr>
              <w:t xml:space="preserve">roponent </w:t>
            </w:r>
          </w:p>
        </w:tc>
      </w:tr>
      <w:tr w:rsidR="00844700"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03CA0A79"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5FAABB9" w14:textId="7900743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2C9ABFAF" w14:textId="2177148F" w:rsidR="00844700" w:rsidRDefault="00844700" w:rsidP="00844700">
            <w:pPr>
              <w:pStyle w:val="TAC"/>
              <w:spacing w:before="20" w:after="20"/>
              <w:ind w:left="57" w:right="57"/>
              <w:jc w:val="left"/>
              <w:rPr>
                <w:lang w:eastAsia="zh-CN"/>
              </w:rPr>
            </w:pPr>
            <w:r>
              <w:rPr>
                <w:rFonts w:eastAsia="PMingLiU"/>
                <w:lang w:eastAsia="zh-TW"/>
              </w:rPr>
              <w:t xml:space="preserve">It’s </w:t>
            </w:r>
            <w:r w:rsidRPr="003F5D3E">
              <w:rPr>
                <w:rFonts w:eastAsia="PMingLiU"/>
                <w:lang w:eastAsia="zh-TW"/>
              </w:rPr>
              <w:t xml:space="preserve">a TEI16 issue then </w:t>
            </w:r>
            <w:r>
              <w:rPr>
                <w:rFonts w:eastAsia="PMingLiU"/>
                <w:lang w:eastAsia="zh-TW"/>
              </w:rPr>
              <w:t xml:space="preserve">shall </w:t>
            </w:r>
            <w:r w:rsidRPr="003F5D3E">
              <w:rPr>
                <w:rFonts w:eastAsia="PMingLiU"/>
                <w:lang w:eastAsia="zh-TW"/>
              </w:rPr>
              <w:t>category F be on Rel-16 CR</w:t>
            </w:r>
            <w:r>
              <w:rPr>
                <w:rFonts w:eastAsia="PMingLiU"/>
                <w:lang w:eastAsia="zh-TW"/>
              </w:rPr>
              <w:t xml:space="preserve"> [11]</w:t>
            </w:r>
            <w:r w:rsidRPr="003F5D3E">
              <w:rPr>
                <w:rFonts w:eastAsia="PMingLiU"/>
                <w:lang w:eastAsia="zh-TW"/>
              </w:rPr>
              <w:t>?</w:t>
            </w:r>
          </w:p>
        </w:tc>
      </w:tr>
      <w:tr w:rsidR="00E8475B"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0977A6D2" w:rsidR="00E8475B" w:rsidRDefault="00E8475B" w:rsidP="00E8475B">
            <w:pPr>
              <w:pStyle w:val="TAC"/>
              <w:spacing w:before="20" w:after="20"/>
              <w:ind w:left="57" w:right="57"/>
              <w:jc w:val="left"/>
              <w:rPr>
                <w:rFonts w:eastAsia="Malgun Gothic"/>
                <w:lang w:eastAsia="ko-KR"/>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6B784A1" w14:textId="6DDAC72C" w:rsidR="00E8475B" w:rsidRDefault="00E8475B" w:rsidP="00E8475B">
            <w:pPr>
              <w:pStyle w:val="TAC"/>
              <w:spacing w:before="20" w:after="20"/>
              <w:ind w:left="57" w:right="57"/>
              <w:jc w:val="left"/>
              <w:rPr>
                <w:rFonts w:eastAsia="Malgun Gothic"/>
                <w:lang w:eastAsia="ko-KR"/>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795160E3" w14:textId="77777777" w:rsidR="00E8475B" w:rsidRDefault="00E8475B" w:rsidP="00E8475B">
            <w:pPr>
              <w:pStyle w:val="TAC"/>
              <w:spacing w:before="20" w:after="20"/>
              <w:ind w:left="57" w:right="57"/>
              <w:jc w:val="left"/>
              <w:rPr>
                <w:rFonts w:eastAsia="Malgun Gothic"/>
                <w:lang w:eastAsia="ko-KR"/>
              </w:rPr>
            </w:pPr>
            <w:r>
              <w:rPr>
                <w:rFonts w:eastAsia="Malgun Gothic"/>
                <w:lang w:eastAsia="ko-KR"/>
              </w:rPr>
              <w:t>P</w:t>
            </w:r>
            <w:r>
              <w:rPr>
                <w:rFonts w:eastAsia="Malgun Gothic" w:hint="eastAsia"/>
                <w:lang w:eastAsia="ko-KR"/>
              </w:rPr>
              <w:t xml:space="preserve">roponent </w:t>
            </w:r>
          </w:p>
          <w:p w14:paraId="6967EBDA" w14:textId="059DF6AA" w:rsidR="006F79A3" w:rsidRDefault="00771E3E" w:rsidP="00E8475B">
            <w:pPr>
              <w:pStyle w:val="TAC"/>
              <w:spacing w:before="20" w:after="20"/>
              <w:ind w:left="57" w:right="57"/>
              <w:jc w:val="left"/>
              <w:rPr>
                <w:lang w:eastAsia="zh-CN"/>
              </w:rPr>
            </w:pPr>
            <w:r>
              <w:rPr>
                <w:rFonts w:eastAsia="Malgun Gothic"/>
                <w:lang w:eastAsia="ko-KR"/>
              </w:rPr>
              <w:t>Not sure about the WID code change and the CR category change proposed by others.</w:t>
            </w:r>
          </w:p>
        </w:tc>
      </w:tr>
      <w:tr w:rsidR="00E8475B"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3799AB4F" w:rsidR="00E8475B" w:rsidRDefault="00F50E39" w:rsidP="00E8475B">
            <w:pPr>
              <w:pStyle w:val="TAC"/>
              <w:spacing w:before="20" w:after="20"/>
              <w:ind w:left="57" w:right="57"/>
              <w:jc w:val="left"/>
              <w:rPr>
                <w:lang w:val="en-US" w:eastAsia="zh-CN"/>
              </w:rPr>
            </w:pPr>
            <w:r>
              <w:rPr>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09CC2C8E" w14:textId="03B29579" w:rsidR="00E8475B" w:rsidRDefault="00F50E39" w:rsidP="00E8475B">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E8475B" w:rsidRDefault="00E8475B" w:rsidP="00E8475B">
            <w:pPr>
              <w:pStyle w:val="TAC"/>
              <w:spacing w:before="20" w:after="20"/>
              <w:ind w:left="57" w:right="57"/>
              <w:jc w:val="left"/>
              <w:rPr>
                <w:lang w:eastAsia="zh-CN"/>
              </w:rPr>
            </w:pPr>
          </w:p>
        </w:tc>
      </w:tr>
      <w:tr w:rsidR="00E8475B"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5A1265E2" w:rsidR="00E8475B" w:rsidRDefault="0090026E" w:rsidP="00E8475B">
            <w:pPr>
              <w:pStyle w:val="TAC"/>
              <w:spacing w:before="20" w:after="20"/>
              <w:ind w:left="57" w:right="57"/>
              <w:jc w:val="left"/>
              <w:rPr>
                <w:lang w:val="en-US" w:eastAsia="zh-CN"/>
              </w:rPr>
            </w:pPr>
            <w:r>
              <w:rPr>
                <w:lang w:val="en-US" w:eastAsia="zh-CN"/>
              </w:rPr>
              <w:t>Docomo</w:t>
            </w:r>
          </w:p>
        </w:tc>
        <w:tc>
          <w:tcPr>
            <w:tcW w:w="1418" w:type="dxa"/>
            <w:tcBorders>
              <w:top w:val="single" w:sz="4" w:space="0" w:color="auto"/>
              <w:left w:val="single" w:sz="4" w:space="0" w:color="auto"/>
              <w:bottom w:val="single" w:sz="4" w:space="0" w:color="auto"/>
              <w:right w:val="single" w:sz="4" w:space="0" w:color="auto"/>
            </w:tcBorders>
          </w:tcPr>
          <w:p w14:paraId="03003BB5" w14:textId="3BD3DB88" w:rsidR="00E8475B" w:rsidRDefault="0090026E" w:rsidP="00E8475B">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E9AF9DC" w14:textId="4239F60E" w:rsidR="005C139F" w:rsidRDefault="005C139F" w:rsidP="00E8475B">
            <w:pPr>
              <w:pStyle w:val="TAC"/>
              <w:spacing w:before="20" w:after="20"/>
              <w:ind w:left="57" w:right="57"/>
              <w:jc w:val="left"/>
              <w:rPr>
                <w:lang w:eastAsia="zh-CN"/>
              </w:rPr>
            </w:pPr>
            <w:r>
              <w:rPr>
                <w:lang w:eastAsia="zh-CN"/>
              </w:rPr>
              <w:t>Yes as Docomo.</w:t>
            </w:r>
          </w:p>
          <w:p w14:paraId="44A159D7" w14:textId="77777777" w:rsidR="005C139F" w:rsidRDefault="005C139F" w:rsidP="00E8475B">
            <w:pPr>
              <w:pStyle w:val="TAC"/>
              <w:spacing w:before="20" w:after="20"/>
              <w:ind w:left="57" w:right="57"/>
              <w:jc w:val="left"/>
              <w:rPr>
                <w:lang w:eastAsia="zh-CN"/>
              </w:rPr>
            </w:pPr>
          </w:p>
          <w:p w14:paraId="3AFF51D1" w14:textId="6904DEF0" w:rsidR="00E8475B" w:rsidRDefault="005C139F" w:rsidP="00E8475B">
            <w:pPr>
              <w:pStyle w:val="TAC"/>
              <w:spacing w:before="20" w:after="20"/>
              <w:ind w:left="57" w:right="57"/>
              <w:jc w:val="left"/>
              <w:rPr>
                <w:lang w:eastAsia="zh-CN"/>
              </w:rPr>
            </w:pPr>
            <w:r>
              <w:rPr>
                <w:lang w:eastAsia="zh-CN"/>
              </w:rPr>
              <w:t>As moderator, f</w:t>
            </w:r>
            <w:r w:rsidR="0090026E">
              <w:rPr>
                <w:lang w:eastAsia="zh-CN"/>
              </w:rPr>
              <w:t>rom moderator perspective the suggestions from Lenovo and MTK look non-controversial so far.</w:t>
            </w:r>
          </w:p>
        </w:tc>
      </w:tr>
      <w:tr w:rsidR="00133F65" w14:paraId="315B6FB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F4FA0AE" w14:textId="0F87AB98" w:rsidR="00133F65" w:rsidRDefault="00133F65" w:rsidP="00E8475B">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CD3E902" w14:textId="32CBE846" w:rsidR="00133F65" w:rsidRDefault="00133F65" w:rsidP="00E8475B">
            <w:pPr>
              <w:pStyle w:val="TAC"/>
              <w:spacing w:before="20" w:after="20"/>
              <w:ind w:left="57" w:right="57"/>
              <w:jc w:val="left"/>
              <w:rPr>
                <w:lang w:val="en-US" w:eastAsia="zh-CN"/>
              </w:rPr>
            </w:pPr>
            <w:r>
              <w:rPr>
                <w:rFonts w:hint="eastAsia"/>
                <w:lang w:val="en-US" w:eastAsia="zh-CN"/>
              </w:rPr>
              <w:t>Yes</w:t>
            </w:r>
            <w:bookmarkStart w:id="4" w:name="_GoBack"/>
            <w:bookmarkEnd w:id="4"/>
          </w:p>
        </w:tc>
        <w:tc>
          <w:tcPr>
            <w:tcW w:w="6525" w:type="dxa"/>
            <w:tcBorders>
              <w:top w:val="single" w:sz="4" w:space="0" w:color="auto"/>
              <w:left w:val="single" w:sz="4" w:space="0" w:color="auto"/>
              <w:bottom w:val="single" w:sz="4" w:space="0" w:color="auto"/>
              <w:right w:val="single" w:sz="4" w:space="0" w:color="auto"/>
            </w:tcBorders>
          </w:tcPr>
          <w:p w14:paraId="689EDB99" w14:textId="77777777" w:rsidR="00133F65" w:rsidRDefault="00133F65" w:rsidP="00E8475B">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37042491"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proofErr w:type="spellStart"/>
      <w:r>
        <w:rPr>
          <w:i/>
          <w:iCs/>
          <w:lang w:val="en-GB" w:eastAsia="en-US"/>
        </w:rPr>
        <w:t>bwp-SwitchingDelay</w:t>
      </w:r>
      <w:proofErr w:type="spellEnd"/>
      <w:r>
        <w:rPr>
          <w:lang w:val="en-GB" w:eastAsia="en-US"/>
        </w:rPr>
        <w:t xml:space="preserve"> capability by the UE depends on the </w:t>
      </w:r>
      <w:r>
        <w:rPr>
          <w:bCs/>
        </w:rPr>
        <w:t>support of the BWP switch feature while per the current spec “</w:t>
      </w:r>
      <w:proofErr w:type="spellStart"/>
      <w:r>
        <w:rPr>
          <w:bCs/>
          <w:i/>
          <w:iCs/>
        </w:rPr>
        <w:t>bwp-SwitchingDelay</w:t>
      </w:r>
      <w:proofErr w:type="spellEnd"/>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we’re  ok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Even though the change looks correct, the interoperability impact needs to be updated to indicate the case where BWP switch feature is supported but this is not advertised. Otherwise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524764"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A92176E"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EB43C5F" w14:textId="5199DAAF" w:rsidR="00524764" w:rsidRDefault="00524764" w:rsidP="00524764">
            <w:pPr>
              <w:pStyle w:val="TAC"/>
              <w:spacing w:before="20" w:after="20"/>
              <w:ind w:left="57" w:right="57"/>
              <w:jc w:val="left"/>
              <w:rPr>
                <w:lang w:eastAsia="zh-CN"/>
              </w:rPr>
            </w:pPr>
            <w:r>
              <w:rPr>
                <w:rFonts w:eastAsia="Malgun Gothic" w:hint="eastAsia"/>
                <w:lang w:eastAsia="ko-KR"/>
              </w:rPr>
              <w:t>Y</w:t>
            </w:r>
            <w:r>
              <w:rPr>
                <w:rFonts w:eastAsia="Malgun Gothic"/>
                <w:lang w:eastAsia="ko-KR"/>
              </w:rPr>
              <w:t>es</w:t>
            </w: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524764" w:rsidRDefault="00524764" w:rsidP="00524764">
            <w:pPr>
              <w:pStyle w:val="TAC"/>
              <w:spacing w:before="20" w:after="20"/>
              <w:ind w:left="57" w:right="57"/>
              <w:jc w:val="left"/>
              <w:rPr>
                <w:lang w:eastAsia="zh-CN"/>
              </w:rPr>
            </w:pPr>
          </w:p>
        </w:tc>
      </w:tr>
      <w:tr w:rsidR="00844700"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3B8F1626"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A390868" w14:textId="7B517E4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844700" w:rsidRDefault="00844700" w:rsidP="00844700">
            <w:pPr>
              <w:pStyle w:val="TAC"/>
              <w:spacing w:before="20" w:after="20"/>
              <w:ind w:left="57" w:right="57"/>
              <w:jc w:val="left"/>
              <w:rPr>
                <w:lang w:eastAsia="zh-CN"/>
              </w:rPr>
            </w:pPr>
          </w:p>
        </w:tc>
      </w:tr>
      <w:tr w:rsidR="00844700"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2D10BAE5" w:rsidR="00844700" w:rsidRDefault="00517CE4"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9352E9" w14:textId="1FF65F17" w:rsidR="00844700" w:rsidRDefault="00517CE4"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844700" w:rsidRDefault="00844700" w:rsidP="00844700">
            <w:pPr>
              <w:pStyle w:val="TAC"/>
              <w:spacing w:before="20" w:after="20"/>
              <w:ind w:left="57" w:right="57"/>
              <w:jc w:val="left"/>
              <w:rPr>
                <w:lang w:eastAsia="zh-CN"/>
              </w:rPr>
            </w:pPr>
          </w:p>
        </w:tc>
      </w:tr>
      <w:tr w:rsidR="00844700"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6ACCEB98" w:rsidR="00844700" w:rsidRDefault="00F50E39" w:rsidP="0084470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565E24A" w14:textId="0CAE3552" w:rsidR="00844700" w:rsidRDefault="00F50E39"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844700" w:rsidRDefault="00844700" w:rsidP="00844700">
            <w:pPr>
              <w:pStyle w:val="TAC"/>
              <w:spacing w:before="20" w:after="20"/>
              <w:ind w:left="57" w:right="57"/>
              <w:jc w:val="left"/>
              <w:rPr>
                <w:lang w:eastAsia="zh-CN"/>
              </w:rPr>
            </w:pPr>
          </w:p>
        </w:tc>
      </w:tr>
      <w:tr w:rsidR="00844700"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09252A2F" w:rsidR="00844700" w:rsidRDefault="005C139F" w:rsidP="00844700">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7EF2E22B" w14:textId="77777777" w:rsidR="00844700" w:rsidRDefault="005C139F" w:rsidP="00844700">
            <w:pPr>
              <w:pStyle w:val="TAC"/>
              <w:spacing w:before="20" w:after="20"/>
              <w:ind w:left="57" w:right="57"/>
              <w:jc w:val="left"/>
              <w:rPr>
                <w:rFonts w:eastAsia="Malgun Gothic"/>
                <w:lang w:eastAsia="ko-KR"/>
              </w:rPr>
            </w:pPr>
            <w:r>
              <w:rPr>
                <w:rFonts w:eastAsia="Malgun Gothic"/>
                <w:lang w:eastAsia="ko-KR"/>
              </w:rPr>
              <w:t>Yes</w:t>
            </w:r>
          </w:p>
          <w:p w14:paraId="2FD08CA5" w14:textId="472444A8" w:rsidR="005C139F" w:rsidRDefault="005C139F" w:rsidP="00844700">
            <w:pPr>
              <w:pStyle w:val="TAC"/>
              <w:spacing w:before="20" w:after="20"/>
              <w:ind w:left="57" w:right="57"/>
              <w:jc w:val="left"/>
              <w:rPr>
                <w:rFonts w:eastAsia="Malgun Gothic"/>
                <w:lang w:eastAsia="ko-KR"/>
              </w:rPr>
            </w:pPr>
            <w:r>
              <w:rPr>
                <w:rFonts w:eastAsia="Malgun Gothic"/>
                <w:lang w:eastAsia="ko-KR"/>
              </w:rPr>
              <w:t>(Proponent)</w:t>
            </w: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844700" w:rsidRDefault="00844700" w:rsidP="00844700">
            <w:pPr>
              <w:pStyle w:val="TAC"/>
              <w:spacing w:before="20" w:after="20"/>
              <w:ind w:left="57" w:right="57"/>
              <w:jc w:val="left"/>
              <w:rPr>
                <w:lang w:eastAsia="zh-CN"/>
              </w:rPr>
            </w:pPr>
          </w:p>
        </w:tc>
      </w:tr>
      <w:tr w:rsidR="00844700"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641B6837" w:rsidR="00844700" w:rsidRDefault="001F302A" w:rsidP="00844700">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3A7446C" w14:textId="69F4FB2D" w:rsidR="00844700" w:rsidRDefault="001F302A" w:rsidP="001F302A">
            <w:pPr>
              <w:pStyle w:val="TAC"/>
              <w:spacing w:before="20" w:after="20"/>
              <w:ind w:right="57"/>
              <w:jc w:val="left"/>
              <w:rPr>
                <w:lang w:val="en-US" w:eastAsia="zh-CN"/>
              </w:rPr>
            </w:pPr>
            <w:r>
              <w:rPr>
                <w:rFonts w:hint="eastAsia"/>
                <w:lang w:val="en-US"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844700" w:rsidRDefault="00844700" w:rsidP="00844700">
            <w:pPr>
              <w:pStyle w:val="TAC"/>
              <w:spacing w:before="20" w:after="20"/>
              <w:ind w:left="57" w:right="57"/>
              <w:jc w:val="left"/>
              <w:rPr>
                <w:lang w:eastAsia="zh-CN"/>
              </w:rPr>
            </w:pPr>
          </w:p>
        </w:tc>
      </w:tr>
      <w:tr w:rsidR="00844700"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5930C9"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844700" w:rsidRDefault="00844700" w:rsidP="00844700">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1"/>
        <w:ind w:left="0" w:firstLine="0"/>
      </w:pPr>
      <w:r>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1"/>
        <w:ind w:left="0" w:firstLine="0"/>
      </w:pPr>
      <w:r>
        <w:t>6</w:t>
      </w:r>
      <w:r>
        <w:tab/>
        <w:t>Discussion (2nd round)</w:t>
      </w:r>
    </w:p>
    <w:p w14:paraId="4F43415B" w14:textId="77777777" w:rsidR="00CE4F57" w:rsidRDefault="00CE4F57">
      <w:pPr>
        <w:jc w:val="both"/>
      </w:pPr>
    </w:p>
    <w:p w14:paraId="622F1926" w14:textId="77777777" w:rsidR="00CE4F57" w:rsidRDefault="003A557B">
      <w:pPr>
        <w:pStyle w:val="1"/>
        <w:ind w:left="0" w:firstLine="0"/>
      </w:pPr>
      <w:r>
        <w:t>7 Conclusion</w:t>
      </w:r>
    </w:p>
    <w:p w14:paraId="43E49F85" w14:textId="77777777" w:rsidR="00CE4F57" w:rsidRDefault="00CE4F57"/>
    <w:p w14:paraId="34C88D8E" w14:textId="77777777" w:rsidR="00CE4F57" w:rsidRDefault="003A557B">
      <w:pPr>
        <w:pStyle w:val="1"/>
        <w:ind w:left="0" w:firstLine="0"/>
      </w:pPr>
      <w:r>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B2E860B" w14:textId="77777777" w:rsidR="00CE4F57" w:rsidRDefault="003A557B">
      <w:pPr>
        <w:pStyle w:val="BoldComments"/>
        <w:rPr>
          <w:lang w:val="en-GB"/>
        </w:rPr>
      </w:pPr>
      <w:r>
        <w:rPr>
          <w:lang w:val="en-GB"/>
        </w:rPr>
        <w:t xml:space="preserve">R4 - </w:t>
      </w:r>
      <w:bookmarkStart w:id="5" w:name="_Hlk103024875"/>
      <w:proofErr w:type="spellStart"/>
      <w:r>
        <w:rPr>
          <w:lang w:val="en-GB"/>
        </w:rPr>
        <w:t>maxNumberCSI</w:t>
      </w:r>
      <w:proofErr w:type="spellEnd"/>
      <w:r>
        <w:rPr>
          <w:lang w:val="en-GB"/>
        </w:rPr>
        <w:t>-RS</w:t>
      </w:r>
    </w:p>
    <w:bookmarkEnd w:id="5"/>
    <w:p w14:paraId="52D9243E"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t>To</w:t>
      </w:r>
      <w:proofErr w:type="gramStart"/>
      <w:r>
        <w:t>:RAN1</w:t>
      </w:r>
      <w:proofErr w:type="gramEnd"/>
      <w:r>
        <w:t>,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 xml:space="preserve">Clarification on the applicability of mixed numerology on UE capability </w:t>
      </w:r>
      <w:proofErr w:type="spellStart"/>
      <w:r>
        <w:t>maxNumberCSI</w:t>
      </w:r>
      <w:proofErr w:type="spellEnd"/>
      <w:r>
        <w:t>-RS-RRM-RS-SINR</w:t>
      </w:r>
      <w:r>
        <w:tab/>
        <w:t xml:space="preserve">Apple </w:t>
      </w:r>
      <w:proofErr w:type="spellStart"/>
      <w:r>
        <w:t>Inc</w:t>
      </w:r>
      <w:proofErr w:type="spellEnd"/>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6" w:name="_Hlk103025635"/>
      <w:r>
        <w:t>2206064</w:t>
      </w:r>
      <w:bookmarkEnd w:id="6"/>
      <w:r>
        <w:tab/>
        <w:t xml:space="preserve">Clarification on the applicability of mixed numerology on UE capability </w:t>
      </w:r>
      <w:proofErr w:type="spellStart"/>
      <w:r>
        <w:t>maxNumberCSI</w:t>
      </w:r>
      <w:proofErr w:type="spellEnd"/>
      <w:r>
        <w:t>-RS-RRM-RS-SINR</w:t>
      </w:r>
      <w:r>
        <w:tab/>
        <w:t xml:space="preserve">Apple </w:t>
      </w:r>
      <w:proofErr w:type="spellStart"/>
      <w:r>
        <w:t>Inc</w:t>
      </w:r>
      <w:proofErr w:type="spellEnd"/>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lastRenderedPageBreak/>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50E38B0D"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22BE3" w14:textId="77777777" w:rsidR="00527897" w:rsidRDefault="00527897" w:rsidP="00524764">
      <w:r>
        <w:separator/>
      </w:r>
    </w:p>
  </w:endnote>
  <w:endnote w:type="continuationSeparator" w:id="0">
    <w:p w14:paraId="3FA16994" w14:textId="77777777" w:rsidR="00527897" w:rsidRDefault="00527897" w:rsidP="0052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B43E7" w14:textId="77777777" w:rsidR="00527897" w:rsidRDefault="00527897" w:rsidP="00524764">
      <w:r>
        <w:separator/>
      </w:r>
    </w:p>
  </w:footnote>
  <w:footnote w:type="continuationSeparator" w:id="0">
    <w:p w14:paraId="00991DC7" w14:textId="77777777" w:rsidR="00527897" w:rsidRDefault="00527897" w:rsidP="00524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37FD1"/>
    <w:rsid w:val="00040095"/>
    <w:rsid w:val="00041715"/>
    <w:rsid w:val="0004262E"/>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3F65"/>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2317"/>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302A"/>
    <w:rsid w:val="001F5B46"/>
    <w:rsid w:val="001F7831"/>
    <w:rsid w:val="00201FD8"/>
    <w:rsid w:val="00203026"/>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17CE4"/>
    <w:rsid w:val="00521BC4"/>
    <w:rsid w:val="00521E0E"/>
    <w:rsid w:val="00524764"/>
    <w:rsid w:val="00525A45"/>
    <w:rsid w:val="00526222"/>
    <w:rsid w:val="00527897"/>
    <w:rsid w:val="00527FD7"/>
    <w:rsid w:val="00533CF2"/>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0D16"/>
    <w:rsid w:val="005B21F3"/>
    <w:rsid w:val="005B452D"/>
    <w:rsid w:val="005B49B9"/>
    <w:rsid w:val="005B4A4F"/>
    <w:rsid w:val="005B6AD6"/>
    <w:rsid w:val="005B6BD7"/>
    <w:rsid w:val="005B7582"/>
    <w:rsid w:val="005C139F"/>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9A3"/>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053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1E3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595"/>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470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2D0F"/>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026E"/>
    <w:rsid w:val="0090271F"/>
    <w:rsid w:val="00902DB9"/>
    <w:rsid w:val="00902ECC"/>
    <w:rsid w:val="00902FE8"/>
    <w:rsid w:val="009039DE"/>
    <w:rsid w:val="00903A0B"/>
    <w:rsid w:val="0090466A"/>
    <w:rsid w:val="00905E33"/>
    <w:rsid w:val="00906A10"/>
    <w:rsid w:val="009070A7"/>
    <w:rsid w:val="009071C0"/>
    <w:rsid w:val="00911201"/>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466B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3C7C"/>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143"/>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06F5"/>
    <w:rsid w:val="00C42969"/>
    <w:rsid w:val="00C50DCF"/>
    <w:rsid w:val="00C519DB"/>
    <w:rsid w:val="00C53B15"/>
    <w:rsid w:val="00C55A12"/>
    <w:rsid w:val="00C6553E"/>
    <w:rsid w:val="00C6686E"/>
    <w:rsid w:val="00C70128"/>
    <w:rsid w:val="00C70654"/>
    <w:rsid w:val="00C73B8F"/>
    <w:rsid w:val="00C74CC7"/>
    <w:rsid w:val="00C75447"/>
    <w:rsid w:val="00C82074"/>
    <w:rsid w:val="00C8217E"/>
    <w:rsid w:val="00C83A13"/>
    <w:rsid w:val="00C8437A"/>
    <w:rsid w:val="00C904E6"/>
    <w:rsid w:val="00C9068C"/>
    <w:rsid w:val="00C913AE"/>
    <w:rsid w:val="00C92967"/>
    <w:rsid w:val="00C92F34"/>
    <w:rsid w:val="00C95780"/>
    <w:rsid w:val="00C9699B"/>
    <w:rsid w:val="00CA0190"/>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356"/>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475B"/>
    <w:rsid w:val="00E86664"/>
    <w:rsid w:val="00E934C2"/>
    <w:rsid w:val="00E9399E"/>
    <w:rsid w:val="00E94A90"/>
    <w:rsid w:val="00E95920"/>
    <w:rsid w:val="00E9608E"/>
    <w:rsid w:val="00E965DA"/>
    <w:rsid w:val="00E973E8"/>
    <w:rsid w:val="00E97EA6"/>
    <w:rsid w:val="00EA0D13"/>
    <w:rsid w:val="00EA3F36"/>
    <w:rsid w:val="00EA66C9"/>
    <w:rsid w:val="00EA6869"/>
    <w:rsid w:val="00EA6CD1"/>
    <w:rsid w:val="00EB1795"/>
    <w:rsid w:val="00EB2925"/>
    <w:rsid w:val="00EB3C31"/>
    <w:rsid w:val="00EB4D02"/>
    <w:rsid w:val="00EB7C11"/>
    <w:rsid w:val="00EB7DC7"/>
    <w:rsid w:val="00EC4A25"/>
    <w:rsid w:val="00EC542F"/>
    <w:rsid w:val="00EC6867"/>
    <w:rsid w:val="00EC7F16"/>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0E39"/>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05C0"/>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D4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eastAsia="Times New Roman" w:hAnsi="Arial"/>
      <w:szCs w:val="24"/>
      <w:lang w:eastAsia="zh-CN"/>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rPr>
      <w:rFonts w:eastAsia="宋体"/>
      <w:lang w:val="en-GB" w:eastAsia="en-US"/>
    </w:rPr>
  </w:style>
  <w:style w:type="paragraph" w:styleId="a4">
    <w:name w:val="annotation text"/>
    <w:basedOn w:val="a"/>
    <w:link w:val="Char0"/>
    <w:qFormat/>
    <w:pPr>
      <w:spacing w:after="180"/>
    </w:pPr>
    <w:rPr>
      <w:rFonts w:eastAsia="宋体"/>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eastAsia="宋体"/>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after="180"/>
      <w:ind w:left="1702" w:hanging="1418"/>
    </w:pPr>
    <w:rPr>
      <w:rFonts w:eastAsia="宋体"/>
      <w:szCs w:val="20"/>
      <w:lang w:val="en-GB" w:eastAsia="en-US"/>
    </w:rPr>
  </w:style>
  <w:style w:type="paragraph" w:customStyle="1" w:styleId="FP">
    <w:name w:val="FP"/>
    <w:basedOn w:val="a"/>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spacing w:after="180"/>
      <w:ind w:left="851" w:hanging="284"/>
    </w:pPr>
    <w:rPr>
      <w:rFonts w:eastAsia="宋体"/>
      <w:szCs w:val="20"/>
      <w:lang w:val="en-GB" w:eastAsia="en-US"/>
    </w:rPr>
  </w:style>
  <w:style w:type="paragraph" w:customStyle="1" w:styleId="B3">
    <w:name w:val="B3"/>
    <w:basedOn w:val="a"/>
    <w:qFormat/>
    <w:pPr>
      <w:spacing w:after="180"/>
      <w:ind w:left="1135" w:hanging="284"/>
    </w:pPr>
    <w:rPr>
      <w:rFonts w:eastAsia="宋体"/>
      <w:szCs w:val="20"/>
      <w:lang w:val="en-GB" w:eastAsia="en-US"/>
    </w:rPr>
  </w:style>
  <w:style w:type="paragraph" w:customStyle="1" w:styleId="B4">
    <w:name w:val="B4"/>
    <w:basedOn w:val="a"/>
    <w:qFormat/>
    <w:pPr>
      <w:spacing w:after="180"/>
      <w:ind w:left="1418" w:hanging="284"/>
    </w:pPr>
    <w:rPr>
      <w:rFonts w:eastAsia="宋体"/>
      <w:szCs w:val="20"/>
      <w:lang w:val="en-GB" w:eastAsia="en-US"/>
    </w:rPr>
  </w:style>
  <w:style w:type="paragraph" w:customStyle="1" w:styleId="B5">
    <w:name w:val="B5"/>
    <w:basedOn w:val="a"/>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宋体"/>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eastAsia="Times New Roman" w:hAnsi="Arial"/>
      <w:szCs w:val="24"/>
      <w:lang w:eastAsia="zh-CN"/>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rPr>
      <w:rFonts w:eastAsia="宋体"/>
      <w:lang w:val="en-GB" w:eastAsia="en-US"/>
    </w:rPr>
  </w:style>
  <w:style w:type="paragraph" w:styleId="a4">
    <w:name w:val="annotation text"/>
    <w:basedOn w:val="a"/>
    <w:link w:val="Char0"/>
    <w:qFormat/>
    <w:pPr>
      <w:spacing w:after="180"/>
    </w:pPr>
    <w:rPr>
      <w:rFonts w:eastAsia="宋体"/>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eastAsia="宋体"/>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after="180"/>
      <w:ind w:left="1702" w:hanging="1418"/>
    </w:pPr>
    <w:rPr>
      <w:rFonts w:eastAsia="宋体"/>
      <w:szCs w:val="20"/>
      <w:lang w:val="en-GB" w:eastAsia="en-US"/>
    </w:rPr>
  </w:style>
  <w:style w:type="paragraph" w:customStyle="1" w:styleId="FP">
    <w:name w:val="FP"/>
    <w:basedOn w:val="a"/>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spacing w:after="180"/>
      <w:ind w:left="851" w:hanging="284"/>
    </w:pPr>
    <w:rPr>
      <w:rFonts w:eastAsia="宋体"/>
      <w:szCs w:val="20"/>
      <w:lang w:val="en-GB" w:eastAsia="en-US"/>
    </w:rPr>
  </w:style>
  <w:style w:type="paragraph" w:customStyle="1" w:styleId="B3">
    <w:name w:val="B3"/>
    <w:basedOn w:val="a"/>
    <w:qFormat/>
    <w:pPr>
      <w:spacing w:after="180"/>
      <w:ind w:left="1135" w:hanging="284"/>
    </w:pPr>
    <w:rPr>
      <w:rFonts w:eastAsia="宋体"/>
      <w:szCs w:val="20"/>
      <w:lang w:val="en-GB" w:eastAsia="en-US"/>
    </w:rPr>
  </w:style>
  <w:style w:type="paragraph" w:customStyle="1" w:styleId="B4">
    <w:name w:val="B4"/>
    <w:basedOn w:val="a"/>
    <w:qFormat/>
    <w:pPr>
      <w:spacing w:after="180"/>
      <w:ind w:left="1418" w:hanging="284"/>
    </w:pPr>
    <w:rPr>
      <w:rFonts w:eastAsia="宋体"/>
      <w:szCs w:val="20"/>
      <w:lang w:val="en-GB" w:eastAsia="en-US"/>
    </w:rPr>
  </w:style>
  <w:style w:type="paragraph" w:customStyle="1" w:styleId="B5">
    <w:name w:val="B5"/>
    <w:basedOn w:val="a"/>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宋体"/>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i.wenting@zte.com.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AB6573-8AEB-443C-800F-0D3C578F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2683</Words>
  <Characters>15295</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8</cp:revision>
  <dcterms:created xsi:type="dcterms:W3CDTF">2022-05-12T01:16:00Z</dcterms:created>
  <dcterms:modified xsi:type="dcterms:W3CDTF">2022-05-12T05:21:00Z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