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pPr>
        <w:pStyle w:val="25"/>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pPr>
        <w:pStyle w:val="25"/>
        <w:rPr>
          <w:bCs/>
          <w:sz w:val="22"/>
          <w:szCs w:val="22"/>
          <w:lang w:val="en-US"/>
        </w:rPr>
      </w:pPr>
    </w:p>
    <w:p>
      <w:pPr>
        <w:pStyle w:val="25"/>
        <w:rPr>
          <w:bCs/>
          <w:sz w:val="22"/>
          <w:szCs w:val="22"/>
        </w:rPr>
      </w:pPr>
    </w:p>
    <w:p>
      <w:pPr>
        <w:pStyle w:val="70"/>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Pr>
          <w:rFonts w:cs="Arial"/>
          <w:b/>
          <w:bCs/>
          <w:sz w:val="22"/>
          <w:szCs w:val="22"/>
        </w:rPr>
        <w:t>NTT DOCOMO INC. (Moderator)</w:t>
      </w:r>
    </w:p>
    <w:p>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[AT118-e][020][NR1516] UE capabilities I (NTT DOCOMO)</w:t>
      </w:r>
    </w:p>
    <w:p>
      <w:pPr>
        <w:ind w:left="1985" w:hanging="1985"/>
        <w:rPr>
          <w:rFonts w:cs="Arial"/>
          <w:b/>
          <w:bCs/>
          <w:sz w:val="22"/>
          <w:szCs w:val="22"/>
        </w:rPr>
      </w:pPr>
      <w:r>
        <w:rPr>
          <w:rFonts w:cs="Arial"/>
          <w:b/>
          <w:bCs/>
          <w:sz w:val="22"/>
          <w:szCs w:val="22"/>
        </w:rPr>
        <w:t>Document for:</w:t>
      </w:r>
      <w:r>
        <w:rPr>
          <w:rFonts w:cs="Arial"/>
          <w:b/>
          <w:bCs/>
          <w:sz w:val="22"/>
          <w:szCs w:val="22"/>
        </w:rPr>
        <w:tab/>
      </w:r>
      <w:r>
        <w:rPr>
          <w:rFonts w:cs="Arial"/>
          <w:b/>
          <w:bCs/>
          <w:sz w:val="22"/>
          <w:szCs w:val="22"/>
        </w:rPr>
        <w:t>Discussion and Decision</w:t>
      </w:r>
    </w:p>
    <w:p>
      <w:pPr>
        <w:pStyle w:val="2"/>
      </w:pPr>
      <w:r>
        <w:t>1 Introduction</w:t>
      </w:r>
    </w:p>
    <w:p>
      <w:pPr>
        <w:pStyle w:val="75"/>
        <w:ind w:left="0" w:firstLine="0"/>
      </w:pPr>
      <w:r>
        <w:t>This document is to report on the following offline discussion:</w:t>
      </w:r>
    </w:p>
    <w:p>
      <w:pPr>
        <w:pStyle w:val="75"/>
        <w:ind w:left="0" w:firstLine="0"/>
      </w:pPr>
    </w:p>
    <w:p>
      <w:pPr>
        <w:pStyle w:val="74"/>
      </w:pPr>
      <w:bookmarkStart w:id="0" w:name="_Hlk103023531"/>
      <w:bookmarkStart w:id="1" w:name="_Hlk102970342"/>
      <w:r>
        <w:t>[AT118-e][020][NR1516] UE capabilities I (NTT DOCOMO)</w:t>
      </w:r>
    </w:p>
    <w:bookmarkEnd w:id="0"/>
    <w:p>
      <w:pPr>
        <w:pStyle w:val="77"/>
      </w:pPr>
      <w:r>
        <w:tab/>
      </w:r>
      <w:r>
        <w:t>Scope: Treat R2-2205118, R2-2205119, R2-2205121, R2-2204472, R2-2206063, R2-2206064, R2-2204419, R2-2204840, R2-2204841, R2-2205451, R2-2205452, R2-2206000, R2-2206001</w:t>
      </w:r>
    </w:p>
    <w:p>
      <w:pPr>
        <w:pStyle w:val="75"/>
      </w:pPr>
      <w:r>
        <w:tab/>
      </w:r>
      <w:r>
        <w:t xml:space="preserve">Ph1 Determine agreeable parts, Ph2 for agreeable parts agree CRs (offline agreement, CB online only if necessary). </w:t>
      </w:r>
    </w:p>
    <w:p>
      <w:pPr>
        <w:pStyle w:val="75"/>
      </w:pPr>
      <w:r>
        <w:tab/>
      </w:r>
      <w:r>
        <w:t>Intended outcome: Report, Agreed CRs</w:t>
      </w:r>
    </w:p>
    <w:p>
      <w:pPr>
        <w:pStyle w:val="75"/>
      </w:pPr>
      <w:r>
        <w:tab/>
      </w:r>
      <w:r>
        <w:t>Deadline: Schedule 1</w:t>
      </w:r>
    </w:p>
    <w:bookmarkEnd w:id="1"/>
    <w:p>
      <w:pPr>
        <w:pStyle w:val="75"/>
        <w:ind w:left="0" w:firstLine="0"/>
      </w:pPr>
    </w:p>
    <w:p>
      <w:pPr>
        <w:pStyle w:val="75"/>
        <w:ind w:left="0" w:firstLine="0"/>
      </w:pPr>
      <w:r>
        <w:t>This discussion follows Schedule 1, which is organized as follows.</w:t>
      </w:r>
    </w:p>
    <w:p>
      <w:pPr>
        <w:pStyle w:val="75"/>
        <w:ind w:left="0" w:firstLine="0"/>
      </w:pPr>
    </w:p>
    <w:p>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W1 Thursd May 12</w:t>
      </w:r>
      <w:r>
        <w:rPr>
          <w:rFonts w:eastAsia="MS Mincho"/>
          <w:b/>
          <w:highlight w:val="yellow"/>
          <w:vertAlign w:val="superscript"/>
          <w:lang w:val="en-GB" w:eastAsia="en-GB"/>
        </w:rPr>
        <w:t>th</w:t>
      </w:r>
      <w:r>
        <w:rPr>
          <w:rFonts w:eastAsia="MS Mincho"/>
          <w:b/>
          <w:highlight w:val="yellow"/>
          <w:lang w:val="en-GB" w:eastAsia="en-GB"/>
        </w:rPr>
        <w:t xml:space="preserve"> 1200 UTC</w:t>
      </w:r>
      <w:r>
        <w:rPr>
          <w:rFonts w:eastAsia="MS Mincho"/>
          <w:lang w:val="en-GB" w:eastAsia="en-GB"/>
        </w:rPr>
        <w:t xml:space="preserve"> to settle scope what is agreeable etc</w:t>
      </w:r>
    </w:p>
    <w:p>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Final deadline W2 Wednesd May 18</w:t>
      </w:r>
      <w:r>
        <w:rPr>
          <w:rFonts w:eastAsia="MS Mincho"/>
          <w:b/>
          <w:vertAlign w:val="superscript"/>
          <w:lang w:val="en-GB" w:eastAsia="en-GB"/>
        </w:rPr>
        <w:t>th</w:t>
      </w:r>
      <w:r>
        <w:rPr>
          <w:rFonts w:eastAsia="MS Mincho"/>
          <w:b/>
          <w:lang w:val="en-GB" w:eastAsia="en-GB"/>
        </w:rPr>
        <w:t xml:space="preserve"> 1200 UTC </w:t>
      </w:r>
      <w:r>
        <w:rPr>
          <w:rFonts w:eastAsia="MS Mincho"/>
          <w:lang w:val="en-GB" w:eastAsia="en-GB"/>
        </w:rPr>
        <w:t xml:space="preserve">to settle details / agree CRs etc. </w:t>
      </w:r>
    </w:p>
    <w:p>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pPr>
        <w:spacing w:before="60"/>
        <w:jc w:val="both"/>
        <w:rPr>
          <w:rFonts w:eastAsia="MS Mincho"/>
          <w:lang w:eastAsia="en-GB"/>
        </w:rPr>
      </w:pPr>
    </w:p>
    <w:p>
      <w:pPr>
        <w:pStyle w:val="2"/>
        <w:ind w:left="0" w:firstLine="0"/>
      </w:pPr>
      <w:r>
        <w:t>2</w:t>
      </w:r>
      <w:r>
        <w:tab/>
      </w:r>
      <w:r>
        <w:t>Contact Points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Q</w:t>
            </w:r>
            <w:r>
              <w:rPr>
                <w:lang w:eastAsia="zh-CN"/>
              </w:rPr>
              <w:t>ianxi Lu</w:t>
            </w:r>
          </w:p>
          <w:p>
            <w:pPr>
              <w:pStyle w:val="44"/>
              <w:spacing w:before="20" w:after="20"/>
              <w:ind w:left="57" w:right="57"/>
              <w:jc w:val="left"/>
              <w:rPr>
                <w:lang w:eastAsia="zh-CN"/>
              </w:rPr>
            </w:pPr>
            <w:r>
              <w:rPr>
                <w:rFonts w:hint="eastAsia"/>
                <w:lang w:eastAsia="zh-CN"/>
              </w:rPr>
              <w:t>H</w:t>
            </w:r>
            <w:r>
              <w:rPr>
                <w:lang w:eastAsia="zh-CN"/>
              </w:rPr>
              <w:t>aitao Li</w:t>
            </w:r>
          </w:p>
          <w:p>
            <w:pPr>
              <w:pStyle w:val="44"/>
              <w:spacing w:before="20" w:after="20"/>
              <w:ind w:left="57" w:right="57"/>
              <w:jc w:val="left"/>
              <w:rPr>
                <w:lang w:eastAsia="zh-CN"/>
              </w:rPr>
            </w:pPr>
            <w:r>
              <w:rPr>
                <w:rFonts w:hint="eastAsia"/>
                <w:lang w:eastAsia="zh-CN"/>
              </w:rPr>
              <w:t>C</w:t>
            </w:r>
            <w:r>
              <w:rPr>
                <w:lang w:eastAsia="zh-CN"/>
              </w:rPr>
              <w:t>ong Shi</w:t>
            </w:r>
          </w:p>
          <w:p>
            <w:pPr>
              <w:pStyle w:val="44"/>
              <w:spacing w:before="20" w:after="20"/>
              <w:ind w:left="57" w:right="57"/>
              <w:jc w:val="left"/>
              <w:rPr>
                <w:lang w:eastAsia="zh-CN"/>
              </w:rPr>
            </w:pPr>
            <w:r>
              <w:rPr>
                <w:rFonts w:hint="eastAsia"/>
                <w:lang w:eastAsia="zh-CN"/>
              </w:rPr>
              <w:t>Z</w:t>
            </w:r>
            <w:r>
              <w:rPr>
                <w:lang w:eastAsia="zh-CN"/>
              </w:rPr>
              <w:t>hongda Du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q</w:t>
            </w:r>
            <w:r>
              <w:rPr>
                <w:lang w:eastAsia="zh-CN"/>
              </w:rPr>
              <w:t>ianxi.lu@oppo.com</w:t>
            </w:r>
          </w:p>
          <w:p>
            <w:pPr>
              <w:pStyle w:val="44"/>
              <w:spacing w:before="20" w:after="20"/>
              <w:ind w:left="57" w:right="57"/>
              <w:jc w:val="left"/>
              <w:rPr>
                <w:lang w:eastAsia="zh-CN"/>
              </w:rPr>
            </w:pPr>
            <w:r>
              <w:rPr>
                <w:lang w:eastAsia="zh-CN"/>
              </w:rPr>
              <w:t>Haitao Li &lt;lihaitao@oppo.com&gt;</w:t>
            </w:r>
          </w:p>
          <w:p>
            <w:pPr>
              <w:pStyle w:val="44"/>
              <w:spacing w:before="20" w:after="20"/>
              <w:ind w:left="57" w:right="57"/>
              <w:jc w:val="left"/>
              <w:rPr>
                <w:lang w:eastAsia="zh-CN"/>
              </w:rPr>
            </w:pPr>
            <w:r>
              <w:rPr>
                <w:lang w:eastAsia="zh-CN"/>
              </w:rPr>
              <w:t>Shi Cong &lt;shicong@oppo.com&gt;</w:t>
            </w:r>
          </w:p>
          <w:p>
            <w:pPr>
              <w:pStyle w:val="44"/>
              <w:spacing w:before="20" w:after="20"/>
              <w:ind w:left="57" w:right="57"/>
              <w:jc w:val="left"/>
              <w:rPr>
                <w:lang w:eastAsia="zh-CN"/>
              </w:rPr>
            </w:pPr>
            <w:r>
              <w:rPr>
                <w:lang w:eastAsia="zh-CN"/>
              </w:rPr>
              <w:t>Zhongda Du &lt;duzhongda@oppo.com&gt;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T</w:t>
            </w:r>
            <w:r>
              <w:rPr>
                <w:lang w:eastAsia="zh-CN"/>
              </w:rPr>
              <w:t>ong Sha</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shatong3@hisilicon.com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 Corporation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Seau Sian Lim</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seau.s.lim@intel.com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Liwenting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fldChar w:fldCharType="begin"/>
            </w:r>
            <w:r>
              <w:rPr>
                <w:rFonts w:hint="eastAsia"/>
                <w:lang w:val="en-US" w:eastAsia="zh-CN"/>
              </w:rPr>
              <w:instrText xml:space="preserve"> HYPERLINK "mailto:Li.wenting@zte.com.cn" </w:instrText>
            </w:r>
            <w:r>
              <w:rPr>
                <w:rFonts w:hint="eastAsia"/>
                <w:lang w:val="en-US" w:eastAsia="zh-CN"/>
              </w:rPr>
              <w:fldChar w:fldCharType="separate"/>
            </w:r>
            <w:r>
              <w:rPr>
                <w:rStyle w:val="32"/>
                <w:rFonts w:hint="eastAsia"/>
                <w:lang w:val="en-US" w:eastAsia="zh-CN"/>
              </w:rPr>
              <w:t>Li.wenting@zte.com.cn</w:t>
            </w:r>
            <w:r>
              <w:rPr>
                <w:rFonts w:hint="eastAsia"/>
                <w:lang w:val="en-US"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2"/>
        <w:ind w:left="0" w:firstLine="0"/>
      </w:pPr>
      <w:r>
        <w:t>3</w:t>
      </w:r>
      <w:r>
        <w:tab/>
      </w:r>
      <w:r>
        <w:t>Discussion (1</w:t>
      </w:r>
      <w:r>
        <w:rPr>
          <w:vertAlign w:val="superscript"/>
        </w:rPr>
        <w:t>st</w:t>
      </w:r>
      <w:r>
        <w:t xml:space="preserve"> round)</w:t>
      </w:r>
    </w:p>
    <w:p>
      <w:pPr>
        <w:pStyle w:val="3"/>
      </w:pPr>
      <w:r>
        <w:t>3.1 R4 - Simultaneous Rx/Tx</w:t>
      </w:r>
    </w:p>
    <w:p>
      <w:pPr>
        <w:pStyle w:val="79"/>
      </w:pPr>
      <w:r>
        <w:t>[1] R2-2205118</w:t>
      </w:r>
      <w:r>
        <w:tab/>
      </w:r>
      <w:r>
        <w:t>Clarification on simultaneous Rx/Tx capability per band pair</w:t>
      </w:r>
      <w:r>
        <w:tab/>
      </w:r>
      <w:r>
        <w:t>NTT DOCOMO, INC.</w:t>
      </w:r>
      <w:r>
        <w:tab/>
      </w:r>
      <w:r>
        <w:t>CR</w:t>
      </w:r>
      <w:r>
        <w:tab/>
      </w:r>
      <w:r>
        <w:t>Rel-15</w:t>
      </w:r>
      <w:r>
        <w:tab/>
      </w:r>
      <w:r>
        <w:t>38.306</w:t>
      </w:r>
      <w:r>
        <w:tab/>
      </w:r>
      <w:r>
        <w:t>15.16.0</w:t>
      </w:r>
      <w:r>
        <w:tab/>
      </w:r>
      <w:r>
        <w:t>0708</w:t>
      </w:r>
      <w:r>
        <w:tab/>
      </w:r>
      <w:r>
        <w:t>-</w:t>
      </w:r>
      <w:r>
        <w:tab/>
      </w:r>
      <w:r>
        <w:t>F</w:t>
      </w:r>
      <w:r>
        <w:tab/>
      </w:r>
      <w:r>
        <w:t>NR_newRAT-Core</w:t>
      </w:r>
    </w:p>
    <w:p>
      <w:pPr>
        <w:pStyle w:val="79"/>
      </w:pPr>
      <w:r>
        <w:t>[2] R2-2205119</w:t>
      </w:r>
      <w:r>
        <w:tab/>
      </w:r>
      <w:r>
        <w:t>Clarification on simultaneous Rx/Tx capability per band pair</w:t>
      </w:r>
      <w:r>
        <w:tab/>
      </w:r>
      <w:r>
        <w:t>NTT DOCOMO, INC.</w:t>
      </w:r>
      <w:r>
        <w:tab/>
      </w:r>
      <w:r>
        <w:t>CR</w:t>
      </w:r>
      <w:r>
        <w:tab/>
      </w:r>
      <w:r>
        <w:t>Rel-16</w:t>
      </w:r>
      <w:r>
        <w:tab/>
      </w:r>
      <w:r>
        <w:t>38.306</w:t>
      </w:r>
      <w:r>
        <w:tab/>
      </w:r>
      <w:r>
        <w:t>16.8.0</w:t>
      </w:r>
      <w:r>
        <w:tab/>
      </w:r>
      <w:r>
        <w:t>0709</w:t>
      </w:r>
      <w:r>
        <w:tab/>
      </w:r>
      <w:r>
        <w:t>-</w:t>
      </w:r>
      <w:r>
        <w:tab/>
      </w:r>
      <w:r>
        <w:t>A</w:t>
      </w:r>
      <w:r>
        <w:tab/>
      </w:r>
      <w:r>
        <w:t>NR_newRAT-Core</w:t>
      </w:r>
    </w:p>
    <w:p>
      <w:pPr>
        <w:pStyle w:val="79"/>
      </w:pPr>
      <w:r>
        <w:t>[3] R2-2205121</w:t>
      </w:r>
      <w:r>
        <w:tab/>
      </w:r>
      <w:r>
        <w:t>Clarification on simultaneous Rx/Tx capability per band pair</w:t>
      </w:r>
      <w:r>
        <w:tab/>
      </w:r>
      <w:r>
        <w:t>NTT DOCOMO, INC.</w:t>
      </w:r>
      <w:r>
        <w:tab/>
      </w:r>
      <w:r>
        <w:t>CR</w:t>
      </w:r>
      <w:r>
        <w:tab/>
      </w:r>
      <w:r>
        <w:t>Rel-17</w:t>
      </w:r>
      <w:r>
        <w:tab/>
      </w:r>
      <w:r>
        <w:t>38.306</w:t>
      </w:r>
      <w:r>
        <w:tab/>
      </w:r>
      <w:r>
        <w:t>17.0.0</w:t>
      </w:r>
      <w:r>
        <w:tab/>
      </w:r>
      <w:r>
        <w:t>0710</w:t>
      </w:r>
      <w:r>
        <w:tab/>
      </w:r>
      <w:r>
        <w:t>-</w:t>
      </w:r>
      <w:r>
        <w:tab/>
      </w:r>
      <w:r>
        <w:t>A</w:t>
      </w:r>
      <w:r>
        <w:tab/>
      </w:r>
      <w:r>
        <w:t>NR_newRAT-Core</w:t>
      </w:r>
    </w:p>
    <w:p/>
    <w:p>
      <w:r>
        <w:t>According to the contributions, RAN4 discussed when the per-band-pair simultaneous Rx/Tx capability should be mandatory and the following agreements were made, which were captured in Rel-15 TS 38.101 series (R4-2206610, R4-2206616)</w:t>
      </w:r>
    </w:p>
    <w:p/>
    <w:p>
      <w:pPr>
        <w:ind w:left="284"/>
        <w:rPr>
          <w:rFonts w:cs="Arial"/>
          <w:sz w:val="21"/>
          <w:szCs w:val="21"/>
        </w:rPr>
      </w:pPr>
      <w:r>
        <w:rPr>
          <w:rFonts w:cs="Arial"/>
          <w:sz w:val="21"/>
          <w:szCs w:val="21"/>
        </w:rPr>
        <w:t>Agreement:</w:t>
      </w:r>
    </w:p>
    <w:p>
      <w:pPr>
        <w:ind w:left="284"/>
        <w:rPr>
          <w:rFonts w:cs="Arial"/>
          <w:sz w:val="21"/>
          <w:szCs w:val="21"/>
        </w:rPr>
      </w:pPr>
      <w:r>
        <w:rPr>
          <w:rFonts w:cs="Arial"/>
          <w:sz w:val="21"/>
          <w:szCs w:val="21"/>
        </w:rPr>
        <w:t>Proposal 1: For inter-band EN-DC, NE-DC, NR CA, NR DC and SUL configurations, If mandatory simultaneous RxTx capability apply for a band configuration, mandatory simultaneous RxTx capability also apply for the band pair of the configuration when the applicable configuration is a subset of a higher order band configuration.</w:t>
      </w:r>
    </w:p>
    <w:p>
      <w:pPr>
        <w:ind w:left="284"/>
        <w:rPr>
          <w:rFonts w:cs="Arial"/>
          <w:sz w:val="21"/>
          <w:szCs w:val="21"/>
        </w:rPr>
      </w:pPr>
      <w:r>
        <w:rPr>
          <w:rFonts w:cs="Arial"/>
          <w:sz w:val="21"/>
          <w:szCs w:val="21"/>
        </w:rPr>
        <w:t>Proposal 2: Clarification in Proposal 1 should apply from Rel-15 TS 38.101 series.</w:t>
      </w:r>
    </w:p>
    <w:p/>
    <w:p>
      <w:r>
        <w:t>The CRs propose to reflect the agreement to 38.306 by adding the following text.</w:t>
      </w:r>
    </w:p>
    <w:p/>
    <w:p>
      <w:pPr>
        <w:pStyle w:val="70"/>
        <w:spacing w:after="0"/>
        <w:ind w:left="100"/>
      </w:pPr>
      <w:r>
        <w:rPr>
          <w:i/>
          <w:iCs/>
        </w:rPr>
        <w:t>Otherwise, for the band pairs where the mandatory simultaneous Rx/Tx capability applies as specified in &lt;reference to 38.101-x series&gt;, the UE shall set the corresponding bits to “1”.</w:t>
      </w:r>
    </w:p>
    <w:p/>
    <w:p>
      <w:r>
        <w:t xml:space="preserve">The CRs also propose to clarify that Per-BC capability signalling should be used if the UE supports the capability for all </w:t>
      </w:r>
      <w:r>
        <w:rPr>
          <w:i/>
          <w:iCs/>
        </w:rPr>
        <w:t>applicable</w:t>
      </w:r>
      <w:r>
        <w:t xml:space="preserve"> band pairs, as simultaneous Rx/Tx capability is not applicable to certain band combinations or band pairs, e.g. intra-band band pairs.</w:t>
      </w:r>
    </w:p>
    <w:p/>
    <w:p>
      <w:pPr>
        <w:outlineLvl w:val="2"/>
        <w:rPr>
          <w:b/>
          <w:bCs/>
        </w:rPr>
      </w:pPr>
      <w:r>
        <w:rPr>
          <w:b/>
          <w:bCs/>
        </w:rPr>
        <w:t>Question 1: Do companies agree with the intention of R2-2205118 [1] and its mirror CRs[2][3]?</w:t>
      </w:r>
    </w:p>
    <w:p/>
    <w:tbl>
      <w:tblPr>
        <w:tblStyle w:val="29"/>
        <w:tblW w:w="9639"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7"/>
        <w:gridCol w:w="1275"/>
        <w:gridCol w:w="6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H</w:t>
            </w:r>
            <w:r>
              <w:rPr>
                <w:lang w:eastAsia="zh-CN"/>
              </w:rPr>
              <w:t>uawei, HiSilicon</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agree that the simultaneousRxTx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simultaneousRxTxSULPerBandPair as well. </w:t>
            </w:r>
          </w:p>
          <w:p>
            <w:pPr>
              <w:pStyle w:val="44"/>
              <w:spacing w:before="20" w:after="20"/>
              <w:ind w:left="57" w:right="57"/>
              <w:jc w:val="left"/>
              <w:rPr>
                <w:lang w:eastAsia="zh-CN"/>
              </w:rPr>
            </w:pPr>
          </w:p>
          <w:p>
            <w:pPr>
              <w:pStyle w:val="42"/>
              <w:ind w:left="600" w:leftChars="300"/>
              <w:rPr>
                <w:b/>
                <w:i/>
              </w:rPr>
            </w:pPr>
            <w:r>
              <w:rPr>
                <w:b/>
                <w:i/>
              </w:rPr>
              <w:t>simultaneousRxTxSULPerBandPair</w:t>
            </w:r>
          </w:p>
          <w:p>
            <w:pPr>
              <w:pStyle w:val="42"/>
              <w:ind w:left="600" w:leftChars="300"/>
              <w:rPr>
                <w:bCs/>
                <w:iCs/>
              </w:rPr>
            </w:pPr>
            <w:r>
              <w:rPr>
                <w:bCs/>
                <w:iCs/>
              </w:rPr>
              <w:t>Indicates whether the UE supports simultaneous reception and transmission for a NR band combination including SUL for each band pair in the band combination.</w:t>
            </w:r>
          </w:p>
          <w:p>
            <w:pPr>
              <w:pStyle w:val="42"/>
              <w:ind w:left="600" w:leftChars="300"/>
              <w:rPr>
                <w:bCs/>
                <w:iCs/>
              </w:rPr>
            </w:pPr>
            <w:r>
              <w:rPr>
                <w:bCs/>
                <w:iCs/>
              </w:rPr>
              <w:t xml:space="preserve">Encoded in the same manner as </w:t>
            </w:r>
            <w:r>
              <w:rPr>
                <w:bCs/>
                <w:i/>
              </w:rPr>
              <w:t>simultaneousRxTxInterBandCAPerBandPair</w:t>
            </w:r>
            <w:r>
              <w:rPr>
                <w:bCs/>
                <w:iCs/>
              </w:rPr>
              <w:t>.</w:t>
            </w:r>
          </w:p>
          <w:p>
            <w:pPr>
              <w:pStyle w:val="44"/>
              <w:spacing w:before="20" w:after="20"/>
              <w:ind w:left="656" w:leftChars="328" w:right="56" w:rightChars="28"/>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r>
              <w:rPr>
                <w:bCs/>
                <w:i/>
              </w:rPr>
              <w:t>simultaneousRxTxSUL</w:t>
            </w:r>
            <w:r>
              <w:rPr>
                <w:bCs/>
                <w:iCs/>
              </w:rPr>
              <w:t xml:space="preserve"> is included) or does not support for any band pair in the band combination. </w:t>
            </w:r>
            <w:ins w:id="0" w:author="Docomo (Masato)" w:date="2022-04-18T18:08:00Z">
              <w:r>
                <w:rPr>
                  <w:bCs/>
                  <w:iCs/>
                </w:rPr>
                <w:t>Otherwise, for the band pairs where the mandatory simultaneous Rx/Tx capability applies as specified in 38.101-1 [2], the UE shall set the corresponding bits to “1”.</w:t>
              </w:r>
            </w:ins>
            <w:ins w:id="1" w:author="Docomo (Masato)" w:date="2022-04-18T17:44:00Z">
              <w:r>
                <w:rPr>
                  <w:bCs/>
                  <w:iCs/>
                </w:rPr>
                <w:t xml:space="preserve"> </w:t>
              </w:r>
            </w:ins>
            <w:r>
              <w:rPr>
                <w:bCs/>
                <w:iCs/>
              </w:rPr>
              <w:t>The UE shall consistently set the bits which correspond to the same band pair.</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Besides, since the intra-band band pairs are not applicable for </w:t>
            </w:r>
            <w:r>
              <w:rPr>
                <w:i/>
                <w:lang w:eastAsia="zh-CN"/>
              </w:rPr>
              <w:t xml:space="preserve">simultaneousRxTxInterBandCAPerBandPair </w:t>
            </w:r>
            <w:r>
              <w:rPr>
                <w:lang w:eastAsia="zh-CN"/>
              </w:rPr>
              <w:t>and</w:t>
            </w:r>
            <w:r>
              <w:rPr>
                <w:i/>
                <w:lang w:eastAsia="zh-CN"/>
              </w:rPr>
              <w:t xml:space="preserve"> simultaneousRxTxSULPerBandPair</w:t>
            </w:r>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27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23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pPr>
        <w:pStyle w:val="3"/>
      </w:pPr>
      <w:r>
        <w:t xml:space="preserve">3.2 R4 - </w:t>
      </w:r>
      <w:r>
        <w:rPr>
          <w:i/>
          <w:iCs/>
        </w:rPr>
        <w:t>maxNumberCSI-RS-RRM-RS-SINR</w:t>
      </w:r>
    </w:p>
    <w:p>
      <w:pPr>
        <w:pStyle w:val="79"/>
      </w:pPr>
      <w:r>
        <w:t>[4] R2-2204472</w:t>
      </w:r>
      <w:r>
        <w:tab/>
      </w:r>
      <w:r>
        <w:t>LS on the applicability of mixed numerology on UE capability maxNumberCSI-RS-RRM-RS-SINR (R4-2206828; contact: Apple)</w:t>
      </w:r>
      <w:r>
        <w:tab/>
      </w:r>
      <w:r>
        <w:t>RAN4</w:t>
      </w:r>
      <w:r>
        <w:tab/>
      </w:r>
      <w:r>
        <w:t>LS in</w:t>
      </w:r>
      <w:r>
        <w:tab/>
      </w:r>
      <w:r>
        <w:t>Rel-17</w:t>
      </w:r>
      <w:r>
        <w:tab/>
      </w:r>
      <w:r>
        <w:t>NR_CSIRS_L3meas</w:t>
      </w:r>
      <w:r>
        <w:tab/>
      </w:r>
      <w:r>
        <w:t>To:RAN1, RAN2</w:t>
      </w:r>
    </w:p>
    <w:p>
      <w:pPr>
        <w:pStyle w:val="83"/>
      </w:pPr>
      <w:r>
        <w:t>Chair: The LS indicates a Rel-16 WI and Rel-17 applicability</w:t>
      </w:r>
    </w:p>
    <w:p>
      <w:pPr>
        <w:pStyle w:val="79"/>
      </w:pPr>
      <w:r>
        <w:t>[5] R2-2206063</w:t>
      </w:r>
      <w:r>
        <w:tab/>
      </w:r>
      <w:r>
        <w:t>Clarification on the applicability of mixed numerology on UE capability maxNumberCSI-RS-RRM-RS-SINR</w:t>
      </w:r>
      <w:r>
        <w:tab/>
      </w:r>
      <w:r>
        <w:t>Apple Inc</w:t>
      </w:r>
      <w:r>
        <w:tab/>
      </w:r>
      <w:r>
        <w:t>CR</w:t>
      </w:r>
      <w:r>
        <w:tab/>
      </w:r>
      <w:r>
        <w:t>Rel-16</w:t>
      </w:r>
      <w:r>
        <w:tab/>
      </w:r>
      <w:r>
        <w:t>38.306</w:t>
      </w:r>
      <w:r>
        <w:tab/>
      </w:r>
      <w:r>
        <w:t>16.8.0</w:t>
      </w:r>
      <w:r>
        <w:tab/>
      </w:r>
      <w:r>
        <w:t>0740</w:t>
      </w:r>
      <w:r>
        <w:tab/>
      </w:r>
      <w:r>
        <w:t>-</w:t>
      </w:r>
      <w:r>
        <w:tab/>
      </w:r>
      <w:r>
        <w:t>F</w:t>
      </w:r>
      <w:r>
        <w:tab/>
      </w:r>
      <w:r>
        <w:t>NR_CSIRS_L3meas</w:t>
      </w:r>
    </w:p>
    <w:p>
      <w:pPr>
        <w:pStyle w:val="79"/>
      </w:pPr>
      <w:r>
        <w:t>[6] R2-2206064</w:t>
      </w:r>
      <w:r>
        <w:tab/>
      </w:r>
      <w:r>
        <w:t>Clarification on the applicability of mixed numerology on UE capability maxNumberCSI-RS-RRM-RS-SINR</w:t>
      </w:r>
      <w:r>
        <w:tab/>
      </w:r>
      <w:r>
        <w:t>Apple Inc</w:t>
      </w:r>
      <w:r>
        <w:tab/>
      </w:r>
      <w:r>
        <w:t>CR</w:t>
      </w:r>
      <w:r>
        <w:tab/>
      </w:r>
      <w:r>
        <w:t>Rel-17</w:t>
      </w:r>
      <w:r>
        <w:tab/>
      </w:r>
      <w:r>
        <w:t>38.306</w:t>
      </w:r>
      <w:r>
        <w:tab/>
      </w:r>
      <w:r>
        <w:t>17.0.0</w:t>
      </w:r>
      <w:r>
        <w:tab/>
      </w:r>
      <w:r>
        <w:t>0741</w:t>
      </w:r>
      <w:r>
        <w:tab/>
      </w:r>
      <w:r>
        <w:t>-</w:t>
      </w:r>
      <w:r>
        <w:tab/>
      </w:r>
      <w:r>
        <w:t>A</w:t>
      </w:r>
      <w:r>
        <w:tab/>
      </w:r>
      <w:r>
        <w:t>NR_CSIRS_L3meas</w:t>
      </w:r>
    </w:p>
    <w:p>
      <w:pPr>
        <w:rPr>
          <w:lang w:eastAsia="en-US"/>
        </w:rPr>
      </w:pPr>
    </w:p>
    <w:p>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pPr>
        <w:rPr>
          <w:lang w:val="en-GB" w:eastAsia="en-US"/>
        </w:rPr>
      </w:pPr>
    </w:p>
    <w:p>
      <w:pPr>
        <w:pStyle w:val="70"/>
        <w:spacing w:after="0"/>
        <w:ind w:left="100"/>
        <w:rPr>
          <w:i/>
          <w:iCs/>
          <w:lang w:val="en-US" w:eastAsia="ja-JP"/>
        </w:rPr>
      </w:pPr>
      <w:r>
        <w:rPr>
          <w:i/>
          <w:iCs/>
          <w:lang w:val="en-US" w:eastAsia="ja-JP"/>
        </w:rPr>
        <w:t>the number of CSI-RS resources in any duration that equals to the length of a slot is no larger than UE capability maxNumberCSI-RS-RRM-RS-SINR</w:t>
      </w:r>
    </w:p>
    <w:p>
      <w:pPr>
        <w:pStyle w:val="70"/>
        <w:spacing w:after="0"/>
        <w:ind w:left="100"/>
        <w:rPr>
          <w:i/>
          <w:iCs/>
          <w:lang w:val="en-US" w:eastAsia="ja-JP"/>
        </w:rPr>
      </w:pPr>
    </w:p>
    <w:p>
      <w:pPr>
        <w:pStyle w:val="50"/>
        <w:rPr>
          <w:lang w:eastAsia="zh-CN"/>
        </w:rPr>
      </w:pPr>
      <w:r>
        <w:rPr>
          <w:lang w:eastAsia="zh-CN"/>
        </w:rPr>
        <w:t xml:space="preserve">the number of CSI-RS resources in any duration that equals to the length of a slot is no larger than UE capability </w:t>
      </w:r>
      <w:r>
        <w:rPr>
          <w:i/>
          <w:lang w:eastAsia="zh-CN"/>
        </w:rPr>
        <w:t>maxNumberCSI-RS-RRM-RS-SINR</w:t>
      </w:r>
      <w:r>
        <w:rPr>
          <w:lang w:eastAsia="zh-CN"/>
        </w:rPr>
        <w:t>.</w:t>
      </w:r>
    </w:p>
    <w:p>
      <w:pPr>
        <w:pStyle w:val="50"/>
        <w:numPr>
          <w:ilvl w:val="0"/>
          <w:numId w:val="4"/>
        </w:numPr>
        <w:rPr>
          <w:color w:val="FF0000"/>
          <w:u w:val="single"/>
          <w:lang w:eastAsia="zh-CN"/>
        </w:rPr>
      </w:pPr>
      <w:r>
        <w:rPr>
          <w:color w:val="FF0000"/>
          <w:u w:val="single"/>
          <w:lang w:val="en-US" w:eastAsia="zh-CN"/>
        </w:rPr>
        <w:t>When there are mixed numerologies, the length of a slot is defined based on the smallest SCS</w:t>
      </w:r>
    </w:p>
    <w:p>
      <w:pPr>
        <w:rPr>
          <w:lang w:val="en-GB" w:eastAsia="en-US"/>
        </w:rPr>
      </w:pPr>
    </w:p>
    <w:p>
      <w:pPr>
        <w:rPr>
          <w:lang w:val="en-GB" w:eastAsia="en-US"/>
        </w:rPr>
      </w:pPr>
      <w:r>
        <w:rPr>
          <w:lang w:val="en-GB" w:eastAsia="en-US"/>
        </w:rPr>
        <w:t xml:space="preserve">The RAN4 LS [4] states that RAN4 concludes the UE capability of </w:t>
      </w:r>
      <w:r>
        <w:rPr>
          <w:i/>
          <w:iCs/>
          <w:lang w:val="en-GB" w:eastAsia="en-US"/>
        </w:rPr>
        <w:t>maxNumberCSI-RS-RRM-RS-SINR</w:t>
      </w:r>
      <w:r>
        <w:rPr>
          <w:lang w:val="en-GB" w:eastAsia="en-US"/>
        </w:rPr>
        <w:t xml:space="preserve"> and the related requirements should be specified based on the duration associated with the slot of minimum SCS in case of mixed numerologies. The CRs[5][6] propose to add the following text to reflect this.</w:t>
      </w:r>
    </w:p>
    <w:p>
      <w:pPr>
        <w:rPr>
          <w:lang w:val="en-GB" w:eastAsia="en-US"/>
        </w:rPr>
      </w:pPr>
    </w:p>
    <w:p>
      <w:pPr>
        <w:pStyle w:val="42"/>
        <w:rPr>
          <w:b/>
          <w:i/>
        </w:rPr>
      </w:pPr>
      <w:r>
        <w:rPr>
          <w:b/>
          <w:i/>
        </w:rPr>
        <w:t>maxNumberCSI-RS-RRM-RS-SINR</w:t>
      </w:r>
    </w:p>
    <w:p>
      <w:pPr>
        <w:pStyle w:val="42"/>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pPr>
        <w:pStyle w:val="42"/>
      </w:pPr>
    </w:p>
    <w:p>
      <w:pPr>
        <w:pStyle w:val="57"/>
        <w:rPr>
          <w:rFonts w:eastAsia="MS PGothic"/>
          <w:color w:val="FF0000"/>
          <w:u w:val="single"/>
        </w:rPr>
      </w:pPr>
      <w:r>
        <w:rPr>
          <w:rFonts w:eastAsia="MS PGothic"/>
          <w:color w:val="FF0000"/>
          <w:u w:val="single"/>
        </w:rPr>
        <w:t>NOTE:</w:t>
      </w:r>
      <w:r>
        <w:rPr>
          <w:rFonts w:eastAsia="MS PGothic"/>
          <w:color w:val="FF0000"/>
          <w:u w:val="single"/>
        </w:rPr>
        <w:tab/>
      </w:r>
      <w:r>
        <w:rPr>
          <w:rFonts w:eastAsia="MS PGothic"/>
          <w:color w:val="FF0000"/>
          <w:u w:val="single"/>
        </w:rPr>
        <w:t xml:space="preserve">A slot is based on minimum SCS among all measurement frequencies configured for </w:t>
      </w:r>
      <w:r>
        <w:rPr>
          <w:color w:val="FF0000"/>
          <w:u w:val="single"/>
        </w:rPr>
        <w:t>RRM and RS-SINR measurement</w:t>
      </w:r>
      <w:r>
        <w:rPr>
          <w:rFonts w:eastAsia="MS PGothic"/>
          <w:color w:val="FF0000"/>
          <w:u w:val="single"/>
        </w:rPr>
        <w:t>.</w:t>
      </w:r>
    </w:p>
    <w:p>
      <w:pPr>
        <w:rPr>
          <w:lang w:val="en-GB" w:eastAsia="en-US"/>
        </w:rPr>
      </w:pPr>
    </w:p>
    <w:p>
      <w:pPr>
        <w:outlineLvl w:val="2"/>
        <w:rPr>
          <w:b/>
          <w:bCs/>
        </w:rPr>
      </w:pPr>
      <w:r>
        <w:rPr>
          <w:b/>
          <w:bCs/>
        </w:rPr>
        <w:t>Question 2: Do companies agree with the intention of R2-2206063 [5] and R2-2206064 [6]?</w:t>
      </w:r>
    </w:p>
    <w:p/>
    <w:tbl>
      <w:tblPr>
        <w:tblStyle w:val="29"/>
        <w:tblW w:w="9639"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 xml:space="preserve"> Yes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pPr>
        <w:pStyle w:val="3"/>
      </w:pPr>
      <w:r>
        <w:t>3.3 L1</w:t>
      </w:r>
    </w:p>
    <w:p>
      <w:pPr>
        <w:pStyle w:val="79"/>
      </w:pPr>
      <w:r>
        <w:t>[7] R2-2204419</w:t>
      </w:r>
      <w:r>
        <w:tab/>
      </w:r>
      <w:r>
        <w:t>LS on updated Rel-16 RAN1 UE features lists for NR after RAN1#108-e (R1-2202764; contact: NTT DOCOMO)</w:t>
      </w:r>
      <w:r>
        <w:tab/>
      </w:r>
      <w:r>
        <w:t>RAN1</w:t>
      </w:r>
      <w:r>
        <w:tab/>
      </w:r>
      <w:r>
        <w:t>LS in</w:t>
      </w:r>
      <w:r>
        <w:tab/>
      </w:r>
      <w:r>
        <w:t>Rel-16</w:t>
      </w:r>
      <w:r>
        <w:tab/>
      </w:r>
      <w:r>
        <w:t>TEI16, NR_CLI_RIM-Core, NR_eMIMO-Core, NR_Mob_enh-Core, LTE_NR_DC_CA_enh-Core, NR_unlic-Core, NR_2step_RACH-Core, NR_IAB-Core, NR_L1enh_URLLC-Core, NR_UE_pow_sav-Core, NR_pos-Core, 5G_V2X_NRSL-Core, NR_IIOT-Core</w:t>
      </w:r>
      <w:r>
        <w:tab/>
      </w:r>
      <w:r>
        <w:t>To:RAN2</w:t>
      </w:r>
      <w:r>
        <w:tab/>
      </w:r>
      <w:r>
        <w:t>Cc:RAN4</w:t>
      </w:r>
    </w:p>
    <w:p>
      <w:pPr>
        <w:pStyle w:val="79"/>
      </w:pPr>
      <w:r>
        <w:t>[8] R2-2204840</w:t>
      </w:r>
      <w:r>
        <w:tab/>
      </w:r>
      <w:r>
        <w:t>Correction to multi-DCI multi-TRP and new UE capability to limit PDCCH monitoring</w:t>
      </w:r>
      <w:r>
        <w:tab/>
      </w:r>
      <w:r>
        <w:t>Intel Corporation</w:t>
      </w:r>
      <w:r>
        <w:tab/>
      </w:r>
      <w:r>
        <w:t>CR</w:t>
      </w:r>
      <w:r>
        <w:tab/>
      </w:r>
      <w:r>
        <w:t>Rel-16</w:t>
      </w:r>
      <w:r>
        <w:tab/>
      </w:r>
      <w:r>
        <w:t>38.306</w:t>
      </w:r>
      <w:r>
        <w:tab/>
      </w:r>
      <w:r>
        <w:t>16.8.0</w:t>
      </w:r>
      <w:r>
        <w:tab/>
      </w:r>
      <w:r>
        <w:t>0704</w:t>
      </w:r>
      <w:r>
        <w:tab/>
      </w:r>
      <w:r>
        <w:t>-</w:t>
      </w:r>
      <w:r>
        <w:tab/>
      </w:r>
      <w:r>
        <w:t>F</w:t>
      </w:r>
      <w:r>
        <w:tab/>
      </w:r>
      <w:r>
        <w:t>NR_eMIMO-Core, TEI16</w:t>
      </w:r>
    </w:p>
    <w:p>
      <w:pPr>
        <w:pStyle w:val="79"/>
      </w:pPr>
      <w:r>
        <w:t>[9] R2-2204841</w:t>
      </w:r>
      <w:r>
        <w:tab/>
      </w:r>
      <w:r>
        <w:t>New UE capability to limit PDCCH monitoring</w:t>
      </w:r>
      <w:r>
        <w:tab/>
      </w:r>
      <w:r>
        <w:t>Intel Corporation</w:t>
      </w:r>
      <w:r>
        <w:tab/>
      </w:r>
      <w:r>
        <w:t>CR</w:t>
      </w:r>
      <w:r>
        <w:tab/>
      </w:r>
      <w:r>
        <w:t>Rel-16</w:t>
      </w:r>
      <w:r>
        <w:tab/>
      </w:r>
      <w:r>
        <w:t>38.331</w:t>
      </w:r>
      <w:r>
        <w:tab/>
      </w:r>
      <w:r>
        <w:t>16.8.0</w:t>
      </w:r>
      <w:r>
        <w:tab/>
      </w:r>
      <w:r>
        <w:t>2999</w:t>
      </w:r>
      <w:r>
        <w:tab/>
      </w:r>
      <w:r>
        <w:t>-</w:t>
      </w:r>
      <w:r>
        <w:tab/>
      </w:r>
      <w:r>
        <w:t>F</w:t>
      </w:r>
      <w:r>
        <w:tab/>
      </w:r>
      <w:r>
        <w:t>NR_eMIMO-Core, TEI16</w:t>
      </w:r>
    </w:p>
    <w:p>
      <w:pPr>
        <w:pStyle w:val="77"/>
        <w:ind w:left="0" w:firstLine="0"/>
      </w:pPr>
    </w:p>
    <w:p>
      <w:pPr>
        <w:pStyle w:val="77"/>
        <w:ind w:left="0" w:firstLine="0"/>
      </w:pPr>
      <w:r>
        <w:t>The CRs [8] and [9] are to update 38.306 and 38.331 based on the updated R1 UE feature list [7].</w:t>
      </w:r>
    </w:p>
    <w:p>
      <w:pPr>
        <w:pStyle w:val="77"/>
        <w:ind w:left="0" w:firstLine="0"/>
      </w:pPr>
    </w:p>
    <w:p>
      <w:pPr>
        <w:pStyle w:val="70"/>
        <w:numPr>
          <w:ilvl w:val="0"/>
          <w:numId w:val="5"/>
        </w:numPr>
        <w:spacing w:after="0"/>
      </w:pPr>
      <w:r>
        <w:rPr>
          <w:rFonts w:eastAsia="Yu Mincho" w:cs="Arial"/>
          <w:bCs/>
          <w:iCs/>
          <w:lang w:eastAsia="ja-JP"/>
        </w:rPr>
        <w:t>Clarify how the multi-DCI multi-TRP PUSCH operation is supported by existing FGs on the field description of multiDCI-MultiTRP-r16.</w:t>
      </w:r>
    </w:p>
    <w:p>
      <w:pPr>
        <w:pStyle w:val="70"/>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pPr>
        <w:pStyle w:val="77"/>
        <w:ind w:left="0" w:firstLine="0"/>
      </w:pPr>
    </w:p>
    <w:p>
      <w:pPr>
        <w:outlineLvl w:val="2"/>
        <w:rPr>
          <w:b/>
          <w:bCs/>
        </w:rPr>
      </w:pPr>
      <w:r>
        <w:rPr>
          <w:b/>
          <w:bCs/>
        </w:rPr>
        <w:t>Question 3: Do companies agree with the intention of R2-2204840 [8] and R2-2204841 [9]?</w:t>
      </w:r>
    </w:p>
    <w:p/>
    <w:tbl>
      <w:tblPr>
        <w:tblStyle w:val="29"/>
        <w:tblW w:w="9639"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field(i.e. </w:t>
            </w:r>
            <w:r>
              <w:rPr>
                <w:i/>
                <w:lang w:eastAsia="zh-CN"/>
              </w:rPr>
              <w:t>pdcch-MonitoringSingleOccasion</w:t>
            </w:r>
            <w:r>
              <w:rPr>
                <w:lang w:eastAsia="zh-CN"/>
              </w:rPr>
              <w:t xml:space="preserve">) shall indicate support of the new field(i.e. </w:t>
            </w:r>
            <w:r>
              <w:rPr>
                <w:i/>
                <w:lang w:eastAsia="zh-CN"/>
              </w:rPr>
              <w:t>pdcch-MonitoringSingleSpanFirst4Sym-r16</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For correction 2), we prefer not to add any pre-requisite to the legacy field (i.e. </w:t>
            </w:r>
            <w:r>
              <w:rPr>
                <w:i/>
                <w:lang w:eastAsia="zh-CN"/>
              </w:rPr>
              <w:t>pdcch-MonitoringSingleOccasion</w:t>
            </w:r>
            <w:r>
              <w:rPr>
                <w:lang w:eastAsia="zh-CN"/>
              </w:rPr>
              <w:t>) since there may already be Rel-16 UE that may have set the legacy field but not indicating the new field. But we are fine to follow the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77"/>
        <w:ind w:left="0" w:firstLine="0"/>
      </w:pPr>
    </w:p>
    <w:p>
      <w:pPr>
        <w:pStyle w:val="77"/>
        <w:ind w:left="0" w:firstLine="0"/>
      </w:pPr>
    </w:p>
    <w:p>
      <w:pPr>
        <w:pStyle w:val="79"/>
      </w:pPr>
      <w:r>
        <w:t>[10] R2-2205451</w:t>
      </w:r>
      <w:r>
        <w:tab/>
      </w:r>
      <w:r>
        <w:t>Correction on the UE capability description of the overlapping PDSCH in Rel-17</w:t>
      </w:r>
      <w:r>
        <w:tab/>
      </w:r>
      <w:r>
        <w:t>Xiaomi Communications, Samsung</w:t>
      </w:r>
      <w:r>
        <w:tab/>
      </w:r>
      <w:r>
        <w:t>CR</w:t>
      </w:r>
      <w:r>
        <w:tab/>
      </w:r>
      <w:r>
        <w:t>Rel-17</w:t>
      </w:r>
      <w:r>
        <w:tab/>
      </w:r>
      <w:r>
        <w:t>38.306</w:t>
      </w:r>
      <w:r>
        <w:tab/>
      </w:r>
      <w:r>
        <w:t>17.0.0</w:t>
      </w:r>
      <w:r>
        <w:tab/>
      </w:r>
      <w:r>
        <w:t>0716</w:t>
      </w:r>
      <w:r>
        <w:tab/>
      </w:r>
      <w:r>
        <w:t>-</w:t>
      </w:r>
      <w:r>
        <w:tab/>
      </w:r>
      <w:r>
        <w:t>F</w:t>
      </w:r>
      <w:r>
        <w:tab/>
      </w:r>
      <w:r>
        <w:t>TEI16</w:t>
      </w:r>
    </w:p>
    <w:p>
      <w:pPr>
        <w:pStyle w:val="79"/>
      </w:pPr>
      <w:r>
        <w:t>[11] R2-2205452</w:t>
      </w:r>
      <w:r>
        <w:tab/>
      </w:r>
      <w:r>
        <w:t>Correction on the UE capability description of the overlapping PDSCH in Rel-16</w:t>
      </w:r>
      <w:r>
        <w:tab/>
      </w:r>
      <w:r>
        <w:t>Xiaomi Communications, Samsung</w:t>
      </w:r>
      <w:r>
        <w:tab/>
      </w:r>
      <w:r>
        <w:t>CR</w:t>
      </w:r>
      <w:r>
        <w:tab/>
      </w:r>
      <w:r>
        <w:t>Rel-16</w:t>
      </w:r>
      <w:r>
        <w:tab/>
      </w:r>
      <w:r>
        <w:t>38.306</w:t>
      </w:r>
      <w:r>
        <w:tab/>
      </w:r>
      <w:r>
        <w:t>16.8.0</w:t>
      </w:r>
      <w:r>
        <w:tab/>
      </w:r>
      <w:r>
        <w:t>0717</w:t>
      </w:r>
      <w:r>
        <w:tab/>
      </w:r>
      <w:r>
        <w:t>-</w:t>
      </w:r>
      <w:r>
        <w:tab/>
      </w:r>
      <w:r>
        <w:t>A</w:t>
      </w:r>
      <w:r>
        <w:tab/>
      </w:r>
      <w:r>
        <w:t>TEI16</w:t>
      </w:r>
    </w:p>
    <w:p>
      <w:pPr>
        <w:pStyle w:val="77"/>
        <w:ind w:left="0" w:firstLine="0"/>
      </w:pPr>
    </w:p>
    <w:p>
      <w:pPr>
        <w:pStyle w:val="77"/>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However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pPr>
        <w:pStyle w:val="70"/>
        <w:spacing w:after="0"/>
      </w:pPr>
    </w:p>
    <w:p>
      <w:pPr>
        <w:outlineLvl w:val="2"/>
        <w:rPr>
          <w:b/>
          <w:bCs/>
        </w:rPr>
      </w:pPr>
      <w:r>
        <w:rPr>
          <w:b/>
          <w:bCs/>
        </w:rPr>
        <w:t>Question 4: Do companies agree with the intention of R2-2205451 [10] and R2-2205452 [11]?</w:t>
      </w:r>
    </w:p>
    <w:p/>
    <w:tbl>
      <w:tblPr>
        <w:tblStyle w:val="29"/>
        <w:tblW w:w="9639"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Style w:val="103"/>
                <w:rFonts w:cs="Arial"/>
                <w:color w:val="000000"/>
                <w:sz w:val="20"/>
                <w:shd w:val="clear" w:color="auto" w:fill="FFFFFF"/>
                <w:lang w:val="en-US"/>
              </w:rPr>
              <w:t>It seems like a wrong pre-requisite was added in the field description during Rel-16 UE cap implementation.</w:t>
            </w:r>
            <w:r>
              <w:rPr>
                <w:rStyle w:val="104"/>
                <w:rFonts w:cs="Arial"/>
                <w:color w:val="000000"/>
                <w:sz w:val="20"/>
                <w:shd w:val="clear" w:color="auto" w:fill="FFFFFF"/>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bookmarkStart w:id="4" w:name="_GoBack"/>
            <w:bookmarkEnd w:id="4"/>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77"/>
        <w:ind w:left="0" w:firstLine="0"/>
      </w:pPr>
    </w:p>
    <w:p>
      <w:pPr>
        <w:pStyle w:val="77"/>
        <w:ind w:left="0" w:firstLine="0"/>
      </w:pPr>
    </w:p>
    <w:p>
      <w:pPr>
        <w:pStyle w:val="79"/>
      </w:pPr>
      <w:r>
        <w:t>[12] R2-2206000</w:t>
      </w:r>
      <w:r>
        <w:tab/>
      </w:r>
      <w:r>
        <w:t>bwp-SwitchingDelay conditionally mandatory capability</w:t>
      </w:r>
      <w:r>
        <w:tab/>
      </w:r>
      <w:r>
        <w:t>Qualcomm Incorporated</w:t>
      </w:r>
      <w:r>
        <w:tab/>
      </w:r>
      <w:r>
        <w:t>CR</w:t>
      </w:r>
      <w:r>
        <w:tab/>
      </w:r>
      <w:r>
        <w:t>Rel-15</w:t>
      </w:r>
      <w:r>
        <w:tab/>
      </w:r>
      <w:r>
        <w:t>38.306</w:t>
      </w:r>
      <w:r>
        <w:tab/>
      </w:r>
      <w:r>
        <w:t>15.16.0</w:t>
      </w:r>
      <w:r>
        <w:tab/>
      </w:r>
      <w:r>
        <w:t>0734</w:t>
      </w:r>
      <w:r>
        <w:tab/>
      </w:r>
      <w:r>
        <w:t>-</w:t>
      </w:r>
      <w:r>
        <w:tab/>
      </w:r>
      <w:r>
        <w:t>F</w:t>
      </w:r>
      <w:r>
        <w:tab/>
      </w:r>
      <w:r>
        <w:t>NR_newRAT-Core</w:t>
      </w:r>
    </w:p>
    <w:p>
      <w:pPr>
        <w:pStyle w:val="79"/>
      </w:pPr>
      <w:r>
        <w:t>[13] R2-2206001</w:t>
      </w:r>
      <w:r>
        <w:tab/>
      </w:r>
      <w:r>
        <w:t>bwp-SwitchingDelay conditionally mandatory capability</w:t>
      </w:r>
      <w:r>
        <w:tab/>
      </w:r>
      <w:r>
        <w:t>Qualcomm Incorporated</w:t>
      </w:r>
      <w:r>
        <w:tab/>
      </w:r>
      <w:r>
        <w:t>CR</w:t>
      </w:r>
      <w:r>
        <w:tab/>
      </w:r>
      <w:r>
        <w:t>Rel-16</w:t>
      </w:r>
      <w:r>
        <w:tab/>
      </w:r>
      <w:r>
        <w:t>38.306</w:t>
      </w:r>
      <w:r>
        <w:tab/>
      </w:r>
      <w:r>
        <w:t>16.8.0</w:t>
      </w:r>
      <w:r>
        <w:tab/>
      </w:r>
      <w:r>
        <w:t>0735</w:t>
      </w:r>
      <w:r>
        <w:tab/>
      </w:r>
      <w:r>
        <w:t>-</w:t>
      </w:r>
      <w:r>
        <w:tab/>
      </w:r>
      <w:r>
        <w:t>F</w:t>
      </w:r>
      <w:r>
        <w:tab/>
      </w:r>
      <w:r>
        <w:t>NR_newRAT-Core</w:t>
      </w:r>
    </w:p>
    <w:p>
      <w:pPr>
        <w:rPr>
          <w:lang w:val="en-GB" w:eastAsia="en-US"/>
        </w:rPr>
      </w:pPr>
    </w:p>
    <w:p>
      <w:pPr>
        <w:rPr>
          <w:lang w:val="en-GB" w:eastAsia="en-US"/>
        </w:rPr>
      </w:pPr>
      <w:r>
        <w:rPr>
          <w:lang w:val="en-GB" w:eastAsia="en-US"/>
        </w:rPr>
        <w:t xml:space="preserve">The contributions point out that the support of </w:t>
      </w:r>
      <w:r>
        <w:rPr>
          <w:i/>
          <w:iCs/>
          <w:lang w:val="en-GB" w:eastAsia="en-US"/>
        </w:rPr>
        <w:t>bwp-SwitchingDelay</w:t>
      </w:r>
      <w:r>
        <w:rPr>
          <w:lang w:val="en-GB" w:eastAsia="en-US"/>
        </w:rPr>
        <w:t xml:space="preserve"> capability by the UE depends on the </w:t>
      </w:r>
      <w:r>
        <w:rPr>
          <w:bCs/>
        </w:rPr>
        <w:t>support of the BWP switch feature while per the current spec “</w:t>
      </w:r>
      <w:r>
        <w:rPr>
          <w:bCs/>
          <w:i/>
          <w:iCs/>
        </w:rPr>
        <w:t>bwp-SwitchingDelay</w:t>
      </w:r>
      <w:r>
        <w:rPr>
          <w:bCs/>
        </w:rPr>
        <w:t>” is classified as a mandatory capability without including any dependency on the support of the BWP switch feature, which is causing interoperability issue between UE and network during testing.</w:t>
      </w:r>
    </w:p>
    <w:p>
      <w:pPr>
        <w:rPr>
          <w:lang w:val="en-GB" w:eastAsia="en-US"/>
        </w:rPr>
      </w:pPr>
      <w:r>
        <w:rPr>
          <w:lang w:val="en-GB" w:eastAsia="en-US"/>
        </w:rPr>
        <w:t>The CRs propose to clarify the dependency on the BWP switching feature in 38.306.</w:t>
      </w:r>
    </w:p>
    <w:p>
      <w:pPr>
        <w:rPr>
          <w:lang w:val="en-GB" w:eastAsia="en-US"/>
        </w:rPr>
      </w:pPr>
    </w:p>
    <w:p>
      <w:pPr>
        <w:outlineLvl w:val="2"/>
        <w:rPr>
          <w:b/>
          <w:bCs/>
        </w:rPr>
      </w:pPr>
      <w:r>
        <w:rPr>
          <w:b/>
          <w:bCs/>
        </w:rPr>
        <w:t>Question 5: Do companies agree with the intention of R2-2206000 [12] and R2-2206001 [13]?</w:t>
      </w:r>
    </w:p>
    <w:p/>
    <w:tbl>
      <w:tblPr>
        <w:tblStyle w:val="29"/>
        <w:tblW w:w="9639"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OPPO (Cong)</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the intention that the bwp-switchingDelay depends on whether the UE support BWP switch feature, thus we’re  ok on the CRs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eastAsia="zh-CN"/>
              </w:rPr>
              <w:t>Yes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Even though the change looks correct, the interoperability impact needs to be updated to indicate the case where BWP switch feature is supported but this is not advertised. Otherwise the change does not look like an essential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p>
        </w:tc>
        <w:tc>
          <w:tcPr>
            <w:tcW w:w="652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rPr>
          <w:lang w:val="en-GB" w:eastAsia="en-US"/>
        </w:rPr>
      </w:pPr>
    </w:p>
    <w:p>
      <w:pPr>
        <w:rPr>
          <w:lang w:val="en-GB" w:eastAsia="en-US"/>
        </w:rPr>
      </w:pPr>
    </w:p>
    <w:p>
      <w:pPr>
        <w:pStyle w:val="2"/>
        <w:ind w:left="0" w:firstLine="0"/>
      </w:pPr>
      <w:r>
        <w:t>5 Summary of 1</w:t>
      </w:r>
      <w:r>
        <w:rPr>
          <w:vertAlign w:val="superscript"/>
        </w:rPr>
        <w:t>st</w:t>
      </w:r>
      <w:r>
        <w:t xml:space="preserve"> Round Discussion</w:t>
      </w:r>
    </w:p>
    <w:p>
      <w:pPr>
        <w:rPr>
          <w:lang w:val="en-GB" w:eastAsia="en-US"/>
        </w:rPr>
      </w:pPr>
    </w:p>
    <w:p>
      <w:pPr>
        <w:pStyle w:val="2"/>
        <w:ind w:left="0" w:firstLine="0"/>
      </w:pPr>
      <w:r>
        <w:t>6</w:t>
      </w:r>
      <w:r>
        <w:tab/>
      </w:r>
      <w:r>
        <w:t>Discussion (2nd round)</w:t>
      </w:r>
    </w:p>
    <w:p>
      <w:pPr>
        <w:jc w:val="both"/>
      </w:pPr>
    </w:p>
    <w:p>
      <w:pPr>
        <w:pStyle w:val="2"/>
        <w:ind w:left="0" w:firstLine="0"/>
      </w:pPr>
      <w:r>
        <w:t>7 Conclusion</w:t>
      </w:r>
    </w:p>
    <w:p/>
    <w:p>
      <w:pPr>
        <w:pStyle w:val="2"/>
        <w:ind w:left="0" w:firstLine="0"/>
      </w:pPr>
      <w:r>
        <w:t>References</w:t>
      </w:r>
    </w:p>
    <w:p>
      <w:pPr>
        <w:pStyle w:val="81"/>
        <w:rPr>
          <w:lang w:val="en-US"/>
        </w:rPr>
      </w:pPr>
      <w:r>
        <w:rPr>
          <w:lang w:val="en-US"/>
        </w:rPr>
        <w:t>R4 - Simu Rx/Tx</w:t>
      </w:r>
    </w:p>
    <w:p>
      <w:pPr>
        <w:pStyle w:val="79"/>
      </w:pPr>
      <w:r>
        <w:t>[1] R2-2205118</w:t>
      </w:r>
      <w:r>
        <w:tab/>
      </w:r>
      <w:r>
        <w:t>Clarification on simultaneous Rx/Tx capability per band pair</w:t>
      </w:r>
      <w:r>
        <w:tab/>
      </w:r>
      <w:r>
        <w:t>NTT DOCOMO, INC.</w:t>
      </w:r>
      <w:r>
        <w:tab/>
      </w:r>
      <w:r>
        <w:t>CR</w:t>
      </w:r>
      <w:r>
        <w:tab/>
      </w:r>
      <w:r>
        <w:t>Rel-15</w:t>
      </w:r>
      <w:r>
        <w:tab/>
      </w:r>
      <w:r>
        <w:t>38.306</w:t>
      </w:r>
      <w:r>
        <w:tab/>
      </w:r>
      <w:r>
        <w:t>15.16.0</w:t>
      </w:r>
      <w:r>
        <w:tab/>
      </w:r>
      <w:r>
        <w:t>0708</w:t>
      </w:r>
      <w:r>
        <w:tab/>
      </w:r>
      <w:r>
        <w:t>-</w:t>
      </w:r>
      <w:r>
        <w:tab/>
      </w:r>
      <w:r>
        <w:t>F</w:t>
      </w:r>
      <w:r>
        <w:tab/>
      </w:r>
      <w:r>
        <w:t>NR_newRAT-Core</w:t>
      </w:r>
    </w:p>
    <w:p>
      <w:pPr>
        <w:pStyle w:val="79"/>
      </w:pPr>
      <w:r>
        <w:t>[2] R2-2205119</w:t>
      </w:r>
      <w:r>
        <w:tab/>
      </w:r>
      <w:r>
        <w:t>Clarification on simultaneous Rx/Tx capability per band pair</w:t>
      </w:r>
      <w:r>
        <w:tab/>
      </w:r>
      <w:r>
        <w:t>NTT DOCOMO, INC.</w:t>
      </w:r>
      <w:r>
        <w:tab/>
      </w:r>
      <w:r>
        <w:t>CR</w:t>
      </w:r>
      <w:r>
        <w:tab/>
      </w:r>
      <w:r>
        <w:t>Rel-16</w:t>
      </w:r>
      <w:r>
        <w:tab/>
      </w:r>
      <w:r>
        <w:t>38.306</w:t>
      </w:r>
      <w:r>
        <w:tab/>
      </w:r>
      <w:r>
        <w:t>16.8.0</w:t>
      </w:r>
      <w:r>
        <w:tab/>
      </w:r>
      <w:r>
        <w:t>0709</w:t>
      </w:r>
      <w:r>
        <w:tab/>
      </w:r>
      <w:r>
        <w:t>-</w:t>
      </w:r>
      <w:r>
        <w:tab/>
      </w:r>
      <w:r>
        <w:t>A</w:t>
      </w:r>
      <w:r>
        <w:tab/>
      </w:r>
      <w:r>
        <w:t>NR_newRAT-Core</w:t>
      </w:r>
    </w:p>
    <w:p>
      <w:pPr>
        <w:pStyle w:val="79"/>
      </w:pPr>
      <w:r>
        <w:t>[3] R2-2205121</w:t>
      </w:r>
      <w:r>
        <w:tab/>
      </w:r>
      <w:r>
        <w:t>Clarification on simultaneous Rx/Tx capability per band pair</w:t>
      </w:r>
      <w:r>
        <w:tab/>
      </w:r>
      <w:r>
        <w:t>NTT DOCOMO, INC.</w:t>
      </w:r>
      <w:r>
        <w:tab/>
      </w:r>
      <w:r>
        <w:t>CR</w:t>
      </w:r>
      <w:r>
        <w:tab/>
      </w:r>
      <w:r>
        <w:t>Rel-17</w:t>
      </w:r>
      <w:r>
        <w:tab/>
      </w:r>
      <w:r>
        <w:t>38.306</w:t>
      </w:r>
      <w:r>
        <w:tab/>
      </w:r>
      <w:r>
        <w:t>17.0.0</w:t>
      </w:r>
      <w:r>
        <w:tab/>
      </w:r>
      <w:r>
        <w:t>0710</w:t>
      </w:r>
      <w:r>
        <w:tab/>
      </w:r>
      <w:r>
        <w:t>-</w:t>
      </w:r>
      <w:r>
        <w:tab/>
      </w:r>
      <w:r>
        <w:t>A</w:t>
      </w:r>
      <w:r>
        <w:tab/>
      </w:r>
      <w:r>
        <w:t>NR_newRAT-Core</w:t>
      </w:r>
    </w:p>
    <w:p>
      <w:pPr>
        <w:pStyle w:val="81"/>
        <w:rPr>
          <w:lang w:val="en-GB"/>
        </w:rPr>
      </w:pPr>
      <w:r>
        <w:rPr>
          <w:lang w:val="en-GB"/>
        </w:rPr>
        <w:t xml:space="preserve">R4 - </w:t>
      </w:r>
      <w:bookmarkStart w:id="2" w:name="_Hlk103024875"/>
      <w:r>
        <w:rPr>
          <w:lang w:val="en-GB"/>
        </w:rPr>
        <w:t>maxNumberCSI-RS</w:t>
      </w:r>
    </w:p>
    <w:bookmarkEnd w:id="2"/>
    <w:p>
      <w:pPr>
        <w:pStyle w:val="79"/>
      </w:pPr>
      <w:r>
        <w:t>[4] R2-2204472</w:t>
      </w:r>
      <w:r>
        <w:tab/>
      </w:r>
      <w:r>
        <w:t>LS on the applicability of mixed numerology on UE capability maxNumberCSI-RS-RRM-RS-SINR (R4-2206828; contact: Apple)</w:t>
      </w:r>
      <w:r>
        <w:tab/>
      </w:r>
      <w:r>
        <w:t>RAN4</w:t>
      </w:r>
      <w:r>
        <w:tab/>
      </w:r>
      <w:r>
        <w:t>LS in</w:t>
      </w:r>
      <w:r>
        <w:tab/>
      </w:r>
      <w:r>
        <w:t>Rel-17</w:t>
      </w:r>
      <w:r>
        <w:tab/>
      </w:r>
      <w:r>
        <w:t>NR_CSIRS_L3meas</w:t>
      </w:r>
      <w:r>
        <w:tab/>
      </w:r>
      <w:r>
        <w:t>To:RAN1, RAN2</w:t>
      </w:r>
    </w:p>
    <w:p>
      <w:pPr>
        <w:pStyle w:val="83"/>
      </w:pPr>
      <w:r>
        <w:t>Chair: The LS indicates a Rel-16 WI and Rel-17 applicability</w:t>
      </w:r>
    </w:p>
    <w:p>
      <w:pPr>
        <w:pStyle w:val="79"/>
      </w:pPr>
      <w:r>
        <w:t>[5] R2-2206063</w:t>
      </w:r>
      <w:r>
        <w:tab/>
      </w:r>
      <w:r>
        <w:t>Clarification on the applicability of mixed numerology on UE capability maxNumberCSI-RS-RRM-RS-SINR</w:t>
      </w:r>
      <w:r>
        <w:tab/>
      </w:r>
      <w:r>
        <w:t>Apple Inc</w:t>
      </w:r>
      <w:r>
        <w:tab/>
      </w:r>
      <w:r>
        <w:t>CR</w:t>
      </w:r>
      <w:r>
        <w:tab/>
      </w:r>
      <w:r>
        <w:t>Rel-16</w:t>
      </w:r>
      <w:r>
        <w:tab/>
      </w:r>
      <w:r>
        <w:t>38.306</w:t>
      </w:r>
      <w:r>
        <w:tab/>
      </w:r>
      <w:r>
        <w:t>16.8.0</w:t>
      </w:r>
      <w:r>
        <w:tab/>
      </w:r>
      <w:r>
        <w:t>0740</w:t>
      </w:r>
      <w:r>
        <w:tab/>
      </w:r>
      <w:r>
        <w:t>-</w:t>
      </w:r>
      <w:r>
        <w:tab/>
      </w:r>
      <w:r>
        <w:t>F</w:t>
      </w:r>
      <w:r>
        <w:tab/>
      </w:r>
      <w:r>
        <w:t>NR_CSIRS_L3meas</w:t>
      </w:r>
    </w:p>
    <w:p>
      <w:pPr>
        <w:pStyle w:val="79"/>
      </w:pPr>
      <w:r>
        <w:t>[6] R2-</w:t>
      </w:r>
      <w:bookmarkStart w:id="3" w:name="_Hlk103025635"/>
      <w:r>
        <w:t>2206064</w:t>
      </w:r>
      <w:bookmarkEnd w:id="3"/>
      <w:r>
        <w:tab/>
      </w:r>
      <w:r>
        <w:t>Clarification on the applicability of mixed numerology on UE capability maxNumberCSI-RS-RRM-RS-SINR</w:t>
      </w:r>
      <w:r>
        <w:tab/>
      </w:r>
      <w:r>
        <w:t>Apple Inc</w:t>
      </w:r>
      <w:r>
        <w:tab/>
      </w:r>
      <w:r>
        <w:t>CR</w:t>
      </w:r>
      <w:r>
        <w:tab/>
      </w:r>
      <w:r>
        <w:t>Rel-17</w:t>
      </w:r>
      <w:r>
        <w:tab/>
      </w:r>
      <w:r>
        <w:t>38.306</w:t>
      </w:r>
      <w:r>
        <w:tab/>
      </w:r>
      <w:r>
        <w:t>17.0.0</w:t>
      </w:r>
      <w:r>
        <w:tab/>
      </w:r>
      <w:r>
        <w:t>0741</w:t>
      </w:r>
      <w:r>
        <w:tab/>
      </w:r>
      <w:r>
        <w:t>-</w:t>
      </w:r>
      <w:r>
        <w:tab/>
      </w:r>
      <w:r>
        <w:t>A</w:t>
      </w:r>
      <w:r>
        <w:tab/>
      </w:r>
      <w:r>
        <w:t>NR_CSIRS_L3meas</w:t>
      </w:r>
    </w:p>
    <w:p>
      <w:pPr>
        <w:pStyle w:val="81"/>
        <w:rPr>
          <w:lang w:val="en-GB"/>
        </w:rPr>
      </w:pPr>
      <w:r>
        <w:rPr>
          <w:lang w:val="en-GB"/>
        </w:rPr>
        <w:t>L1</w:t>
      </w:r>
    </w:p>
    <w:p>
      <w:pPr>
        <w:pStyle w:val="79"/>
      </w:pPr>
      <w:r>
        <w:t>[7] R2-2204419</w:t>
      </w:r>
      <w:r>
        <w:tab/>
      </w:r>
      <w:r>
        <w:t>LS on updated Rel-16 RAN1 UE features lists for NR after RAN1#108-e (R1-2202764; contact: NTT DOCOMO)</w:t>
      </w:r>
      <w:r>
        <w:tab/>
      </w:r>
      <w:r>
        <w:t>RAN1</w:t>
      </w:r>
      <w:r>
        <w:tab/>
      </w:r>
      <w:r>
        <w:t>LS in</w:t>
      </w:r>
      <w:r>
        <w:tab/>
      </w:r>
      <w:r>
        <w:t>Rel-16</w:t>
      </w:r>
      <w:r>
        <w:tab/>
      </w:r>
      <w:r>
        <w:t>TEI16, NR_CLI_RIM-Core, NR_eMIMO-Core, NR_Mob_enh-Core, LTE_NR_DC_CA_enh-Core, NR_unlic-Core, NR_2step_RACH-Core, NR_IAB-Core, NR_L1enh_URLLC-Core, NR_UE_pow_sav-Core, NR_pos-Core, 5G_V2X_NRSL-Core, NR_IIOT-Core</w:t>
      </w:r>
      <w:r>
        <w:tab/>
      </w:r>
      <w:r>
        <w:t>To:RAN2</w:t>
      </w:r>
      <w:r>
        <w:tab/>
      </w:r>
      <w:r>
        <w:t>Cc:RAN4</w:t>
      </w:r>
    </w:p>
    <w:p>
      <w:pPr>
        <w:pStyle w:val="77"/>
      </w:pPr>
    </w:p>
    <w:p>
      <w:pPr>
        <w:pStyle w:val="79"/>
      </w:pPr>
      <w:r>
        <w:t>[8] R2-2204840</w:t>
      </w:r>
      <w:r>
        <w:tab/>
      </w:r>
      <w:r>
        <w:t>Correction to multi-DCI multi-TRP and new UE capability to limit PDCCH monitoring</w:t>
      </w:r>
      <w:r>
        <w:tab/>
      </w:r>
      <w:r>
        <w:t>Intel Corporation</w:t>
      </w:r>
      <w:r>
        <w:tab/>
      </w:r>
      <w:r>
        <w:t>CR</w:t>
      </w:r>
      <w:r>
        <w:tab/>
      </w:r>
      <w:r>
        <w:t>Rel-16</w:t>
      </w:r>
      <w:r>
        <w:tab/>
      </w:r>
      <w:r>
        <w:t>38.306</w:t>
      </w:r>
      <w:r>
        <w:tab/>
      </w:r>
      <w:r>
        <w:t>16.8.0</w:t>
      </w:r>
      <w:r>
        <w:tab/>
      </w:r>
      <w:r>
        <w:t>0704</w:t>
      </w:r>
      <w:r>
        <w:tab/>
      </w:r>
      <w:r>
        <w:t>-</w:t>
      </w:r>
      <w:r>
        <w:tab/>
      </w:r>
      <w:r>
        <w:t>F</w:t>
      </w:r>
      <w:r>
        <w:tab/>
      </w:r>
      <w:r>
        <w:t>NR_eMIMO-Core, TEI16</w:t>
      </w:r>
    </w:p>
    <w:p>
      <w:pPr>
        <w:pStyle w:val="79"/>
      </w:pPr>
      <w:r>
        <w:t>[9] R2-2204841</w:t>
      </w:r>
      <w:r>
        <w:tab/>
      </w:r>
      <w:r>
        <w:t>New UE capability to limit PDCCH monitoring</w:t>
      </w:r>
      <w:r>
        <w:tab/>
      </w:r>
      <w:r>
        <w:t>Intel Corporation</w:t>
      </w:r>
      <w:r>
        <w:tab/>
      </w:r>
      <w:r>
        <w:t>CR</w:t>
      </w:r>
      <w:r>
        <w:tab/>
      </w:r>
      <w:r>
        <w:t>Rel-16</w:t>
      </w:r>
      <w:r>
        <w:tab/>
      </w:r>
      <w:r>
        <w:t>38.331</w:t>
      </w:r>
      <w:r>
        <w:tab/>
      </w:r>
      <w:r>
        <w:t>16.8.0</w:t>
      </w:r>
      <w:r>
        <w:tab/>
      </w:r>
      <w:r>
        <w:t>2999</w:t>
      </w:r>
      <w:r>
        <w:tab/>
      </w:r>
      <w:r>
        <w:t>-</w:t>
      </w:r>
      <w:r>
        <w:tab/>
      </w:r>
      <w:r>
        <w:t>F</w:t>
      </w:r>
      <w:r>
        <w:tab/>
      </w:r>
      <w:r>
        <w:t>NR_eMIMO-Core, TEI16</w:t>
      </w:r>
    </w:p>
    <w:p>
      <w:pPr>
        <w:pStyle w:val="79"/>
      </w:pPr>
      <w:r>
        <w:t>[10] R2-2205451</w:t>
      </w:r>
      <w:r>
        <w:tab/>
      </w:r>
      <w:r>
        <w:t>Correction on the UE capability description of the overlapping PDSCH in Rel-17</w:t>
      </w:r>
      <w:r>
        <w:tab/>
      </w:r>
      <w:r>
        <w:t>Xiaomi Communications, Samsung</w:t>
      </w:r>
      <w:r>
        <w:tab/>
      </w:r>
      <w:r>
        <w:t>CR</w:t>
      </w:r>
      <w:r>
        <w:tab/>
      </w:r>
      <w:r>
        <w:t>Rel-17</w:t>
      </w:r>
      <w:r>
        <w:tab/>
      </w:r>
      <w:r>
        <w:t>38.306</w:t>
      </w:r>
      <w:r>
        <w:tab/>
      </w:r>
      <w:r>
        <w:t>17.0.0</w:t>
      </w:r>
      <w:r>
        <w:tab/>
      </w:r>
      <w:r>
        <w:t>0716</w:t>
      </w:r>
      <w:r>
        <w:tab/>
      </w:r>
      <w:r>
        <w:t>-</w:t>
      </w:r>
      <w:r>
        <w:tab/>
      </w:r>
      <w:r>
        <w:t>F</w:t>
      </w:r>
      <w:r>
        <w:tab/>
      </w:r>
      <w:r>
        <w:t>TEI16</w:t>
      </w:r>
    </w:p>
    <w:p>
      <w:pPr>
        <w:pStyle w:val="79"/>
      </w:pPr>
      <w:r>
        <w:t>[11] R2-2205452</w:t>
      </w:r>
      <w:r>
        <w:tab/>
      </w:r>
      <w:r>
        <w:t>Correction on the UE capability description of the overlapping PDSCH in Rel-16</w:t>
      </w:r>
      <w:r>
        <w:tab/>
      </w:r>
      <w:r>
        <w:t>Xiaomi Communications, Samsung</w:t>
      </w:r>
      <w:r>
        <w:tab/>
      </w:r>
      <w:r>
        <w:t>CR</w:t>
      </w:r>
      <w:r>
        <w:tab/>
      </w:r>
      <w:r>
        <w:t>Rel-16</w:t>
      </w:r>
      <w:r>
        <w:tab/>
      </w:r>
      <w:r>
        <w:t>38.306</w:t>
      </w:r>
      <w:r>
        <w:tab/>
      </w:r>
      <w:r>
        <w:t>16.8.0</w:t>
      </w:r>
      <w:r>
        <w:tab/>
      </w:r>
      <w:r>
        <w:t>0717</w:t>
      </w:r>
      <w:r>
        <w:tab/>
      </w:r>
      <w:r>
        <w:t>-</w:t>
      </w:r>
      <w:r>
        <w:tab/>
      </w:r>
      <w:r>
        <w:t>A</w:t>
      </w:r>
      <w:r>
        <w:tab/>
      </w:r>
      <w:r>
        <w:t>TEI16</w:t>
      </w:r>
    </w:p>
    <w:p>
      <w:pPr>
        <w:pStyle w:val="79"/>
      </w:pPr>
      <w:r>
        <w:t>[12] R2-2206000</w:t>
      </w:r>
      <w:r>
        <w:tab/>
      </w:r>
      <w:r>
        <w:t>bwp-SwitchingDelay conditionally mandatory capability</w:t>
      </w:r>
      <w:r>
        <w:tab/>
      </w:r>
      <w:r>
        <w:t>Qualcomm Incorporated</w:t>
      </w:r>
      <w:r>
        <w:tab/>
      </w:r>
      <w:r>
        <w:t>CR</w:t>
      </w:r>
      <w:r>
        <w:tab/>
      </w:r>
      <w:r>
        <w:t>Rel-15</w:t>
      </w:r>
      <w:r>
        <w:tab/>
      </w:r>
      <w:r>
        <w:t>38.306</w:t>
      </w:r>
      <w:r>
        <w:tab/>
      </w:r>
      <w:r>
        <w:t>15.16.0</w:t>
      </w:r>
      <w:r>
        <w:tab/>
      </w:r>
      <w:r>
        <w:t>0734</w:t>
      </w:r>
      <w:r>
        <w:tab/>
      </w:r>
      <w:r>
        <w:t>-</w:t>
      </w:r>
      <w:r>
        <w:tab/>
      </w:r>
      <w:r>
        <w:t>F</w:t>
      </w:r>
      <w:r>
        <w:tab/>
      </w:r>
      <w:r>
        <w:t>NR_newRAT-Core</w:t>
      </w:r>
    </w:p>
    <w:p>
      <w:pPr>
        <w:pStyle w:val="79"/>
      </w:pPr>
      <w:r>
        <w:t>[13] R2-2206001</w:t>
      </w:r>
      <w:r>
        <w:tab/>
      </w:r>
      <w:r>
        <w:t>bwp-SwitchingDelay conditionally mandatory capability</w:t>
      </w:r>
      <w:r>
        <w:tab/>
      </w:r>
      <w:r>
        <w:t>Qualcomm Incorporated</w:t>
      </w:r>
      <w:r>
        <w:tab/>
      </w:r>
      <w:r>
        <w:t>CR</w:t>
      </w:r>
      <w:r>
        <w:tab/>
      </w:r>
      <w:r>
        <w:t>Rel-16</w:t>
      </w:r>
      <w:r>
        <w:tab/>
      </w:r>
      <w:r>
        <w:t>38.306</w:t>
      </w:r>
      <w:r>
        <w:tab/>
      </w:r>
      <w:r>
        <w:t>16.8.0</w:t>
      </w:r>
      <w:r>
        <w:tab/>
      </w:r>
      <w:r>
        <w:t>0735</w:t>
      </w:r>
      <w:r>
        <w:tab/>
      </w:r>
      <w:r>
        <w:t>-</w:t>
      </w:r>
      <w:r>
        <w:tab/>
      </w:r>
      <w:r>
        <w:t>F</w:t>
      </w:r>
      <w:r>
        <w:tab/>
      </w:r>
      <w:r>
        <w:t>NR_newRAT-Core</w:t>
      </w:r>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A70A4"/>
    <w:multiLevelType w:val="multilevel"/>
    <w:tmpl w:val="04CA70A4"/>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1">
    <w:nsid w:val="2E466BBA"/>
    <w:multiLevelType w:val="multilevel"/>
    <w:tmpl w:val="2E466BBA"/>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rPr>
    </w:lvl>
    <w:lvl w:ilvl="8" w:tentative="0">
      <w:start w:val="1"/>
      <w:numFmt w:val="bullet"/>
      <w:lvlText w:val=""/>
      <w:lvlJc w:val="left"/>
      <w:pPr>
        <w:ind w:left="6764" w:hanging="360"/>
      </w:pPr>
      <w:rPr>
        <w:rFonts w:hint="default" w:ascii="Wingdings" w:hAnsi="Wingdings"/>
      </w:rPr>
    </w:lvl>
  </w:abstractNum>
  <w:abstractNum w:abstractNumId="2">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Cs w:val="24"/>
      <w:lang w:val="en-US" w:eastAsia="zh-CN" w:bidi="ar-SA"/>
    </w:rPr>
  </w:style>
  <w:style w:type="paragraph" w:styleId="2">
    <w:name w:val="heading 1"/>
    <w:next w:val="1"/>
    <w:link w:val="10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rPr>
      <w:rFonts w:eastAsia="宋体"/>
      <w:lang w:val="en-GB" w:eastAsia="en-US"/>
    </w:rPr>
  </w:style>
  <w:style w:type="paragraph" w:styleId="20">
    <w:name w:val="annotation text"/>
    <w:basedOn w:val="1"/>
    <w:link w:val="89"/>
    <w:qFormat/>
    <w:uiPriority w:val="0"/>
    <w:pPr>
      <w:spacing w:after="180"/>
    </w:pPr>
    <w:rPr>
      <w:rFonts w:eastAsia="宋体"/>
      <w:szCs w:val="20"/>
      <w:lang w:val="en-GB" w:eastAsia="en-US"/>
    </w:rPr>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eastAsia="宋体"/>
      <w:szCs w:val="20"/>
      <w:lang w:val="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rPr>
      <w:rFonts w:ascii="Helvetica" w:hAnsi="Helvetica" w:eastAsia="宋体"/>
      <w:sz w:val="18"/>
      <w:szCs w:val="18"/>
      <w:lang w:val="en-GB" w:eastAsia="en-US"/>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0"/>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qFormat/>
    <w:uiPriority w:val="0"/>
    <w:pPr>
      <w:keepLines/>
      <w:tabs>
        <w:tab w:val="center" w:pos="4536"/>
        <w:tab w:val="right" w:pos="9072"/>
      </w:tabs>
      <w:spacing w:after="180"/>
    </w:pPr>
    <w:rPr>
      <w:rFonts w:eastAsia="宋体"/>
      <w:szCs w:val="20"/>
      <w:lang w:val="en-GB" w:eastAsia="en-US"/>
    </w:r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sz w:val="18"/>
    </w:rPr>
  </w:style>
  <w:style w:type="paragraph" w:customStyle="1" w:styleId="39">
    <w:name w:val="NO"/>
    <w:basedOn w:val="1"/>
    <w:qFormat/>
    <w:uiPriority w:val="0"/>
    <w:pPr>
      <w:keepLines/>
      <w:spacing w:after="180"/>
      <w:ind w:left="1135" w:hanging="851"/>
    </w:pPr>
    <w:rPr>
      <w:rFonts w:eastAsia="宋体"/>
      <w:szCs w:val="20"/>
      <w:lang w:val="en-GB" w:eastAsia="en-US"/>
    </w:r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100"/>
    <w:qFormat/>
    <w:uiPriority w:val="0"/>
    <w:pPr>
      <w:keepNext/>
      <w:keepLines/>
    </w:pPr>
    <w:rPr>
      <w:rFonts w:eastAsia="宋体"/>
      <w:sz w:val="18"/>
      <w:szCs w:val="20"/>
      <w:lang w:val="en-GB" w:eastAsia="en-US"/>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spacing w:after="180"/>
      <w:ind w:left="1702" w:hanging="1418"/>
    </w:pPr>
    <w:rPr>
      <w:rFonts w:eastAsia="宋体"/>
      <w:szCs w:val="20"/>
      <w:lang w:val="en-GB" w:eastAsia="en-US"/>
    </w:rPr>
  </w:style>
  <w:style w:type="paragraph" w:customStyle="1" w:styleId="47">
    <w:name w:val="FP"/>
    <w:basedOn w:val="1"/>
    <w:qFormat/>
    <w:uiPriority w:val="0"/>
    <w:rPr>
      <w:rFonts w:eastAsia="宋体"/>
      <w:szCs w:val="20"/>
      <w:lang w:val="en-GB" w:eastAsia="en-US"/>
    </w:r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99"/>
    <w:qFormat/>
    <w:uiPriority w:val="0"/>
    <w:pPr>
      <w:spacing w:after="180"/>
      <w:ind w:left="568" w:hanging="284"/>
    </w:pPr>
    <w:rPr>
      <w:rFonts w:eastAsia="宋体"/>
      <w:szCs w:val="20"/>
      <w:lang w:val="en-GB" w:eastAsia="en-US"/>
    </w:r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after="180"/>
      <w:jc w:val="center"/>
    </w:pPr>
    <w:rPr>
      <w:rFonts w:eastAsia="宋体"/>
      <w:b/>
      <w:szCs w:val="20"/>
      <w:lang w:val="en-GB" w:eastAsia="en-US"/>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spacing w:after="180"/>
      <w:ind w:left="851" w:hanging="284"/>
    </w:pPr>
    <w:rPr>
      <w:rFonts w:eastAsia="宋体"/>
      <w:szCs w:val="20"/>
      <w:lang w:val="en-GB" w:eastAsia="en-US"/>
    </w:rPr>
  </w:style>
  <w:style w:type="paragraph" w:customStyle="1" w:styleId="62">
    <w:name w:val="B3"/>
    <w:basedOn w:val="1"/>
    <w:qFormat/>
    <w:uiPriority w:val="0"/>
    <w:pPr>
      <w:spacing w:after="180"/>
      <w:ind w:left="1135" w:hanging="284"/>
    </w:pPr>
    <w:rPr>
      <w:rFonts w:eastAsia="宋体"/>
      <w:szCs w:val="20"/>
      <w:lang w:val="en-GB" w:eastAsia="en-US"/>
    </w:rPr>
  </w:style>
  <w:style w:type="paragraph" w:customStyle="1" w:styleId="63">
    <w:name w:val="B4"/>
    <w:basedOn w:val="1"/>
    <w:qFormat/>
    <w:uiPriority w:val="0"/>
    <w:pPr>
      <w:spacing w:after="180"/>
      <w:ind w:left="1418" w:hanging="284"/>
    </w:pPr>
    <w:rPr>
      <w:rFonts w:eastAsia="宋体"/>
      <w:szCs w:val="20"/>
      <w:lang w:val="en-GB" w:eastAsia="en-US"/>
    </w:rPr>
  </w:style>
  <w:style w:type="paragraph" w:customStyle="1" w:styleId="64">
    <w:name w:val="B5"/>
    <w:basedOn w:val="1"/>
    <w:qFormat/>
    <w:uiPriority w:val="0"/>
    <w:pPr>
      <w:spacing w:after="180"/>
      <w:ind w:left="1702" w:hanging="284"/>
    </w:pPr>
    <w:rPr>
      <w:rFonts w:eastAsia="宋体"/>
      <w:szCs w:val="20"/>
      <w:lang w:val="en-GB" w:eastAsia="en-US"/>
    </w:r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pPr>
      <w:spacing w:after="180"/>
    </w:pPr>
    <w:rPr>
      <w:rFonts w:eastAsia="宋体"/>
      <w:i/>
      <w:color w:val="0000FF"/>
      <w:szCs w:val="20"/>
      <w:lang w:val="en-GB" w:eastAsia="en-US"/>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link w:val="84"/>
    <w:qFormat/>
    <w:uiPriority w:val="0"/>
    <w:pPr>
      <w:spacing w:after="120"/>
    </w:pPr>
    <w:rPr>
      <w:rFonts w:ascii="Arial" w:hAnsi="Arial" w:eastAsia="MS Mincho" w:cs="Times New Roman"/>
      <w:lang w:val="en-GB" w:eastAsia="en-US" w:bidi="ar-SA"/>
    </w:rPr>
  </w:style>
  <w:style w:type="character" w:customStyle="1" w:styleId="71">
    <w:name w:val="Document Map Char"/>
    <w:basedOn w:val="31"/>
    <w:link w:val="19"/>
    <w:qFormat/>
    <w:uiPriority w:val="0"/>
    <w:rPr>
      <w:sz w:val="24"/>
      <w:szCs w:val="24"/>
      <w:lang w:eastAsia="en-US"/>
    </w:rPr>
  </w:style>
  <w:style w:type="character" w:customStyle="1" w:styleId="72">
    <w:name w:val="Balloon Text Char"/>
    <w:basedOn w:val="31"/>
    <w:link w:val="23"/>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pPr>
    <w:rPr>
      <w:rFonts w:eastAsia="MS Mincho"/>
      <w:b/>
      <w:lang w:val="en-GB" w:eastAsia="en-GB"/>
    </w:rPr>
  </w:style>
  <w:style w:type="paragraph" w:customStyle="1" w:styleId="75">
    <w:name w:val="EmailDiscussion2"/>
    <w:basedOn w:val="1"/>
    <w:qFormat/>
    <w:uiPriority w:val="99"/>
    <w:pPr>
      <w:tabs>
        <w:tab w:val="left" w:pos="1622"/>
      </w:tabs>
      <w:ind w:left="1622" w:hanging="363"/>
    </w:pPr>
    <w:rPr>
      <w:rFonts w:eastAsia="MS Mincho"/>
      <w:lang w:val="en-GB"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ind w:left="1622" w:hanging="363"/>
    </w:pPr>
    <w:rPr>
      <w:rFonts w:eastAsia="MS Mincho"/>
      <w:lang w:val="en-GB"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ind w:left="1259" w:hanging="1259"/>
    </w:pPr>
    <w:rPr>
      <w:rFonts w:eastAsia="MS Mincho"/>
      <w:lang w:val="en-GB"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eastAsia="MS Mincho"/>
      <w:b/>
      <w:lang w:val="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ind w:left="1622" w:hanging="363"/>
    </w:pPr>
    <w:rPr>
      <w:rFonts w:eastAsia="MS Mincho"/>
      <w:i/>
      <w:lang w:val="en-GB" w:eastAsia="en-GB"/>
    </w:rPr>
  </w:style>
  <w:style w:type="character" w:customStyle="1" w:styleId="84">
    <w:name w:val="CR Cover Page Zchn"/>
    <w:link w:val="70"/>
    <w:qFormat/>
    <w:locked/>
    <w:uiPriority w:val="0"/>
    <w:rPr>
      <w:rFonts w:ascii="Arial" w:hAnsi="Arial" w:eastAsia="MS Mincho"/>
      <w:lang w:eastAsia="en-US"/>
    </w:rPr>
  </w:style>
  <w:style w:type="character" w:customStyle="1" w:styleId="85">
    <w:name w:val="Body Text Char"/>
    <w:basedOn w:val="31"/>
    <w:link w:val="21"/>
    <w:qFormat/>
    <w:uiPriority w:val="0"/>
    <w:rPr>
      <w:rFonts w:ascii="Arial" w:hAnsi="Arial"/>
      <w:lang w:eastAsia="zh-CN"/>
    </w:rPr>
  </w:style>
  <w:style w:type="paragraph" w:styleId="86">
    <w:name w:val="List Paragraph"/>
    <w:basedOn w:val="1"/>
    <w:link w:val="91"/>
    <w:qFormat/>
    <w:uiPriority w:val="34"/>
    <w:pPr>
      <w:spacing w:after="180"/>
      <w:ind w:left="720"/>
      <w:contextualSpacing/>
    </w:pPr>
    <w:rPr>
      <w:rFonts w:eastAsia="宋体"/>
      <w:szCs w:val="20"/>
      <w:lang w:val="en-GB" w:eastAsia="en-US"/>
    </w:rPr>
  </w:style>
  <w:style w:type="paragraph" w:customStyle="1" w:styleId="87">
    <w:name w:val="Agreement"/>
    <w:basedOn w:val="1"/>
    <w:next w:val="1"/>
    <w:qFormat/>
    <w:uiPriority w:val="99"/>
    <w:pPr>
      <w:numPr>
        <w:ilvl w:val="0"/>
        <w:numId w:val="2"/>
      </w:numPr>
      <w:spacing w:before="60"/>
    </w:pPr>
    <w:rPr>
      <w:rFonts w:eastAsia="MS Mincho"/>
      <w:b/>
      <w:lang w:val="en-GB"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Comment Text Char"/>
    <w:basedOn w:val="31"/>
    <w:link w:val="20"/>
    <w:qFormat/>
    <w:uiPriority w:val="0"/>
    <w:rPr>
      <w:lang w:eastAsia="en-US"/>
    </w:rPr>
  </w:style>
  <w:style w:type="character" w:customStyle="1" w:styleId="90">
    <w:name w:val="Comment Subject Char"/>
    <w:basedOn w:val="89"/>
    <w:link w:val="28"/>
    <w:qFormat/>
    <w:uiPriority w:val="0"/>
    <w:rPr>
      <w:b/>
      <w:bCs/>
      <w:lang w:eastAsia="en-US"/>
    </w:rPr>
  </w:style>
  <w:style w:type="character" w:customStyle="1" w:styleId="91">
    <w:name w:val="List Paragraph Char"/>
    <w:link w:val="86"/>
    <w:qFormat/>
    <w:uiPriority w:val="34"/>
    <w:rPr>
      <w:lang w:eastAsia="en-US"/>
    </w:rPr>
  </w:style>
  <w:style w:type="paragraph" w:customStyle="1" w:styleId="92">
    <w:name w:val="emaildiscussion"/>
    <w:basedOn w:val="1"/>
    <w:qFormat/>
    <w:uiPriority w:val="0"/>
    <w:pPr>
      <w:spacing w:before="100" w:beforeAutospacing="1" w:after="100" w:afterAutospacing="1"/>
    </w:pPr>
  </w:style>
  <w:style w:type="character" w:customStyle="1" w:styleId="93">
    <w:name w:val="apple-converted-space"/>
    <w:basedOn w:val="31"/>
    <w:qFormat/>
    <w:uiPriority w:val="0"/>
  </w:style>
  <w:style w:type="paragraph" w:customStyle="1" w:styleId="94">
    <w:name w:val="emaildiscussion2"/>
    <w:basedOn w:val="1"/>
    <w:qFormat/>
    <w:uiPriority w:val="0"/>
    <w:pPr>
      <w:spacing w:before="100" w:beforeAutospacing="1" w:after="100" w:afterAutospacing="1"/>
    </w:pPr>
  </w:style>
  <w:style w:type="paragraph" w:customStyle="1" w:styleId="95">
    <w:name w:val="修订1"/>
    <w:hidden/>
    <w:semiHidden/>
    <w:qFormat/>
    <w:uiPriority w:val="99"/>
    <w:rPr>
      <w:rFonts w:ascii="Times New Roman" w:hAnsi="Times New Roman" w:eastAsia="宋体" w:cs="Times New Roman"/>
      <w:lang w:val="en-GB" w:eastAsia="en-US" w:bidi="ar-SA"/>
    </w:rPr>
  </w:style>
  <w:style w:type="character" w:customStyle="1" w:styleId="96">
    <w:name w:val="未处理的提及2"/>
    <w:basedOn w:val="31"/>
    <w:semiHidden/>
    <w:unhideWhenUsed/>
    <w:qFormat/>
    <w:uiPriority w:val="99"/>
    <w:rPr>
      <w:color w:val="605E5C"/>
      <w:shd w:val="clear" w:color="auto" w:fill="E1DFDD"/>
    </w:rPr>
  </w:style>
  <w:style w:type="paragraph" w:customStyle="1" w:styleId="97">
    <w:name w:val="修订2"/>
    <w:hidden/>
    <w:semiHidden/>
    <w:qFormat/>
    <w:uiPriority w:val="99"/>
    <w:rPr>
      <w:rFonts w:ascii="Times New Roman" w:hAnsi="Times New Roman" w:eastAsia="宋体" w:cs="Times New Roman"/>
      <w:lang w:val="en-GB" w:eastAsia="en-US" w:bidi="ar-SA"/>
    </w:rPr>
  </w:style>
  <w:style w:type="character" w:customStyle="1" w:styleId="98">
    <w:name w:val="CR Cover Page Char"/>
    <w:qFormat/>
    <w:uiPriority w:val="0"/>
    <w:rPr>
      <w:rFonts w:ascii="Arial" w:hAnsi="Arial"/>
      <w:lang w:val="en-GB" w:eastAsia="en-US"/>
    </w:rPr>
  </w:style>
  <w:style w:type="character" w:customStyle="1" w:styleId="99">
    <w:name w:val="B1 Char1"/>
    <w:link w:val="50"/>
    <w:qFormat/>
    <w:uiPriority w:val="0"/>
    <w:rPr>
      <w:lang w:val="en-GB" w:eastAsia="en-US"/>
    </w:rPr>
  </w:style>
  <w:style w:type="character" w:customStyle="1" w:styleId="100">
    <w:name w:val="TAL Car"/>
    <w:link w:val="42"/>
    <w:qFormat/>
    <w:uiPriority w:val="0"/>
    <w:rPr>
      <w:rFonts w:ascii="Arial" w:hAnsi="Arial"/>
      <w:sz w:val="18"/>
      <w:lang w:val="en-GB" w:eastAsia="en-US"/>
    </w:rPr>
  </w:style>
  <w:style w:type="character" w:customStyle="1" w:styleId="101">
    <w:name w:val="Heading 1 Char"/>
    <w:basedOn w:val="31"/>
    <w:link w:val="2"/>
    <w:qFormat/>
    <w:uiPriority w:val="0"/>
    <w:rPr>
      <w:rFonts w:ascii="Arial" w:hAnsi="Arial"/>
      <w:sz w:val="36"/>
      <w:lang w:val="en-GB" w:eastAsia="en-US"/>
    </w:rPr>
  </w:style>
  <w:style w:type="character" w:customStyle="1" w:styleId="102">
    <w:name w:val="Unresolved Mention1"/>
    <w:basedOn w:val="31"/>
    <w:semiHidden/>
    <w:unhideWhenUsed/>
    <w:qFormat/>
    <w:uiPriority w:val="99"/>
    <w:rPr>
      <w:color w:val="605E5C"/>
      <w:shd w:val="clear" w:color="auto" w:fill="E1DFDD"/>
    </w:rPr>
  </w:style>
  <w:style w:type="character" w:customStyle="1" w:styleId="103">
    <w:name w:val="normaltextrun"/>
    <w:basedOn w:val="31"/>
    <w:qFormat/>
    <w:uiPriority w:val="0"/>
  </w:style>
  <w:style w:type="character" w:customStyle="1" w:styleId="104">
    <w:name w:val="eop"/>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F606E-04D0-4CDF-9712-4014DF4D9852}">
  <ds:schemaRefs/>
</ds:datastoreItem>
</file>

<file path=customXml/itemProps3.xml><?xml version="1.0" encoding="utf-8"?>
<ds:datastoreItem xmlns:ds="http://schemas.openxmlformats.org/officeDocument/2006/customXml" ds:itemID="{E27CEFB4-B6C4-4955-8BDD-41D21B5407ED}">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1919</Words>
  <Characters>11903</Characters>
  <Lines>99</Lines>
  <Paragraphs>27</Paragraphs>
  <TotalTime>9</TotalTime>
  <ScaleCrop>false</ScaleCrop>
  <LinksUpToDate>false</LinksUpToDate>
  <CharactersWithSpaces>13795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2022-05-10T06:22:00Z</dcterms:created>
  <dc:creator>Benoist</dc:creator>
  <cp:lastModifiedBy>ZTE(Wenting)</cp:lastModifiedBy>
  <dcterms:modified xsi:type="dcterms:W3CDTF">2022-05-10T06:35:31Z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