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08297D4" w:rsidR="00D309CC" w:rsidRPr="008E71F1" w:rsidRDefault="00961ADE" w:rsidP="00D46431">
      <w:pPr>
        <w:pStyle w:val="CH"/>
      </w:pPr>
      <w:bookmarkStart w:id="0" w:name="historyclause"/>
      <w:r w:rsidRPr="008E71F1">
        <w:t>3GPP TSG-RAN WG2 Meeting #1</w:t>
      </w:r>
      <w:r w:rsidR="00AB1C53" w:rsidRPr="008E71F1">
        <w:t>1</w:t>
      </w:r>
      <w:r w:rsidR="002D3214">
        <w:t>7</w:t>
      </w:r>
      <w:r w:rsidR="008E1810" w:rsidRPr="008E71F1">
        <w:t>-e</w:t>
      </w:r>
      <w:r w:rsidR="00D309CC" w:rsidRPr="008E71F1">
        <w:tab/>
      </w:r>
      <w:r w:rsidR="00D46431" w:rsidRPr="008E71F1">
        <w:tab/>
      </w:r>
      <w:r w:rsidR="00C060EE" w:rsidRPr="00C060EE">
        <w:t>R2-2</w:t>
      </w:r>
      <w:r w:rsidR="00B87183">
        <w:t>2</w:t>
      </w:r>
      <w:r w:rsidR="00042CF8">
        <w:t>02591</w:t>
      </w:r>
    </w:p>
    <w:p w14:paraId="50DC9730" w14:textId="0EE1D928" w:rsidR="00D309CC" w:rsidRPr="00FD166F" w:rsidRDefault="002D3214" w:rsidP="00D46431">
      <w:pPr>
        <w:pStyle w:val="CH"/>
        <w:tabs>
          <w:tab w:val="clear" w:pos="7920"/>
        </w:tabs>
        <w:rPr>
          <w:b w:val="0"/>
        </w:rPr>
      </w:pPr>
      <w:r>
        <w:rPr>
          <w:lang w:val="de-DE"/>
        </w:rPr>
        <w:t>Online</w:t>
      </w:r>
      <w:r w:rsidR="000A7B22" w:rsidRPr="008E71F1">
        <w:rPr>
          <w:lang w:val="de-DE"/>
        </w:rPr>
        <w:t xml:space="preserve">, </w:t>
      </w:r>
      <w:proofErr w:type="spellStart"/>
      <w:r>
        <w:rPr>
          <w:lang w:val="de-DE"/>
        </w:rPr>
        <w:t>February</w:t>
      </w:r>
      <w:proofErr w:type="spellEnd"/>
      <w:r w:rsidR="00AB1C53" w:rsidRPr="008E71F1">
        <w:rPr>
          <w:lang w:val="de-DE"/>
        </w:rPr>
        <w:t>,</w:t>
      </w:r>
      <w:r w:rsidR="000A7B22"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2C6004B1" w:rsidR="00D309CC" w:rsidRPr="0008103A" w:rsidRDefault="00D309CC" w:rsidP="00600A5F">
      <w:pPr>
        <w:pStyle w:val="CH"/>
        <w:rPr>
          <w:b w:val="0"/>
        </w:rPr>
      </w:pPr>
      <w:r w:rsidRPr="0008103A">
        <w:t>Agenda item:</w:t>
      </w:r>
      <w:r>
        <w:tab/>
      </w:r>
      <w:r w:rsidR="00042CF8" w:rsidRPr="00042CF8">
        <w:t>8.13.3.2</w:t>
      </w:r>
    </w:p>
    <w:p w14:paraId="4DBE005A" w14:textId="0D91F65A" w:rsidR="00D309CC" w:rsidRPr="00A558BE" w:rsidRDefault="00D309CC" w:rsidP="00D212FB">
      <w:pPr>
        <w:pStyle w:val="CH"/>
        <w:rPr>
          <w:b w:val="0"/>
          <w:lang w:val="en-US" w:eastAsia="zh-CN"/>
        </w:rPr>
      </w:pPr>
      <w:r>
        <w:t>Source:</w:t>
      </w:r>
      <w:r>
        <w:tab/>
        <w:t>Apple</w:t>
      </w:r>
    </w:p>
    <w:p w14:paraId="0D2061A1" w14:textId="6F4A102B" w:rsidR="00D309CC" w:rsidRPr="00D212FB" w:rsidRDefault="00D309CC" w:rsidP="00776039">
      <w:pPr>
        <w:pStyle w:val="CH"/>
        <w:ind w:left="2260" w:hanging="2260"/>
        <w:rPr>
          <w:lang w:val="en-US" w:eastAsia="zh-CN"/>
        </w:rPr>
      </w:pPr>
      <w:r w:rsidRPr="0008103A">
        <w:t>Title:</w:t>
      </w:r>
      <w:r w:rsidRPr="0008103A">
        <w:tab/>
      </w:r>
      <w:r w:rsidR="00534A81">
        <w:t>MRO-related r</w:t>
      </w:r>
      <w:r w:rsidR="002D3214">
        <w:t>emaining open issues</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FED84EA" w14:textId="38CA33B3" w:rsidR="00055C4A" w:rsidRDefault="00B87183" w:rsidP="0048579F">
      <w:pPr>
        <w:rPr>
          <w:lang w:val="en-US" w:eastAsia="zh-CN"/>
        </w:rPr>
      </w:pPr>
      <w:r>
        <w:rPr>
          <w:lang w:val="en-US" w:eastAsia="zh-CN"/>
        </w:rPr>
        <w:t>In this paper we</w:t>
      </w:r>
      <w:r w:rsidR="0048579F">
        <w:rPr>
          <w:lang w:val="en-US" w:eastAsia="zh-CN"/>
        </w:rPr>
        <w:t xml:space="preserve"> provide our views on the remaining issues</w:t>
      </w:r>
      <w:r w:rsidR="002D3214">
        <w:rPr>
          <w:lang w:val="en-US" w:eastAsia="zh-CN"/>
        </w:rPr>
        <w:t xml:space="preserve"> in SON</w:t>
      </w:r>
      <w:r w:rsidR="00534A81">
        <w:rPr>
          <w:lang w:val="en-US" w:eastAsia="zh-CN"/>
        </w:rPr>
        <w:t xml:space="preserve">, which are related to </w:t>
      </w:r>
      <w:r w:rsidR="00534A81" w:rsidRPr="000E0B50">
        <w:t>MRO (CHO RLF report + DAPS RLF report + SHR)</w:t>
      </w:r>
      <w:r w:rsidR="0048579F">
        <w:rPr>
          <w:lang w:val="en-US" w:eastAsia="zh-CN"/>
        </w:rPr>
        <w:t>.</w:t>
      </w:r>
    </w:p>
    <w:p w14:paraId="157B3C8C" w14:textId="2F2D295A" w:rsidR="000E0B50" w:rsidRPr="00A3449C" w:rsidRDefault="008E7986" w:rsidP="00A3449C">
      <w:pPr>
        <w:pStyle w:val="Heading1"/>
      </w:pPr>
      <w:r>
        <w:t>2</w:t>
      </w:r>
      <w:r w:rsidR="00004B93">
        <w:t xml:space="preserve">  </w:t>
      </w:r>
      <w:r w:rsidR="00476CE3">
        <w:t xml:space="preserve"> </w:t>
      </w:r>
      <w:r w:rsidR="004F2C96">
        <w:tab/>
      </w:r>
      <w:r w:rsidR="009575A3">
        <w:t>Discussion</w:t>
      </w:r>
    </w:p>
    <w:p w14:paraId="175137B7" w14:textId="48F4E8D4" w:rsidR="000E0B50" w:rsidRDefault="00A3449C" w:rsidP="0048579F">
      <w:r>
        <w:t>The</w:t>
      </w:r>
      <w:r w:rsidRPr="000E0B50">
        <w:t xml:space="preserve"> following</w:t>
      </w:r>
      <w:r w:rsidR="000E0B50" w:rsidRPr="000E0B50">
        <w:t xml:space="preserve"> </w:t>
      </w:r>
      <w:r>
        <w:t xml:space="preserve">issues related to </w:t>
      </w:r>
      <w:r w:rsidR="000E0B50" w:rsidRPr="000E0B50">
        <w:t>MRO (CHO RLF report + DAPS RLF report + SHR)</w:t>
      </w:r>
      <w:r>
        <w:t xml:space="preserve"> were flagged by the rapporteur for further input:</w:t>
      </w:r>
    </w:p>
    <w:p w14:paraId="7DA59D7F" w14:textId="5DD9561B" w:rsidR="00A3449C" w:rsidRPr="00A3449C" w:rsidRDefault="00A3449C" w:rsidP="00A3449C">
      <w:pPr>
        <w:pStyle w:val="ListParagraph"/>
        <w:numPr>
          <w:ilvl w:val="0"/>
          <w:numId w:val="43"/>
        </w:numPr>
        <w:rPr>
          <w:lang w:val="en-IL"/>
        </w:rPr>
      </w:pPr>
      <w:r w:rsidRPr="00A3449C">
        <w:rPr>
          <w:lang w:val="en-IL"/>
        </w:rPr>
        <w:t>solutions to address the issue of SHR and RLF report are generated for the same HO</w:t>
      </w:r>
    </w:p>
    <w:p w14:paraId="75C930AF" w14:textId="49925D5C" w:rsidR="00A3449C" w:rsidRPr="00A3449C" w:rsidRDefault="00A3449C" w:rsidP="00A3449C">
      <w:pPr>
        <w:pStyle w:val="ListParagraph"/>
        <w:numPr>
          <w:ilvl w:val="0"/>
          <w:numId w:val="43"/>
        </w:numPr>
        <w:rPr>
          <w:lang w:val="en-US"/>
        </w:rPr>
      </w:pPr>
      <w:r w:rsidRPr="00A3449C">
        <w:rPr>
          <w:lang w:val="en-IL"/>
        </w:rPr>
        <w:t>whether to clarify in the specification in which cases the SHR is generated</w:t>
      </w:r>
      <w:r w:rsidRPr="00A3449C">
        <w:rPr>
          <w:lang w:val="en-US"/>
        </w:rPr>
        <w:t xml:space="preserve"> when T312 is running</w:t>
      </w:r>
    </w:p>
    <w:p w14:paraId="0F14667F" w14:textId="44CE1CBF" w:rsidR="00A3449C" w:rsidRDefault="00A3449C" w:rsidP="00A3449C">
      <w:pPr>
        <w:pStyle w:val="ListParagraph"/>
        <w:numPr>
          <w:ilvl w:val="0"/>
          <w:numId w:val="43"/>
        </w:numPr>
        <w:rPr>
          <w:lang w:val="en-IL"/>
        </w:rPr>
      </w:pPr>
      <w:r w:rsidRPr="00A3449C">
        <w:rPr>
          <w:lang w:val="en-IL"/>
        </w:rPr>
        <w:t>whether the T312 threshold for the SHR generation should be configured per measurement identity or if that can be common for all measurement identities</w:t>
      </w:r>
    </w:p>
    <w:p w14:paraId="639E677F" w14:textId="7F9F0431" w:rsidR="00534A81" w:rsidRPr="00534A81" w:rsidRDefault="00534A81" w:rsidP="00534A81">
      <w:pPr>
        <w:rPr>
          <w:lang w:val="en-US"/>
        </w:rPr>
      </w:pPr>
      <w:r>
        <w:rPr>
          <w:lang w:val="en-US"/>
        </w:rPr>
        <w:t>Below we provide our views on how to resolve these open issues.</w:t>
      </w:r>
    </w:p>
    <w:p w14:paraId="328FE61B" w14:textId="3FE2EDB1" w:rsidR="009205BE" w:rsidRDefault="005510CB" w:rsidP="005510CB">
      <w:pPr>
        <w:pStyle w:val="Heading2"/>
        <w:rPr>
          <w:lang w:val="en-US"/>
        </w:rPr>
      </w:pPr>
      <w:r>
        <w:rPr>
          <w:lang w:val="en-US"/>
        </w:rPr>
        <w:t>2.1</w:t>
      </w:r>
      <w:r>
        <w:rPr>
          <w:lang w:val="en-US"/>
        </w:rPr>
        <w:tab/>
      </w:r>
      <w:r w:rsidR="006F2138" w:rsidRPr="006F2138">
        <w:rPr>
          <w:lang w:val="en-US"/>
        </w:rPr>
        <w:t>SHR and RLF-Report being generated for same HO</w:t>
      </w:r>
    </w:p>
    <w:p w14:paraId="6A3ABE3B" w14:textId="52BB9E58" w:rsidR="006F2138" w:rsidRDefault="000060A4" w:rsidP="0048579F">
      <w:pPr>
        <w:rPr>
          <w:lang w:val="en-US"/>
        </w:rPr>
      </w:pPr>
      <w:r>
        <w:rPr>
          <w:lang w:val="en-US"/>
        </w:rPr>
        <w:t>According to [1], the scenario is as follows:</w:t>
      </w:r>
    </w:p>
    <w:p w14:paraId="384C5D7D" w14:textId="77777777" w:rsidR="000060A4" w:rsidRPr="000060A4" w:rsidRDefault="000060A4" w:rsidP="000060A4">
      <w:pPr>
        <w:pStyle w:val="ListParagraph"/>
        <w:numPr>
          <w:ilvl w:val="0"/>
          <w:numId w:val="44"/>
        </w:numPr>
        <w:rPr>
          <w:i/>
          <w:iCs/>
          <w:lang w:val="en-US"/>
        </w:rPr>
      </w:pPr>
      <w:r w:rsidRPr="000060A4">
        <w:rPr>
          <w:i/>
          <w:iCs/>
          <w:lang w:val="en-US"/>
        </w:rPr>
        <w:t>UE is being handed over from cell-A to cell-B</w:t>
      </w:r>
    </w:p>
    <w:p w14:paraId="64AB4406" w14:textId="77777777" w:rsidR="000060A4" w:rsidRPr="000060A4" w:rsidRDefault="000060A4" w:rsidP="000060A4">
      <w:pPr>
        <w:pStyle w:val="ListParagraph"/>
        <w:numPr>
          <w:ilvl w:val="0"/>
          <w:numId w:val="44"/>
        </w:numPr>
        <w:rPr>
          <w:i/>
          <w:iCs/>
          <w:lang w:val="en-US"/>
        </w:rPr>
      </w:pPr>
      <w:r w:rsidRPr="000060A4">
        <w:rPr>
          <w:i/>
          <w:iCs/>
          <w:lang w:val="en-US"/>
        </w:rPr>
        <w:t xml:space="preserve">The handover is </w:t>
      </w:r>
      <w:proofErr w:type="gramStart"/>
      <w:r w:rsidRPr="000060A4">
        <w:rPr>
          <w:i/>
          <w:iCs/>
          <w:lang w:val="en-US"/>
        </w:rPr>
        <w:t>successful</w:t>
      </w:r>
      <w:proofErr w:type="gramEnd"/>
      <w:r w:rsidRPr="000060A4">
        <w:rPr>
          <w:i/>
          <w:iCs/>
          <w:lang w:val="en-US"/>
        </w:rPr>
        <w:t xml:space="preserve"> and the UE also generates a SHR report</w:t>
      </w:r>
    </w:p>
    <w:p w14:paraId="195D7C30" w14:textId="77777777" w:rsidR="000060A4" w:rsidRPr="000060A4" w:rsidRDefault="000060A4" w:rsidP="000060A4">
      <w:pPr>
        <w:pStyle w:val="ListParagraph"/>
        <w:numPr>
          <w:ilvl w:val="0"/>
          <w:numId w:val="44"/>
        </w:numPr>
        <w:rPr>
          <w:i/>
          <w:iCs/>
          <w:lang w:val="en-US"/>
        </w:rPr>
      </w:pPr>
      <w:r w:rsidRPr="000060A4">
        <w:rPr>
          <w:i/>
          <w:iCs/>
          <w:lang w:val="en-US"/>
        </w:rPr>
        <w:t>SHR report is fetched by cell-B and sent to Cell-A</w:t>
      </w:r>
    </w:p>
    <w:p w14:paraId="32720765" w14:textId="77777777" w:rsidR="000060A4" w:rsidRPr="000060A4" w:rsidRDefault="000060A4" w:rsidP="000060A4">
      <w:pPr>
        <w:pStyle w:val="ListParagraph"/>
        <w:numPr>
          <w:ilvl w:val="0"/>
          <w:numId w:val="44"/>
        </w:numPr>
        <w:rPr>
          <w:i/>
          <w:iCs/>
          <w:lang w:val="en-US"/>
        </w:rPr>
      </w:pPr>
      <w:r w:rsidRPr="000060A4">
        <w:rPr>
          <w:i/>
          <w:iCs/>
          <w:lang w:val="en-US"/>
        </w:rPr>
        <w:t>UE declares RLF in Cell-B and generates the RLF report</w:t>
      </w:r>
    </w:p>
    <w:p w14:paraId="5B926BE1" w14:textId="77777777" w:rsidR="000060A4" w:rsidRPr="000060A4" w:rsidRDefault="000060A4" w:rsidP="000060A4">
      <w:pPr>
        <w:pStyle w:val="ListParagraph"/>
        <w:numPr>
          <w:ilvl w:val="0"/>
          <w:numId w:val="44"/>
        </w:numPr>
        <w:rPr>
          <w:i/>
          <w:iCs/>
          <w:lang w:val="en-US"/>
        </w:rPr>
      </w:pPr>
      <w:r w:rsidRPr="000060A4">
        <w:rPr>
          <w:i/>
          <w:iCs/>
          <w:lang w:val="en-US"/>
        </w:rPr>
        <w:t xml:space="preserve">UE reports the RLF report to Cell-X (this could be very late in time compared to when RLF was declared i.e., </w:t>
      </w:r>
      <w:proofErr w:type="spellStart"/>
      <w:r w:rsidRPr="000060A4">
        <w:rPr>
          <w:i/>
          <w:iCs/>
          <w:lang w:val="en-US"/>
        </w:rPr>
        <w:t>timeSinceFailure</w:t>
      </w:r>
      <w:proofErr w:type="spellEnd"/>
      <w:r w:rsidRPr="000060A4">
        <w:rPr>
          <w:i/>
          <w:iCs/>
          <w:lang w:val="en-US"/>
        </w:rPr>
        <w:t xml:space="preserve"> is a large value).</w:t>
      </w:r>
    </w:p>
    <w:p w14:paraId="1B418DCD" w14:textId="77777777" w:rsidR="000060A4" w:rsidRPr="000060A4" w:rsidRDefault="000060A4" w:rsidP="000060A4">
      <w:pPr>
        <w:pStyle w:val="ListParagraph"/>
        <w:numPr>
          <w:ilvl w:val="0"/>
          <w:numId w:val="44"/>
        </w:numPr>
        <w:rPr>
          <w:i/>
          <w:iCs/>
          <w:lang w:val="en-US"/>
        </w:rPr>
      </w:pPr>
      <w:r w:rsidRPr="000060A4">
        <w:rPr>
          <w:i/>
          <w:iCs/>
          <w:lang w:val="en-US"/>
        </w:rPr>
        <w:t>Cell-A receives the RLF report and realizes that it was a HO to wrong cell from Cell-A to Cell-B</w:t>
      </w:r>
    </w:p>
    <w:p w14:paraId="02B67834" w14:textId="562FFD27" w:rsidR="000060A4" w:rsidRDefault="000060A4" w:rsidP="000060A4">
      <w:pPr>
        <w:rPr>
          <w:lang w:val="en-US"/>
        </w:rPr>
      </w:pPr>
      <w:r>
        <w:rPr>
          <w:lang w:val="en-US"/>
        </w:rPr>
        <w:t>“</w:t>
      </w:r>
      <w:r w:rsidRPr="003370CD">
        <w:rPr>
          <w:i/>
          <w:iCs/>
          <w:lang w:val="en-US"/>
        </w:rPr>
        <w:t>The problem identified is that the same HO has resulted in both SHR generation and RLF report generation and both these reports would result in correcting HO parameters i.e., SHR might result in reducing the A3Offset whereas RLF report might result in increasing the A3Offset. Opponents of this proposal believe that there is no possibility at the network side to identify that both reports are for the same HO</w:t>
      </w:r>
      <w:r w:rsidRPr="000060A4">
        <w:rPr>
          <w:lang w:val="en-US"/>
        </w:rPr>
        <w:t>.</w:t>
      </w:r>
      <w:r>
        <w:rPr>
          <w:lang w:val="en-US"/>
        </w:rPr>
        <w:t>”</w:t>
      </w:r>
    </w:p>
    <w:p w14:paraId="0C55E2FD" w14:textId="0E67EC8C" w:rsidR="000060A4" w:rsidRDefault="000060A4" w:rsidP="000060A4">
      <w:pPr>
        <w:rPr>
          <w:lang w:val="en-US"/>
        </w:rPr>
      </w:pPr>
      <w:r>
        <w:rPr>
          <w:lang w:val="en-US"/>
        </w:rPr>
        <w:t xml:space="preserve">We start by acknowledging the scenario </w:t>
      </w:r>
      <w:proofErr w:type="gramStart"/>
      <w:r>
        <w:rPr>
          <w:lang w:val="en-US"/>
        </w:rPr>
        <w:t>and also</w:t>
      </w:r>
      <w:proofErr w:type="gramEnd"/>
      <w:r>
        <w:rPr>
          <w:lang w:val="en-US"/>
        </w:rPr>
        <w:t xml:space="preserve"> the fact that it may not be possible for “the network” (cell-A specifically) to identify that both reports are related to the same HO. </w:t>
      </w:r>
      <w:proofErr w:type="gramStart"/>
      <w:r>
        <w:rPr>
          <w:lang w:val="en-US"/>
        </w:rPr>
        <w:t>Having said that, there</w:t>
      </w:r>
      <w:proofErr w:type="gramEnd"/>
      <w:r>
        <w:rPr>
          <w:lang w:val="en-US"/>
        </w:rPr>
        <w:t xml:space="preserve"> are other rather simple solutions available for “the network” (cell-B to be specific) to resolve the issue with little implementation and no standardization impact. </w:t>
      </w:r>
    </w:p>
    <w:p w14:paraId="43EA6DEF" w14:textId="1F669F0C" w:rsidR="0028623A" w:rsidRPr="004B4F36" w:rsidRDefault="0028623A" w:rsidP="000060A4">
      <w:pPr>
        <w:rPr>
          <w:b/>
          <w:bCs/>
          <w:lang w:val="en-US"/>
        </w:rPr>
      </w:pPr>
      <w:r w:rsidRPr="004B4F36">
        <w:rPr>
          <w:b/>
          <w:bCs/>
          <w:lang w:val="en-US"/>
        </w:rPr>
        <w:t>Observation 1: while we acknowledge the scenario and the fact that the cell-A in the scenario described may not be able to identify that both reports are related to the same HO, the network (</w:t>
      </w:r>
      <w:proofErr w:type="gramStart"/>
      <w:r w:rsidRPr="004B4F36">
        <w:rPr>
          <w:b/>
          <w:bCs/>
          <w:lang w:val="en-US"/>
        </w:rPr>
        <w:t>i.e.</w:t>
      </w:r>
      <w:proofErr w:type="gramEnd"/>
      <w:r w:rsidRPr="004B4F36">
        <w:rPr>
          <w:b/>
          <w:bCs/>
          <w:lang w:val="en-US"/>
        </w:rPr>
        <w:t xml:space="preserve"> the cell-B) can easily solve the problem in implementation. </w:t>
      </w:r>
    </w:p>
    <w:p w14:paraId="59F8150D" w14:textId="4F577AF6" w:rsidR="0028623A" w:rsidRDefault="0028623A" w:rsidP="000060A4">
      <w:pPr>
        <w:rPr>
          <w:lang w:val="en-US"/>
        </w:rPr>
      </w:pPr>
      <w:r>
        <w:rPr>
          <w:lang w:val="en-US"/>
        </w:rPr>
        <w:t xml:space="preserve">After the UE indicates the availability of the </w:t>
      </w:r>
      <w:r w:rsidR="00D07EE8">
        <w:rPr>
          <w:lang w:val="en-US"/>
        </w:rPr>
        <w:t>SHR</w:t>
      </w:r>
      <w:r>
        <w:rPr>
          <w:lang w:val="en-US"/>
        </w:rPr>
        <w:t xml:space="preserve"> report in </w:t>
      </w:r>
      <w:proofErr w:type="gramStart"/>
      <w:r w:rsidR="007D4611">
        <w:rPr>
          <w:lang w:val="en-US"/>
        </w:rPr>
        <w:t>RRC{</w:t>
      </w:r>
      <w:proofErr w:type="gramEnd"/>
      <w:r w:rsidR="007D4611">
        <w:rPr>
          <w:lang w:val="en-US"/>
        </w:rPr>
        <w:t xml:space="preserve">Reestablishment, Reconfiguration, Resume, Setup}Complete, the network (i.e. the cell-B in the scenario at hand) has the opportunity to retrieve the report using the </w:t>
      </w:r>
      <w:proofErr w:type="spellStart"/>
      <w:r w:rsidR="007D4611" w:rsidRPr="007D4611">
        <w:rPr>
          <w:lang w:val="en-US"/>
        </w:rPr>
        <w:t>UEInformation</w:t>
      </w:r>
      <w:proofErr w:type="spellEnd"/>
      <w:r w:rsidR="007D4611">
        <w:rPr>
          <w:lang w:val="en-US"/>
        </w:rPr>
        <w:t xml:space="preserve">{Request, Response} messages. After that, the </w:t>
      </w:r>
      <w:proofErr w:type="spellStart"/>
      <w:r w:rsidR="007D4611">
        <w:rPr>
          <w:lang w:val="en-US"/>
        </w:rPr>
        <w:t>gNB</w:t>
      </w:r>
      <w:proofErr w:type="spellEnd"/>
      <w:r w:rsidR="007D4611">
        <w:rPr>
          <w:lang w:val="en-US"/>
        </w:rPr>
        <w:t xml:space="preserve"> of the cell-B sends the </w:t>
      </w:r>
      <w:r w:rsidR="00D07EE8">
        <w:rPr>
          <w:lang w:val="en-US"/>
        </w:rPr>
        <w:t xml:space="preserve">SHR </w:t>
      </w:r>
      <w:r w:rsidR="007D4611">
        <w:rPr>
          <w:lang w:val="en-US"/>
        </w:rPr>
        <w:t xml:space="preserve">report retrieved from the UE to the </w:t>
      </w:r>
      <w:proofErr w:type="spellStart"/>
      <w:r w:rsidR="007D4611">
        <w:rPr>
          <w:lang w:val="en-US"/>
        </w:rPr>
        <w:t>gNB</w:t>
      </w:r>
      <w:proofErr w:type="spellEnd"/>
      <w:r w:rsidR="007D4611">
        <w:rPr>
          <w:lang w:val="en-US"/>
        </w:rPr>
        <w:t xml:space="preserve"> of the cell-A using the </w:t>
      </w:r>
      <w:r w:rsidR="007D4611" w:rsidRPr="007D4611">
        <w:rPr>
          <w:lang w:val="en-US"/>
        </w:rPr>
        <w:t>FAILURE INDICATION</w:t>
      </w:r>
      <w:r w:rsidR="007D4611">
        <w:rPr>
          <w:lang w:val="en-US"/>
        </w:rPr>
        <w:t xml:space="preserve"> </w:t>
      </w:r>
      <w:proofErr w:type="spellStart"/>
      <w:r w:rsidR="007D4611">
        <w:rPr>
          <w:lang w:val="en-US"/>
        </w:rPr>
        <w:t>Xn</w:t>
      </w:r>
      <w:proofErr w:type="spellEnd"/>
      <w:r w:rsidR="007D4611">
        <w:rPr>
          <w:lang w:val="en-US"/>
        </w:rPr>
        <w:t xml:space="preserve">-AP message. </w:t>
      </w:r>
    </w:p>
    <w:p w14:paraId="398146AD" w14:textId="737F1624" w:rsidR="007D4611" w:rsidRDefault="007D4611" w:rsidP="000060A4">
      <w:pPr>
        <w:rPr>
          <w:lang w:val="en-US"/>
        </w:rPr>
      </w:pPr>
      <w:r>
        <w:rPr>
          <w:lang w:val="en-US"/>
        </w:rPr>
        <w:t xml:space="preserve">It is important to keep in mind that the standards </w:t>
      </w:r>
      <w:proofErr w:type="gramStart"/>
      <w:r>
        <w:rPr>
          <w:lang w:val="en-US"/>
        </w:rPr>
        <w:t>does</w:t>
      </w:r>
      <w:proofErr w:type="gramEnd"/>
      <w:r>
        <w:rPr>
          <w:lang w:val="en-US"/>
        </w:rPr>
        <w:t xml:space="preserve"> not mandate the network (i.e. cell-B) to fetch the </w:t>
      </w:r>
      <w:r w:rsidR="00D07EE8">
        <w:rPr>
          <w:lang w:val="en-US"/>
        </w:rPr>
        <w:t xml:space="preserve">SHR </w:t>
      </w:r>
      <w:r>
        <w:rPr>
          <w:lang w:val="en-US"/>
        </w:rPr>
        <w:t xml:space="preserve">report immediately from a UE and neither does it mandates the </w:t>
      </w:r>
      <w:proofErr w:type="spellStart"/>
      <w:r>
        <w:rPr>
          <w:lang w:val="en-US"/>
        </w:rPr>
        <w:t>gNB</w:t>
      </w:r>
      <w:proofErr w:type="spellEnd"/>
      <w:r>
        <w:rPr>
          <w:lang w:val="en-US"/>
        </w:rPr>
        <w:t xml:space="preserve"> of the cell-B to send it immediately to the </w:t>
      </w:r>
      <w:proofErr w:type="spellStart"/>
      <w:r>
        <w:rPr>
          <w:lang w:val="en-US"/>
        </w:rPr>
        <w:t>gNB</w:t>
      </w:r>
      <w:proofErr w:type="spellEnd"/>
      <w:r>
        <w:rPr>
          <w:lang w:val="en-US"/>
        </w:rPr>
        <w:t xml:space="preserve"> of the cell-A. Therefore, the networks </w:t>
      </w:r>
      <w:proofErr w:type="gramStart"/>
      <w:r>
        <w:rPr>
          <w:lang w:val="en-US"/>
        </w:rPr>
        <w:t>has</w:t>
      </w:r>
      <w:proofErr w:type="gramEnd"/>
      <w:r>
        <w:rPr>
          <w:lang w:val="en-US"/>
        </w:rPr>
        <w:t xml:space="preserve"> at least two opportunities to delay that action. With sufficient delay, if there is a </w:t>
      </w:r>
      <w:r>
        <w:rPr>
          <w:lang w:val="en-US"/>
        </w:rPr>
        <w:lastRenderedPageBreak/>
        <w:t xml:space="preserve">subsequent RLF, the network would know that the HO has in fact failed </w:t>
      </w:r>
      <w:r w:rsidR="00D07EE8">
        <w:rPr>
          <w:lang w:val="en-US"/>
        </w:rPr>
        <w:t xml:space="preserve">– and therefore there is no need to forward the SHR report to the </w:t>
      </w:r>
      <w:proofErr w:type="spellStart"/>
      <w:r w:rsidR="00D07EE8">
        <w:rPr>
          <w:lang w:val="en-US"/>
        </w:rPr>
        <w:t>gNB</w:t>
      </w:r>
      <w:proofErr w:type="spellEnd"/>
      <w:r w:rsidR="00D07EE8">
        <w:rPr>
          <w:lang w:val="en-US"/>
        </w:rPr>
        <w:t xml:space="preserve"> of the cell-A.</w:t>
      </w:r>
    </w:p>
    <w:p w14:paraId="55FBB602" w14:textId="5C4CE161" w:rsidR="00D07EE8" w:rsidRPr="004B4F36" w:rsidRDefault="00D07EE8" w:rsidP="000060A4">
      <w:pPr>
        <w:rPr>
          <w:b/>
          <w:bCs/>
          <w:lang w:val="en-US"/>
        </w:rPr>
      </w:pPr>
      <w:r w:rsidRPr="004B4F36">
        <w:rPr>
          <w:b/>
          <w:bCs/>
          <w:lang w:val="en-US"/>
        </w:rPr>
        <w:t>Observation 2: if the network (</w:t>
      </w:r>
      <w:proofErr w:type="gramStart"/>
      <w:r w:rsidRPr="004B4F36">
        <w:rPr>
          <w:b/>
          <w:bCs/>
          <w:lang w:val="en-US"/>
        </w:rPr>
        <w:t>i.e.</w:t>
      </w:r>
      <w:proofErr w:type="gramEnd"/>
      <w:r w:rsidRPr="004B4F36">
        <w:rPr>
          <w:b/>
          <w:bCs/>
          <w:lang w:val="en-US"/>
        </w:rPr>
        <w:t xml:space="preserve"> the cell-B) delays retrieving the SHR report from a UE and/or delays sending the report to the </w:t>
      </w:r>
      <w:proofErr w:type="spellStart"/>
      <w:r w:rsidRPr="004B4F36">
        <w:rPr>
          <w:b/>
          <w:bCs/>
          <w:lang w:val="en-US"/>
        </w:rPr>
        <w:t>gNB</w:t>
      </w:r>
      <w:proofErr w:type="spellEnd"/>
      <w:r w:rsidRPr="004B4F36">
        <w:rPr>
          <w:b/>
          <w:bCs/>
          <w:lang w:val="en-US"/>
        </w:rPr>
        <w:t xml:space="preserve"> of the cell-A, it has the opportunity to detect a subsequent RLF (if it happens); if the cell-B detects a subsequent RLF, it will know not to forward the SHR to the </w:t>
      </w:r>
      <w:proofErr w:type="spellStart"/>
      <w:r w:rsidRPr="004B4F36">
        <w:rPr>
          <w:b/>
          <w:bCs/>
          <w:lang w:val="en-US"/>
        </w:rPr>
        <w:t>gNB</w:t>
      </w:r>
      <w:proofErr w:type="spellEnd"/>
      <w:r w:rsidRPr="004B4F36">
        <w:rPr>
          <w:b/>
          <w:bCs/>
          <w:lang w:val="en-US"/>
        </w:rPr>
        <w:t xml:space="preserve"> of the cell-A. </w:t>
      </w:r>
    </w:p>
    <w:p w14:paraId="0C6F3C41" w14:textId="6DC73E76" w:rsidR="00D07EE8" w:rsidRDefault="00D07EE8" w:rsidP="000060A4">
      <w:pPr>
        <w:rPr>
          <w:lang w:val="en-US"/>
        </w:rPr>
      </w:pPr>
      <w:r>
        <w:rPr>
          <w:lang w:val="en-US"/>
        </w:rPr>
        <w:t xml:space="preserve">Therefore, since there is an easy solution </w:t>
      </w:r>
      <w:r w:rsidR="005E78E4">
        <w:rPr>
          <w:lang w:val="en-US"/>
        </w:rPr>
        <w:t>available to a network implementation for</w:t>
      </w:r>
      <w:r>
        <w:rPr>
          <w:lang w:val="en-US"/>
        </w:rPr>
        <w:t xml:space="preserve"> the scenario</w:t>
      </w:r>
      <w:r w:rsidR="005E78E4">
        <w:rPr>
          <w:lang w:val="en-US"/>
        </w:rPr>
        <w:t xml:space="preserve"> of </w:t>
      </w:r>
      <w:r w:rsidR="005E78E4" w:rsidRPr="006F2138">
        <w:rPr>
          <w:lang w:val="en-US"/>
        </w:rPr>
        <w:t>SHR and RLF-Report being generated for same HO</w:t>
      </w:r>
      <w:r>
        <w:rPr>
          <w:lang w:val="en-US"/>
        </w:rPr>
        <w:t xml:space="preserve">, we propose </w:t>
      </w:r>
      <w:r w:rsidR="005E78E4">
        <w:rPr>
          <w:lang w:val="en-US"/>
        </w:rPr>
        <w:t>not to standardize additional solutions.</w:t>
      </w:r>
    </w:p>
    <w:p w14:paraId="31BE5231" w14:textId="464252A1" w:rsidR="005E78E4" w:rsidRPr="004B4F36" w:rsidRDefault="005E78E4" w:rsidP="000060A4">
      <w:pPr>
        <w:rPr>
          <w:b/>
          <w:bCs/>
          <w:lang w:val="en-IL"/>
        </w:rPr>
      </w:pPr>
      <w:r w:rsidRPr="004B4F36">
        <w:rPr>
          <w:b/>
          <w:bCs/>
          <w:lang w:val="en-US"/>
        </w:rPr>
        <w:t>Proposal 1: since there is an easy solution available to a network implementation for the scenario of SHR and RLF-Report being generated for same HO, we propose not to standardize additional solutions.</w:t>
      </w:r>
    </w:p>
    <w:p w14:paraId="150F98C6" w14:textId="1157B091" w:rsidR="005E78E4" w:rsidRDefault="005E78E4" w:rsidP="005E78E4">
      <w:pPr>
        <w:pStyle w:val="Heading2"/>
        <w:rPr>
          <w:lang w:val="en-US"/>
        </w:rPr>
      </w:pPr>
      <w:r>
        <w:rPr>
          <w:lang w:val="en-US"/>
        </w:rPr>
        <w:t>2.2</w:t>
      </w:r>
      <w:r>
        <w:rPr>
          <w:lang w:val="en-US"/>
        </w:rPr>
        <w:tab/>
      </w:r>
      <w:r w:rsidRPr="00A3449C">
        <w:rPr>
          <w:lang w:val="en-US"/>
        </w:rPr>
        <w:t>T312</w:t>
      </w:r>
      <w:r>
        <w:rPr>
          <w:lang w:val="en-US"/>
        </w:rPr>
        <w:t>-related</w:t>
      </w:r>
    </w:p>
    <w:p w14:paraId="33AE9E25" w14:textId="51D8A93A" w:rsidR="008F5733" w:rsidRDefault="008F5733" w:rsidP="00E1167F">
      <w:pPr>
        <w:rPr>
          <w:lang w:val="en-US"/>
        </w:rPr>
      </w:pPr>
      <w:r>
        <w:rPr>
          <w:lang w:val="en-US"/>
        </w:rPr>
        <w:t>In [2], the rapporteur presents the following issue: “</w:t>
      </w:r>
      <w:r w:rsidR="00E1167F" w:rsidRPr="00E1167F">
        <w:rPr>
          <w:i/>
          <w:iCs/>
          <w:lang w:val="en-US"/>
        </w:rPr>
        <w:t>T312 is running per measurement object according to legacy specifications, and there might be different T312 values that the UE is handling for different measurement objects</w:t>
      </w:r>
      <w:r>
        <w:rPr>
          <w:lang w:val="en-US"/>
        </w:rPr>
        <w:t>”</w:t>
      </w:r>
      <w:r w:rsidR="00E1167F">
        <w:rPr>
          <w:lang w:val="en-US"/>
        </w:rPr>
        <w:t xml:space="preserve">. Therefore, the UE may end up reporting SHR </w:t>
      </w:r>
      <w:r w:rsidR="00E1167F" w:rsidRPr="00E1167F">
        <w:rPr>
          <w:lang w:val="en-US"/>
        </w:rPr>
        <w:t>if the T312 expire</w:t>
      </w:r>
      <w:r w:rsidR="00E1167F">
        <w:rPr>
          <w:lang w:val="en-US"/>
        </w:rPr>
        <w:t>s</w:t>
      </w:r>
      <w:r w:rsidR="00E1167F" w:rsidRPr="00E1167F">
        <w:rPr>
          <w:lang w:val="en-US"/>
        </w:rPr>
        <w:t xml:space="preserve"> for a frequency not associated to the target cell</w:t>
      </w:r>
      <w:r w:rsidR="00E1167F">
        <w:rPr>
          <w:lang w:val="en-US"/>
        </w:rPr>
        <w:t xml:space="preserve">. </w:t>
      </w:r>
    </w:p>
    <w:p w14:paraId="6DE4CA04" w14:textId="6DF8EDA7" w:rsidR="00E1167F" w:rsidRDefault="00E1167F" w:rsidP="00E1167F">
      <w:pPr>
        <w:rPr>
          <w:lang w:val="en-US"/>
        </w:rPr>
      </w:pPr>
      <w:r>
        <w:rPr>
          <w:lang w:val="en-US"/>
        </w:rPr>
        <w:t xml:space="preserve">We acknowledge the scenario and agree that is something we need to resolve, as otherwise potentially many unnecessary SHRs will be generated, wasting UE and network resources. </w:t>
      </w:r>
    </w:p>
    <w:p w14:paraId="287BE4B6" w14:textId="3401E858" w:rsidR="00E1167F" w:rsidRDefault="00E1167F" w:rsidP="00E1167F">
      <w:pPr>
        <w:rPr>
          <w:lang w:val="en-US"/>
        </w:rPr>
      </w:pPr>
      <w:r>
        <w:rPr>
          <w:lang w:val="en-US"/>
        </w:rPr>
        <w:t xml:space="preserve">Observation 3: we acknowledge the issue of SHR being reported if </w:t>
      </w:r>
      <w:r w:rsidRPr="00E1167F">
        <w:rPr>
          <w:lang w:val="en-US"/>
        </w:rPr>
        <w:t>the T312 expire</w:t>
      </w:r>
      <w:r>
        <w:rPr>
          <w:lang w:val="en-US"/>
        </w:rPr>
        <w:t>s</w:t>
      </w:r>
      <w:r w:rsidRPr="00E1167F">
        <w:rPr>
          <w:lang w:val="en-US"/>
        </w:rPr>
        <w:t xml:space="preserve"> for a frequency not associated to the target cell</w:t>
      </w:r>
      <w:r>
        <w:rPr>
          <w:lang w:val="en-US"/>
        </w:rPr>
        <w:t>.</w:t>
      </w:r>
    </w:p>
    <w:p w14:paraId="4236ED9D" w14:textId="0F1A685E" w:rsidR="005D6A1F" w:rsidRPr="005D6A1F" w:rsidRDefault="00E1167F" w:rsidP="005D6A1F">
      <w:pPr>
        <w:rPr>
          <w:lang w:val="en-IL"/>
        </w:rPr>
      </w:pPr>
      <w:r>
        <w:rPr>
          <w:lang w:val="en-US"/>
        </w:rPr>
        <w:t xml:space="preserve">Between the two following solutions proposed by the </w:t>
      </w:r>
      <w:proofErr w:type="spellStart"/>
      <w:r>
        <w:rPr>
          <w:lang w:val="en-US"/>
        </w:rPr>
        <w:t>rapportuer</w:t>
      </w:r>
      <w:proofErr w:type="spellEnd"/>
      <w:r w:rsidR="005D6A1F" w:rsidRPr="005D6A1F">
        <w:rPr>
          <w:lang w:val="en-IL"/>
        </w:rPr>
        <w:t>:</w:t>
      </w:r>
    </w:p>
    <w:p w14:paraId="50467035" w14:textId="77777777" w:rsidR="005D6A1F" w:rsidRPr="005D6A1F" w:rsidRDefault="005D6A1F" w:rsidP="005D6A1F">
      <w:pPr>
        <w:pStyle w:val="ListParagraph"/>
        <w:numPr>
          <w:ilvl w:val="0"/>
          <w:numId w:val="39"/>
        </w:numPr>
        <w:rPr>
          <w:lang w:val="en-IL"/>
        </w:rPr>
      </w:pPr>
      <w:r w:rsidRPr="005D6A1F">
        <w:rPr>
          <w:lang w:val="en-IL"/>
        </w:rPr>
        <w:t>The UE shall log the SHR always when a T312 is running for any measurement identity configured to the UE. In this case, the UE shall indicate which frequency related measurements had triggered the timer T312.</w:t>
      </w:r>
    </w:p>
    <w:p w14:paraId="6343D8AB" w14:textId="032293A7" w:rsidR="006F2138" w:rsidRDefault="005D6A1F" w:rsidP="005D6A1F">
      <w:pPr>
        <w:pStyle w:val="ListParagraph"/>
        <w:numPr>
          <w:ilvl w:val="0"/>
          <w:numId w:val="39"/>
        </w:numPr>
        <w:rPr>
          <w:lang w:val="en-IL"/>
        </w:rPr>
      </w:pPr>
      <w:r w:rsidRPr="005D6A1F">
        <w:rPr>
          <w:lang w:val="en-IL"/>
        </w:rPr>
        <w:t>The SHR shall be generated only if the T312 associated to the measurement identity associated to the target cell is running</w:t>
      </w:r>
    </w:p>
    <w:p w14:paraId="6087154E" w14:textId="687E7FF9" w:rsidR="00E1167F" w:rsidRDefault="00E1167F" w:rsidP="00E1167F">
      <w:pPr>
        <w:rPr>
          <w:lang w:val="en-US"/>
        </w:rPr>
      </w:pPr>
      <w:r>
        <w:rPr>
          <w:lang w:val="en-US"/>
        </w:rPr>
        <w:t>Our preference is for solution b.</w:t>
      </w:r>
    </w:p>
    <w:p w14:paraId="023FB42D" w14:textId="5D47CA75" w:rsidR="00E1167F" w:rsidRPr="00534A81" w:rsidRDefault="00E1167F" w:rsidP="00E1167F">
      <w:pPr>
        <w:rPr>
          <w:b/>
          <w:bCs/>
          <w:lang w:val="en-US"/>
        </w:rPr>
      </w:pPr>
      <w:r w:rsidRPr="00534A81">
        <w:rPr>
          <w:b/>
          <w:bCs/>
          <w:lang w:val="en-US"/>
        </w:rPr>
        <w:t xml:space="preserve">Proposal 2: </w:t>
      </w:r>
      <w:r w:rsidRPr="00E1167F">
        <w:rPr>
          <w:b/>
          <w:bCs/>
          <w:lang w:val="en-IL"/>
        </w:rPr>
        <w:t>The SHR shall be generated only if the T312 associated to the measurement identity associated to the target cell is running</w:t>
      </w:r>
      <w:r w:rsidRPr="00534A81">
        <w:rPr>
          <w:b/>
          <w:bCs/>
          <w:lang w:val="en-US"/>
        </w:rPr>
        <w:t>.</w:t>
      </w:r>
    </w:p>
    <w:p w14:paraId="79B44BFA" w14:textId="78B930E3" w:rsidR="000E0B50" w:rsidRDefault="00534A81" w:rsidP="00534A81">
      <w:pPr>
        <w:rPr>
          <w:lang w:val="en-US"/>
        </w:rPr>
      </w:pPr>
      <w:r>
        <w:rPr>
          <w:lang w:val="en-US"/>
        </w:rPr>
        <w:t>With regards to the related issue of “</w:t>
      </w:r>
      <w:r w:rsidR="000E0B50" w:rsidRPr="000E0B50">
        <w:rPr>
          <w:lang w:val="en-IL"/>
        </w:rPr>
        <w:t>whether the T312 threshold for the SHR generation should be configured per measurement identity or if that can be common for all measurement identities configured to the UE</w:t>
      </w:r>
      <w:r>
        <w:rPr>
          <w:lang w:val="en-US"/>
        </w:rPr>
        <w:t xml:space="preserve">”, to be aligned with proposal 2, it makes sense to configure the </w:t>
      </w:r>
      <w:r w:rsidRPr="000E0B50">
        <w:rPr>
          <w:lang w:val="en-IL"/>
        </w:rPr>
        <w:t>T312 threshold for the SHR generation</w:t>
      </w:r>
      <w:r>
        <w:rPr>
          <w:lang w:val="en-US"/>
        </w:rPr>
        <w:t xml:space="preserve"> </w:t>
      </w:r>
      <w:r w:rsidRPr="000E0B50">
        <w:rPr>
          <w:lang w:val="en-IL"/>
        </w:rPr>
        <w:t>common for all measurement identities configured to the UE</w:t>
      </w:r>
      <w:r>
        <w:rPr>
          <w:lang w:val="en-US"/>
        </w:rPr>
        <w:t>.</w:t>
      </w:r>
    </w:p>
    <w:p w14:paraId="73956E5F" w14:textId="2955ADFE" w:rsidR="00534A81" w:rsidRPr="00534A81" w:rsidRDefault="00534A81" w:rsidP="00534A81">
      <w:pPr>
        <w:rPr>
          <w:b/>
          <w:bCs/>
          <w:lang w:val="en-US"/>
        </w:rPr>
      </w:pPr>
      <w:r w:rsidRPr="00534A81">
        <w:rPr>
          <w:b/>
          <w:bCs/>
          <w:lang w:val="en-US"/>
        </w:rPr>
        <w:t xml:space="preserve">Proposal 3: to configure the </w:t>
      </w:r>
      <w:r w:rsidRPr="00534A81">
        <w:rPr>
          <w:b/>
          <w:bCs/>
          <w:lang w:val="en-IL"/>
        </w:rPr>
        <w:t>T312 threshold for the SHR generation</w:t>
      </w:r>
      <w:r w:rsidRPr="00534A81">
        <w:rPr>
          <w:b/>
          <w:bCs/>
          <w:lang w:val="en-US"/>
        </w:rPr>
        <w:t xml:space="preserve"> </w:t>
      </w:r>
      <w:r w:rsidRPr="00534A81">
        <w:rPr>
          <w:b/>
          <w:bCs/>
          <w:lang w:val="en-IL"/>
        </w:rPr>
        <w:t>common for all measurement identities configured to the UE</w:t>
      </w:r>
      <w:r w:rsidRPr="00534A81">
        <w:rPr>
          <w:b/>
          <w:bCs/>
          <w:lang w:val="en-US"/>
        </w:rPr>
        <w:t>.</w:t>
      </w:r>
    </w:p>
    <w:p w14:paraId="12758A37" w14:textId="77777777" w:rsidR="000E0B50" w:rsidRPr="000E0B50" w:rsidRDefault="000E0B50" w:rsidP="000E0B50">
      <w:pPr>
        <w:rPr>
          <w:lang w:val="en-US"/>
        </w:rPr>
      </w:pPr>
    </w:p>
    <w:p w14:paraId="34C99636" w14:textId="0C0EC7FF" w:rsidR="008E7986" w:rsidRDefault="008E7986" w:rsidP="008E7986">
      <w:pPr>
        <w:pStyle w:val="Heading1"/>
      </w:pPr>
      <w:r>
        <w:t>3</w:t>
      </w:r>
      <w:r>
        <w:tab/>
        <w:t>Conclusions</w:t>
      </w:r>
    </w:p>
    <w:p w14:paraId="7727D1BC" w14:textId="77777777" w:rsidR="00D6331C" w:rsidRPr="004B4F36" w:rsidRDefault="00D6331C" w:rsidP="00D6331C">
      <w:pPr>
        <w:rPr>
          <w:b/>
          <w:bCs/>
          <w:lang w:val="en-US"/>
        </w:rPr>
      </w:pPr>
      <w:r w:rsidRPr="004B4F36">
        <w:rPr>
          <w:b/>
          <w:bCs/>
          <w:lang w:val="en-US"/>
        </w:rPr>
        <w:t>Observation 1: while we acknowledge the scenario and the fact that the cell-A in the scenario described may not be able to identify that both reports are related to the same HO, the network (</w:t>
      </w:r>
      <w:proofErr w:type="gramStart"/>
      <w:r w:rsidRPr="004B4F36">
        <w:rPr>
          <w:b/>
          <w:bCs/>
          <w:lang w:val="en-US"/>
        </w:rPr>
        <w:t>i.e.</w:t>
      </w:r>
      <w:proofErr w:type="gramEnd"/>
      <w:r w:rsidRPr="004B4F36">
        <w:rPr>
          <w:b/>
          <w:bCs/>
          <w:lang w:val="en-US"/>
        </w:rPr>
        <w:t xml:space="preserve"> the cell-B) can easily solve the problem in implementation. </w:t>
      </w:r>
    </w:p>
    <w:p w14:paraId="78C28E85" w14:textId="77777777" w:rsidR="00D6331C" w:rsidRPr="004B4F36" w:rsidRDefault="00D6331C" w:rsidP="00D6331C">
      <w:pPr>
        <w:rPr>
          <w:b/>
          <w:bCs/>
          <w:lang w:val="en-US"/>
        </w:rPr>
      </w:pPr>
      <w:r w:rsidRPr="004B4F36">
        <w:rPr>
          <w:b/>
          <w:bCs/>
          <w:lang w:val="en-US"/>
        </w:rPr>
        <w:t>Observation 2: if the network (</w:t>
      </w:r>
      <w:proofErr w:type="gramStart"/>
      <w:r w:rsidRPr="004B4F36">
        <w:rPr>
          <w:b/>
          <w:bCs/>
          <w:lang w:val="en-US"/>
        </w:rPr>
        <w:t>i.e.</w:t>
      </w:r>
      <w:proofErr w:type="gramEnd"/>
      <w:r w:rsidRPr="004B4F36">
        <w:rPr>
          <w:b/>
          <w:bCs/>
          <w:lang w:val="en-US"/>
        </w:rPr>
        <w:t xml:space="preserve"> the cell-B) delays retrieving the SHR report from a UE and/or delays sending the report to the </w:t>
      </w:r>
      <w:proofErr w:type="spellStart"/>
      <w:r w:rsidRPr="004B4F36">
        <w:rPr>
          <w:b/>
          <w:bCs/>
          <w:lang w:val="en-US"/>
        </w:rPr>
        <w:t>gNB</w:t>
      </w:r>
      <w:proofErr w:type="spellEnd"/>
      <w:r w:rsidRPr="004B4F36">
        <w:rPr>
          <w:b/>
          <w:bCs/>
          <w:lang w:val="en-US"/>
        </w:rPr>
        <w:t xml:space="preserve"> of the cell-A, it has the opportunity to detect a subsequent RLF (if it happens); if the cell-B detects a subsequent RLF, it will know not to forward the SHR to the </w:t>
      </w:r>
      <w:proofErr w:type="spellStart"/>
      <w:r w:rsidRPr="004B4F36">
        <w:rPr>
          <w:b/>
          <w:bCs/>
          <w:lang w:val="en-US"/>
        </w:rPr>
        <w:t>gNB</w:t>
      </w:r>
      <w:proofErr w:type="spellEnd"/>
      <w:r w:rsidRPr="004B4F36">
        <w:rPr>
          <w:b/>
          <w:bCs/>
          <w:lang w:val="en-US"/>
        </w:rPr>
        <w:t xml:space="preserve"> of the cell-A. </w:t>
      </w:r>
    </w:p>
    <w:p w14:paraId="3C9E6FAF" w14:textId="27CED2CB" w:rsidR="00D6331C" w:rsidRDefault="00D6331C" w:rsidP="00D6331C">
      <w:pPr>
        <w:rPr>
          <w:b/>
          <w:bCs/>
          <w:lang w:val="en-US"/>
        </w:rPr>
      </w:pPr>
      <w:r w:rsidRPr="004B4F36">
        <w:rPr>
          <w:b/>
          <w:bCs/>
          <w:lang w:val="en-US"/>
        </w:rPr>
        <w:t>Proposal 1: since there is an easy solution available to a network implementation for the scenario of SHR and RLF-Report being generated for same HO, we propose not to standardize additional solutions.</w:t>
      </w:r>
    </w:p>
    <w:p w14:paraId="01F453CE" w14:textId="1E2A2440" w:rsidR="00D6331C" w:rsidRDefault="00D6331C" w:rsidP="00D6331C">
      <w:pPr>
        <w:rPr>
          <w:b/>
          <w:bCs/>
          <w:lang w:val="en-US"/>
        </w:rPr>
      </w:pPr>
      <w:r w:rsidRPr="00534A81">
        <w:rPr>
          <w:b/>
          <w:bCs/>
          <w:lang w:val="en-US"/>
        </w:rPr>
        <w:t xml:space="preserve">Proposal 2: </w:t>
      </w:r>
      <w:r w:rsidRPr="00E1167F">
        <w:rPr>
          <w:b/>
          <w:bCs/>
          <w:lang w:val="en-IL"/>
        </w:rPr>
        <w:t>The SHR shall be generated only if the T312 associated to the measurement identity associated to the target cell is running</w:t>
      </w:r>
      <w:r w:rsidRPr="00534A81">
        <w:rPr>
          <w:b/>
          <w:bCs/>
          <w:lang w:val="en-US"/>
        </w:rPr>
        <w:t>.</w:t>
      </w:r>
    </w:p>
    <w:p w14:paraId="2E1B29A6" w14:textId="5BFB9053" w:rsidR="007C584C" w:rsidRPr="00D6331C" w:rsidRDefault="00D6331C" w:rsidP="00D6331C">
      <w:pPr>
        <w:rPr>
          <w:b/>
          <w:bCs/>
          <w:lang w:val="en-US"/>
        </w:rPr>
      </w:pPr>
      <w:r w:rsidRPr="00534A81">
        <w:rPr>
          <w:b/>
          <w:bCs/>
          <w:lang w:val="en-US"/>
        </w:rPr>
        <w:lastRenderedPageBreak/>
        <w:t xml:space="preserve">Proposal 3: to configure the </w:t>
      </w:r>
      <w:r w:rsidRPr="00534A81">
        <w:rPr>
          <w:b/>
          <w:bCs/>
          <w:lang w:val="en-IL"/>
        </w:rPr>
        <w:t>T312 threshold for the SHR generation</w:t>
      </w:r>
      <w:r w:rsidRPr="00534A81">
        <w:rPr>
          <w:b/>
          <w:bCs/>
          <w:lang w:val="en-US"/>
        </w:rPr>
        <w:t xml:space="preserve"> </w:t>
      </w:r>
      <w:r w:rsidRPr="00534A81">
        <w:rPr>
          <w:b/>
          <w:bCs/>
          <w:lang w:val="en-IL"/>
        </w:rPr>
        <w:t>common for all measurement identities configured to the UE</w:t>
      </w:r>
      <w:r w:rsidRPr="00534A81">
        <w:rPr>
          <w:b/>
          <w:bCs/>
          <w:lang w:val="en-US"/>
        </w:rPr>
        <w:t>.</w:t>
      </w:r>
    </w:p>
    <w:bookmarkEnd w:id="0"/>
    <w:p w14:paraId="404B682A" w14:textId="7359145D" w:rsidR="003E31FD" w:rsidRDefault="003E31FD" w:rsidP="003E31FD">
      <w:pPr>
        <w:pStyle w:val="Heading1"/>
      </w:pPr>
      <w:r>
        <w:t>4</w:t>
      </w:r>
      <w:r>
        <w:tab/>
        <w:t>References</w:t>
      </w:r>
    </w:p>
    <w:p w14:paraId="3B6F28F9" w14:textId="7BEC18CF" w:rsidR="00452F63" w:rsidRDefault="00452F63" w:rsidP="00452F63">
      <w:r>
        <w:t xml:space="preserve">[1] </w:t>
      </w:r>
      <w:r w:rsidR="000060A4" w:rsidRPr="000060A4">
        <w:t>R2-2200005</w:t>
      </w:r>
      <w:r w:rsidR="000060A4">
        <w:t xml:space="preserve">, </w:t>
      </w:r>
      <w:r w:rsidR="000060A4" w:rsidRPr="000060A4">
        <w:t>Report of [Post116-</w:t>
      </w:r>
      <w:proofErr w:type="gramStart"/>
      <w:r w:rsidR="000060A4" w:rsidRPr="000060A4">
        <w:t>e][</w:t>
      </w:r>
      <w:proofErr w:type="gramEnd"/>
      <w:r w:rsidR="000060A4" w:rsidRPr="000060A4">
        <w:t>887.5][SONMDT] Leftover issues on SON (Ericsson)</w:t>
      </w:r>
    </w:p>
    <w:p w14:paraId="2B80B982" w14:textId="1B836D4A" w:rsidR="008F5733" w:rsidRPr="00452F63" w:rsidRDefault="008F5733" w:rsidP="00452F63">
      <w:r>
        <w:t xml:space="preserve">[2] </w:t>
      </w:r>
      <w:r w:rsidRPr="008F5733">
        <w:t>R2-2201991</w:t>
      </w:r>
      <w:r>
        <w:t xml:space="preserve">, </w:t>
      </w:r>
      <w:r w:rsidRPr="008F5733">
        <w:t>SON related open issue list (Ericsson)</w:t>
      </w:r>
    </w:p>
    <w:sectPr w:rsidR="008F5733" w:rsidRPr="00452F6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06E15" w14:textId="77777777" w:rsidR="005B2BD2" w:rsidRDefault="005B2BD2">
      <w:r>
        <w:separator/>
      </w:r>
    </w:p>
  </w:endnote>
  <w:endnote w:type="continuationSeparator" w:id="0">
    <w:p w14:paraId="2AF2BBA5" w14:textId="77777777" w:rsidR="005B2BD2" w:rsidRDefault="005B2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917F8" w14:textId="77777777" w:rsidR="005B2BD2" w:rsidRDefault="005B2BD2">
      <w:r>
        <w:separator/>
      </w:r>
    </w:p>
  </w:footnote>
  <w:footnote w:type="continuationSeparator" w:id="0">
    <w:p w14:paraId="07028726" w14:textId="77777777" w:rsidR="005B2BD2" w:rsidRDefault="005B2B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6"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6"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9"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3"/>
  </w:num>
  <w:num w:numId="5">
    <w:abstractNumId w:val="2"/>
  </w:num>
  <w:num w:numId="6">
    <w:abstractNumId w:val="2"/>
  </w:num>
  <w:num w:numId="7">
    <w:abstractNumId w:val="14"/>
  </w:num>
  <w:num w:numId="8">
    <w:abstractNumId w:val="3"/>
  </w:num>
  <w:num w:numId="9">
    <w:abstractNumId w:val="2"/>
  </w:num>
  <w:num w:numId="10">
    <w:abstractNumId w:val="20"/>
  </w:num>
  <w:num w:numId="11">
    <w:abstractNumId w:val="37"/>
  </w:num>
  <w:num w:numId="12">
    <w:abstractNumId w:val="38"/>
  </w:num>
  <w:num w:numId="13">
    <w:abstractNumId w:val="26"/>
  </w:num>
  <w:num w:numId="14">
    <w:abstractNumId w:val="41"/>
  </w:num>
  <w:num w:numId="15">
    <w:abstractNumId w:val="17"/>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8"/>
  </w:num>
  <w:num w:numId="19">
    <w:abstractNumId w:val="36"/>
  </w:num>
  <w:num w:numId="20">
    <w:abstractNumId w:val="16"/>
  </w:num>
  <w:num w:numId="21">
    <w:abstractNumId w:val="30"/>
  </w:num>
  <w:num w:numId="22">
    <w:abstractNumId w:val="29"/>
  </w:num>
  <w:num w:numId="23">
    <w:abstractNumId w:val="27"/>
  </w:num>
  <w:num w:numId="24">
    <w:abstractNumId w:val="22"/>
  </w:num>
  <w:num w:numId="25">
    <w:abstractNumId w:val="40"/>
  </w:num>
  <w:num w:numId="26">
    <w:abstractNumId w:val="10"/>
  </w:num>
  <w:num w:numId="27">
    <w:abstractNumId w:val="32"/>
  </w:num>
  <w:num w:numId="28">
    <w:abstractNumId w:val="18"/>
  </w:num>
  <w:num w:numId="29">
    <w:abstractNumId w:val="15"/>
  </w:num>
  <w:num w:numId="30">
    <w:abstractNumId w:val="34"/>
  </w:num>
  <w:num w:numId="31">
    <w:abstractNumId w:val="31"/>
  </w:num>
  <w:num w:numId="32">
    <w:abstractNumId w:val="4"/>
  </w:num>
  <w:num w:numId="33">
    <w:abstractNumId w:val="11"/>
  </w:num>
  <w:num w:numId="34">
    <w:abstractNumId w:val="35"/>
  </w:num>
  <w:num w:numId="35">
    <w:abstractNumId w:val="13"/>
  </w:num>
  <w:num w:numId="36">
    <w:abstractNumId w:val="25"/>
  </w:num>
  <w:num w:numId="37">
    <w:abstractNumId w:val="39"/>
  </w:num>
  <w:num w:numId="38">
    <w:abstractNumId w:val="7"/>
  </w:num>
  <w:num w:numId="39">
    <w:abstractNumId w:val="6"/>
  </w:num>
  <w:num w:numId="40">
    <w:abstractNumId w:val="19"/>
  </w:num>
  <w:num w:numId="41">
    <w:abstractNumId w:val="8"/>
  </w:num>
  <w:num w:numId="42">
    <w:abstractNumId w:val="9"/>
  </w:num>
  <w:num w:numId="43">
    <w:abstractNumId w:val="5"/>
  </w:num>
  <w:num w:numId="44">
    <w:abstractNumId w:val="12"/>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42CF8"/>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6F8A"/>
    <w:rsid w:val="0026501B"/>
    <w:rsid w:val="002675F0"/>
    <w:rsid w:val="00276EE4"/>
    <w:rsid w:val="002772D3"/>
    <w:rsid w:val="00277FB3"/>
    <w:rsid w:val="0028623A"/>
    <w:rsid w:val="00290222"/>
    <w:rsid w:val="00294314"/>
    <w:rsid w:val="00295C21"/>
    <w:rsid w:val="002A1440"/>
    <w:rsid w:val="002B6339"/>
    <w:rsid w:val="002C196A"/>
    <w:rsid w:val="002C7271"/>
    <w:rsid w:val="002D2104"/>
    <w:rsid w:val="002D3214"/>
    <w:rsid w:val="002D6B85"/>
    <w:rsid w:val="002E00EE"/>
    <w:rsid w:val="002F3DB6"/>
    <w:rsid w:val="002F41D1"/>
    <w:rsid w:val="00313F1B"/>
    <w:rsid w:val="003172DC"/>
    <w:rsid w:val="00331E92"/>
    <w:rsid w:val="003370CD"/>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ACA"/>
    <w:rsid w:val="003B0015"/>
    <w:rsid w:val="003B5DF7"/>
    <w:rsid w:val="003B6758"/>
    <w:rsid w:val="003B6D40"/>
    <w:rsid w:val="003C3971"/>
    <w:rsid w:val="003C564B"/>
    <w:rsid w:val="003C6949"/>
    <w:rsid w:val="003D1FE2"/>
    <w:rsid w:val="003D7776"/>
    <w:rsid w:val="003D7AA8"/>
    <w:rsid w:val="003E31FD"/>
    <w:rsid w:val="003E43E3"/>
    <w:rsid w:val="003E4DE1"/>
    <w:rsid w:val="003E5346"/>
    <w:rsid w:val="003E7753"/>
    <w:rsid w:val="003F3AD6"/>
    <w:rsid w:val="003F3C0E"/>
    <w:rsid w:val="003F65AF"/>
    <w:rsid w:val="00407B61"/>
    <w:rsid w:val="00410618"/>
    <w:rsid w:val="00422A19"/>
    <w:rsid w:val="00423334"/>
    <w:rsid w:val="004304E7"/>
    <w:rsid w:val="004345EC"/>
    <w:rsid w:val="00445F9D"/>
    <w:rsid w:val="00447117"/>
    <w:rsid w:val="00452F63"/>
    <w:rsid w:val="00455227"/>
    <w:rsid w:val="00460CF7"/>
    <w:rsid w:val="00462D23"/>
    <w:rsid w:val="00471E5F"/>
    <w:rsid w:val="0047379C"/>
    <w:rsid w:val="00476CE3"/>
    <w:rsid w:val="004826A9"/>
    <w:rsid w:val="0048579F"/>
    <w:rsid w:val="0048614B"/>
    <w:rsid w:val="00487685"/>
    <w:rsid w:val="00493055"/>
    <w:rsid w:val="004A0FC8"/>
    <w:rsid w:val="004A138D"/>
    <w:rsid w:val="004B18E2"/>
    <w:rsid w:val="004B4F36"/>
    <w:rsid w:val="004B5EC9"/>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6CE"/>
    <w:rsid w:val="004F552B"/>
    <w:rsid w:val="00502E07"/>
    <w:rsid w:val="00503ED8"/>
    <w:rsid w:val="005043AA"/>
    <w:rsid w:val="005214DC"/>
    <w:rsid w:val="0053388B"/>
    <w:rsid w:val="00534A81"/>
    <w:rsid w:val="00535773"/>
    <w:rsid w:val="00543E6C"/>
    <w:rsid w:val="005510CB"/>
    <w:rsid w:val="00560C1A"/>
    <w:rsid w:val="00562B5D"/>
    <w:rsid w:val="00565087"/>
    <w:rsid w:val="005724C2"/>
    <w:rsid w:val="00572E14"/>
    <w:rsid w:val="00575751"/>
    <w:rsid w:val="00583ADE"/>
    <w:rsid w:val="00584261"/>
    <w:rsid w:val="00584A7F"/>
    <w:rsid w:val="005876C4"/>
    <w:rsid w:val="005973BE"/>
    <w:rsid w:val="005A0AB6"/>
    <w:rsid w:val="005A5986"/>
    <w:rsid w:val="005B0515"/>
    <w:rsid w:val="005B2BD2"/>
    <w:rsid w:val="005D2E01"/>
    <w:rsid w:val="005D315E"/>
    <w:rsid w:val="005D6A1F"/>
    <w:rsid w:val="005D7526"/>
    <w:rsid w:val="005E2040"/>
    <w:rsid w:val="005E352F"/>
    <w:rsid w:val="005E5287"/>
    <w:rsid w:val="005E69AE"/>
    <w:rsid w:val="005E78E4"/>
    <w:rsid w:val="005F2C8C"/>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7114"/>
    <w:rsid w:val="00654E0E"/>
    <w:rsid w:val="00666C51"/>
    <w:rsid w:val="0067359C"/>
    <w:rsid w:val="00676E3E"/>
    <w:rsid w:val="006774C8"/>
    <w:rsid w:val="00692656"/>
    <w:rsid w:val="006A2A85"/>
    <w:rsid w:val="006A323F"/>
    <w:rsid w:val="006A763F"/>
    <w:rsid w:val="006B0443"/>
    <w:rsid w:val="006B1095"/>
    <w:rsid w:val="006B2D70"/>
    <w:rsid w:val="006B30D0"/>
    <w:rsid w:val="006B740C"/>
    <w:rsid w:val="006C084E"/>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E31"/>
    <w:rsid w:val="00830747"/>
    <w:rsid w:val="00835F9B"/>
    <w:rsid w:val="00846F18"/>
    <w:rsid w:val="00857745"/>
    <w:rsid w:val="00866EDF"/>
    <w:rsid w:val="00871376"/>
    <w:rsid w:val="008730C8"/>
    <w:rsid w:val="008768CA"/>
    <w:rsid w:val="00882458"/>
    <w:rsid w:val="00885E96"/>
    <w:rsid w:val="0088743A"/>
    <w:rsid w:val="00895C3A"/>
    <w:rsid w:val="008A7428"/>
    <w:rsid w:val="008A7581"/>
    <w:rsid w:val="008C384C"/>
    <w:rsid w:val="008C3D3E"/>
    <w:rsid w:val="008C499C"/>
    <w:rsid w:val="008D0A9B"/>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32699"/>
    <w:rsid w:val="009332B0"/>
    <w:rsid w:val="00942EC2"/>
    <w:rsid w:val="00955506"/>
    <w:rsid w:val="009575A3"/>
    <w:rsid w:val="00960814"/>
    <w:rsid w:val="00961ADE"/>
    <w:rsid w:val="0096691B"/>
    <w:rsid w:val="00977E47"/>
    <w:rsid w:val="00987515"/>
    <w:rsid w:val="00993D7F"/>
    <w:rsid w:val="00997281"/>
    <w:rsid w:val="0099773F"/>
    <w:rsid w:val="00997C9A"/>
    <w:rsid w:val="009A3FCF"/>
    <w:rsid w:val="009B2577"/>
    <w:rsid w:val="009B53A1"/>
    <w:rsid w:val="009C5BDC"/>
    <w:rsid w:val="009C72E6"/>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3B5E"/>
    <w:rsid w:val="00B102B6"/>
    <w:rsid w:val="00B15449"/>
    <w:rsid w:val="00B23DD2"/>
    <w:rsid w:val="00B27A39"/>
    <w:rsid w:val="00B3207E"/>
    <w:rsid w:val="00B35B32"/>
    <w:rsid w:val="00B35DBA"/>
    <w:rsid w:val="00B35F32"/>
    <w:rsid w:val="00B4192D"/>
    <w:rsid w:val="00B64F8E"/>
    <w:rsid w:val="00B80010"/>
    <w:rsid w:val="00B80F14"/>
    <w:rsid w:val="00B83B8A"/>
    <w:rsid w:val="00B87183"/>
    <w:rsid w:val="00B93086"/>
    <w:rsid w:val="00B93BE6"/>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E3255"/>
    <w:rsid w:val="00BF128E"/>
    <w:rsid w:val="00BF4580"/>
    <w:rsid w:val="00C060EE"/>
    <w:rsid w:val="00C120EB"/>
    <w:rsid w:val="00C1496A"/>
    <w:rsid w:val="00C15754"/>
    <w:rsid w:val="00C20C9A"/>
    <w:rsid w:val="00C21E56"/>
    <w:rsid w:val="00C32093"/>
    <w:rsid w:val="00C33079"/>
    <w:rsid w:val="00C35A42"/>
    <w:rsid w:val="00C45231"/>
    <w:rsid w:val="00C600DD"/>
    <w:rsid w:val="00C61CAA"/>
    <w:rsid w:val="00C645F2"/>
    <w:rsid w:val="00C72833"/>
    <w:rsid w:val="00C7752D"/>
    <w:rsid w:val="00C77BE7"/>
    <w:rsid w:val="00C80F1D"/>
    <w:rsid w:val="00C812DD"/>
    <w:rsid w:val="00C832B0"/>
    <w:rsid w:val="00C93F40"/>
    <w:rsid w:val="00C952CA"/>
    <w:rsid w:val="00CA2F63"/>
    <w:rsid w:val="00CA3D0C"/>
    <w:rsid w:val="00CD20BD"/>
    <w:rsid w:val="00CD347F"/>
    <w:rsid w:val="00CD417D"/>
    <w:rsid w:val="00CF20E3"/>
    <w:rsid w:val="00CF3390"/>
    <w:rsid w:val="00CF3C5A"/>
    <w:rsid w:val="00CF53C3"/>
    <w:rsid w:val="00D0150F"/>
    <w:rsid w:val="00D02105"/>
    <w:rsid w:val="00D07EE8"/>
    <w:rsid w:val="00D212FB"/>
    <w:rsid w:val="00D22AFA"/>
    <w:rsid w:val="00D26579"/>
    <w:rsid w:val="00D27771"/>
    <w:rsid w:val="00D309CC"/>
    <w:rsid w:val="00D4461B"/>
    <w:rsid w:val="00D46431"/>
    <w:rsid w:val="00D46ACE"/>
    <w:rsid w:val="00D53175"/>
    <w:rsid w:val="00D56A52"/>
    <w:rsid w:val="00D57972"/>
    <w:rsid w:val="00D616F7"/>
    <w:rsid w:val="00D62126"/>
    <w:rsid w:val="00D62760"/>
    <w:rsid w:val="00D6331C"/>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167F"/>
    <w:rsid w:val="00E14F1D"/>
    <w:rsid w:val="00E16509"/>
    <w:rsid w:val="00E20951"/>
    <w:rsid w:val="00E214B7"/>
    <w:rsid w:val="00E30929"/>
    <w:rsid w:val="00E344B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B240F"/>
    <w:rsid w:val="00FB4F95"/>
    <w:rsid w:val="00FC1192"/>
    <w:rsid w:val="00FC79E6"/>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46106237">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TotalTime>
  <Pages>3</Pages>
  <Words>1056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2</cp:lastModifiedBy>
  <cp:revision>15</cp:revision>
  <cp:lastPrinted>2019-02-25T14:05:00Z</cp:lastPrinted>
  <dcterms:created xsi:type="dcterms:W3CDTF">2022-02-08T06:45:00Z</dcterms:created>
  <dcterms:modified xsi:type="dcterms:W3CDTF">2022-02-12T13:28:00Z</dcterms:modified>
  <cp:category/>
</cp:coreProperties>
</file>