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10B" w14:textId="77777777" w:rsidR="0043389E" w:rsidRPr="0043389E" w:rsidRDefault="0043389E" w:rsidP="0043389E">
      <w:pPr>
        <w:pStyle w:val="Header"/>
        <w:tabs>
          <w:tab w:val="right" w:pos="7088"/>
          <w:tab w:val="right" w:pos="9781"/>
        </w:tabs>
        <w:rPr>
          <w:rFonts w:ascii="Arial" w:eastAsia="MS Mincho" w:hAnsi="Arial"/>
          <w:b/>
          <w:noProof/>
          <w:sz w:val="24"/>
          <w:szCs w:val="24"/>
        </w:rPr>
      </w:pPr>
      <w:r w:rsidRPr="0043389E">
        <w:rPr>
          <w:rFonts w:ascii="Arial" w:eastAsia="MS Mincho" w:hAnsi="Arial"/>
          <w:b/>
          <w:noProof/>
          <w:sz w:val="24"/>
          <w:szCs w:val="24"/>
        </w:rPr>
        <w:t>3GPP TSG RAN WG2 Meeting #117-e                                           R2-220xxxx</w:t>
      </w:r>
    </w:p>
    <w:p w14:paraId="622BCAA7" w14:textId="639EB13C" w:rsidR="00C37CB4" w:rsidRDefault="0043389E" w:rsidP="0043389E">
      <w:pPr>
        <w:pStyle w:val="Header"/>
        <w:tabs>
          <w:tab w:val="clear" w:pos="8306"/>
          <w:tab w:val="right" w:pos="7088"/>
          <w:tab w:val="right" w:pos="9781"/>
        </w:tabs>
        <w:rPr>
          <w:rFonts w:ascii="Arial" w:eastAsia="MS Mincho" w:hAnsi="Arial"/>
          <w:b/>
          <w:noProof/>
          <w:sz w:val="24"/>
          <w:szCs w:val="24"/>
        </w:rPr>
      </w:pPr>
      <w:r w:rsidRPr="0043389E">
        <w:rPr>
          <w:rFonts w:ascii="Arial" w:eastAsia="MS Mincho" w:hAnsi="Arial"/>
          <w:b/>
          <w:noProof/>
          <w:sz w:val="24"/>
          <w:szCs w:val="24"/>
        </w:rPr>
        <w:t>Electronic meeting, 21 Feb- 3 March, 2022</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186E14D7"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4C53DD" w:rsidRPr="004C53DD">
        <w:rPr>
          <w:rFonts w:ascii="Arial" w:eastAsia="MS Mincho" w:hAnsi="Arial" w:cs="Arial"/>
          <w:bCs/>
          <w:lang w:eastAsia="ja-JP"/>
        </w:rPr>
        <w:t xml:space="preserve">Draft LS on </w:t>
      </w:r>
      <w:r w:rsidR="0043389E" w:rsidRPr="0043389E">
        <w:rPr>
          <w:rFonts w:ascii="Arial" w:eastAsia="MS Mincho" w:hAnsi="Arial" w:cs="Arial"/>
          <w:bCs/>
          <w:lang w:eastAsia="ja-JP"/>
        </w:rPr>
        <w:t>issues requiring RAN1 input</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3560E69E"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43389E">
        <w:rPr>
          <w:rFonts w:ascii="Arial" w:eastAsia="MS Mincho" w:hAnsi="Arial" w:cs="Arial"/>
          <w:bCs/>
          <w:lang w:eastAsia="ja-JP"/>
        </w:rPr>
        <w:t>7</w:t>
      </w:r>
    </w:p>
    <w:p w14:paraId="0DB3F630" w14:textId="060838C1"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proofErr w:type="spellStart"/>
      <w:r w:rsidR="0043389E" w:rsidRPr="0043389E">
        <w:rPr>
          <w:rFonts w:ascii="Arial" w:hAnsi="Arial" w:cs="Arial"/>
          <w:bCs/>
        </w:rPr>
        <w:t>NR_pos_enh</w:t>
      </w:r>
      <w:proofErr w:type="spellEnd"/>
      <w:r w:rsidR="0043389E" w:rsidRPr="0043389E">
        <w:rPr>
          <w:rFonts w:ascii="Arial" w:hAnsi="Arial" w:cs="Arial"/>
          <w:bCs/>
        </w:rPr>
        <w:t>-Core</w:t>
      </w:r>
    </w:p>
    <w:p w14:paraId="4BF857BE" w14:textId="77777777" w:rsidR="005A6C01" w:rsidRPr="004E40E6" w:rsidRDefault="005A6C01">
      <w:pPr>
        <w:spacing w:after="60"/>
        <w:ind w:left="1985" w:hanging="1985"/>
        <w:rPr>
          <w:rFonts w:ascii="Arial" w:hAnsi="Arial" w:cs="Arial"/>
          <w:b/>
        </w:rPr>
      </w:pPr>
    </w:p>
    <w:p w14:paraId="114AF8BB" w14:textId="3F079E8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 WG</w:t>
      </w:r>
      <w:r w:rsidR="004C53DD">
        <w:rPr>
          <w:rFonts w:ascii="Arial" w:eastAsia="MS Mincho" w:hAnsi="Arial" w:cs="Arial"/>
          <w:bCs/>
          <w:lang w:eastAsia="ja-JP"/>
        </w:rPr>
        <w:t>2)</w:t>
      </w:r>
    </w:p>
    <w:p w14:paraId="0434D635" w14:textId="3B296024"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4C53DD">
        <w:rPr>
          <w:rFonts w:ascii="Arial" w:eastAsia="MS Mincho" w:hAnsi="Arial" w:cs="Arial"/>
          <w:bCs/>
          <w:lang w:eastAsia="ja-JP"/>
        </w:rPr>
        <w:t>1</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A92FE03" w14:textId="0BC9AE3C"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34AB8F9A" w14:textId="47E17555" w:rsidR="004C53DD" w:rsidRDefault="004C53DD" w:rsidP="004C53DD">
      <w:pPr>
        <w:spacing w:after="60"/>
        <w:rPr>
          <w:rFonts w:ascii="Arial" w:hAnsi="Arial" w:cs="Arial"/>
          <w:bCs/>
        </w:rPr>
      </w:pPr>
      <w:r>
        <w:rPr>
          <w:rFonts w:ascii="Arial" w:hAnsi="Arial" w:cs="Arial"/>
          <w:bCs/>
        </w:rPr>
        <w:t>RAN2</w:t>
      </w:r>
      <w:r w:rsidR="0043389E">
        <w:rPr>
          <w:rFonts w:ascii="Arial" w:hAnsi="Arial" w:cs="Arial"/>
          <w:bCs/>
        </w:rPr>
        <w:t xml:space="preserve"> discussed the open issues for Rel-17 </w:t>
      </w:r>
      <w:r w:rsidR="0043389E" w:rsidRPr="0043389E">
        <w:rPr>
          <w:rFonts w:ascii="Arial" w:hAnsi="Arial" w:cs="Arial"/>
          <w:bCs/>
        </w:rPr>
        <w:t>NR positioning enhancements</w:t>
      </w:r>
      <w:r w:rsidR="0043389E">
        <w:rPr>
          <w:rFonts w:ascii="Arial" w:hAnsi="Arial" w:cs="Arial"/>
          <w:bCs/>
        </w:rPr>
        <w:t xml:space="preserve"> WI (</w:t>
      </w:r>
      <w:r w:rsidR="0043389E" w:rsidRPr="0043389E">
        <w:rPr>
          <w:rFonts w:ascii="Arial" w:hAnsi="Arial" w:cs="Arial"/>
          <w:bCs/>
        </w:rPr>
        <w:t>open issue</w:t>
      </w:r>
      <w:r w:rsidR="0043389E">
        <w:rPr>
          <w:rFonts w:ascii="Arial" w:hAnsi="Arial" w:cs="Arial"/>
          <w:bCs/>
        </w:rPr>
        <w:t>s</w:t>
      </w:r>
      <w:r w:rsidR="0043389E" w:rsidRPr="0043389E">
        <w:rPr>
          <w:rFonts w:ascii="Arial" w:hAnsi="Arial" w:cs="Arial"/>
          <w:bCs/>
        </w:rPr>
        <w:t xml:space="preserve"> list </w:t>
      </w:r>
      <w:r w:rsidR="0043389E">
        <w:rPr>
          <w:rFonts w:ascii="Arial" w:hAnsi="Arial" w:cs="Arial"/>
          <w:bCs/>
        </w:rPr>
        <w:t>can be found in</w:t>
      </w:r>
      <w:r w:rsidR="0043389E" w:rsidRPr="0043389E">
        <w:rPr>
          <w:rFonts w:ascii="Arial" w:hAnsi="Arial" w:cs="Arial"/>
          <w:bCs/>
        </w:rPr>
        <w:t xml:space="preserve"> R2-2202005 and R2-2201722</w:t>
      </w:r>
      <w:r w:rsidR="0043389E">
        <w:rPr>
          <w:rFonts w:ascii="Arial" w:hAnsi="Arial" w:cs="Arial"/>
          <w:bCs/>
        </w:rPr>
        <w:t>), following issues are identified as issues requiring RAN1 input:</w:t>
      </w:r>
    </w:p>
    <w:p w14:paraId="21846D28" w14:textId="68158223" w:rsidR="0043389E" w:rsidRDefault="0043389E" w:rsidP="004C53DD">
      <w:pPr>
        <w:spacing w:after="60"/>
        <w:rPr>
          <w:rFonts w:ascii="Arial" w:hAnsi="Arial" w:cs="Arial"/>
          <w:bCs/>
        </w:rPr>
      </w:pPr>
    </w:p>
    <w:p w14:paraId="7B5377F0" w14:textId="77777777" w:rsidR="001227CA" w:rsidRDefault="001227CA" w:rsidP="001227CA">
      <w:pPr>
        <w:jc w:val="center"/>
        <w:rPr>
          <w:b/>
          <w:bCs/>
          <w:u w:val="single"/>
        </w:rPr>
      </w:pPr>
      <w:r>
        <w:rPr>
          <w:b/>
          <w:bCs/>
          <w:u w:val="single"/>
        </w:rPr>
        <w:t>Table: Issues requiring RAN1 inputs (FFS in RAN1 parameter list and UE feature list are not listed in the table)</w:t>
      </w:r>
    </w:p>
    <w:tbl>
      <w:tblPr>
        <w:tblStyle w:val="TableGrid"/>
        <w:tblW w:w="0" w:type="auto"/>
        <w:tblLook w:val="04A0" w:firstRow="1" w:lastRow="0" w:firstColumn="1" w:lastColumn="0" w:noHBand="0" w:noVBand="1"/>
      </w:tblPr>
      <w:tblGrid>
        <w:gridCol w:w="1945"/>
        <w:gridCol w:w="5508"/>
        <w:gridCol w:w="2628"/>
      </w:tblGrid>
      <w:tr w:rsidR="001227CA" w14:paraId="679A03D7"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4C2D2773" w14:textId="77777777" w:rsidR="001227CA" w:rsidRDefault="001227CA">
            <w:pPr>
              <w:jc w:val="both"/>
              <w:rPr>
                <w:b/>
                <w:bCs/>
                <w:u w:val="single"/>
              </w:rPr>
            </w:pPr>
            <w:r>
              <w:rPr>
                <w:b/>
                <w:bCs/>
                <w:u w:val="single"/>
              </w:rPr>
              <w:t>Topic</w:t>
            </w:r>
          </w:p>
        </w:tc>
        <w:tc>
          <w:tcPr>
            <w:tcW w:w="6714" w:type="dxa"/>
            <w:tcBorders>
              <w:top w:val="single" w:sz="4" w:space="0" w:color="auto"/>
              <w:left w:val="single" w:sz="4" w:space="0" w:color="auto"/>
              <w:bottom w:val="single" w:sz="4" w:space="0" w:color="auto"/>
              <w:right w:val="single" w:sz="4" w:space="0" w:color="auto"/>
            </w:tcBorders>
            <w:hideMark/>
          </w:tcPr>
          <w:p w14:paraId="7B4F4AF4" w14:textId="77777777" w:rsidR="001227CA" w:rsidRDefault="001227CA">
            <w:pPr>
              <w:jc w:val="both"/>
              <w:rPr>
                <w:b/>
                <w:bCs/>
                <w:u w:val="single"/>
              </w:rPr>
            </w:pPr>
            <w:r>
              <w:rPr>
                <w:b/>
                <w:bCs/>
                <w:u w:val="single"/>
              </w:rPr>
              <w:t>Issue</w:t>
            </w:r>
          </w:p>
        </w:tc>
        <w:tc>
          <w:tcPr>
            <w:tcW w:w="3780" w:type="dxa"/>
            <w:tcBorders>
              <w:top w:val="single" w:sz="4" w:space="0" w:color="auto"/>
              <w:left w:val="single" w:sz="4" w:space="0" w:color="auto"/>
              <w:bottom w:val="single" w:sz="4" w:space="0" w:color="auto"/>
              <w:right w:val="single" w:sz="4" w:space="0" w:color="auto"/>
            </w:tcBorders>
            <w:hideMark/>
          </w:tcPr>
          <w:p w14:paraId="2BFB6D3A" w14:textId="77777777" w:rsidR="001227CA" w:rsidRDefault="001227CA">
            <w:pPr>
              <w:jc w:val="both"/>
              <w:rPr>
                <w:b/>
                <w:bCs/>
                <w:u w:val="single"/>
              </w:rPr>
            </w:pPr>
            <w:r>
              <w:rPr>
                <w:b/>
                <w:bCs/>
                <w:u w:val="single"/>
              </w:rPr>
              <w:t>Required RAN1 work</w:t>
            </w:r>
          </w:p>
        </w:tc>
      </w:tr>
      <w:tr w:rsidR="001227CA" w14:paraId="7617CFBA" w14:textId="77777777" w:rsidTr="001227CA">
        <w:tc>
          <w:tcPr>
            <w:tcW w:w="2394" w:type="dxa"/>
            <w:vMerge w:val="restart"/>
            <w:tcBorders>
              <w:top w:val="single" w:sz="4" w:space="0" w:color="auto"/>
              <w:left w:val="single" w:sz="4" w:space="0" w:color="auto"/>
              <w:bottom w:val="single" w:sz="4" w:space="0" w:color="auto"/>
              <w:right w:val="single" w:sz="4" w:space="0" w:color="auto"/>
            </w:tcBorders>
            <w:hideMark/>
          </w:tcPr>
          <w:p w14:paraId="1A922AAC" w14:textId="77777777" w:rsidR="001227CA" w:rsidRDefault="001227CA">
            <w:pPr>
              <w:jc w:val="both"/>
              <w:rPr>
                <w:b/>
                <w:bCs/>
                <w:u w:val="single"/>
              </w:rPr>
            </w:pPr>
            <w:r>
              <w:rPr>
                <w:b/>
                <w:bCs/>
                <w:u w:val="single"/>
              </w:rPr>
              <w:t>Mitigation of UE/TRP Rx/Tx timing delays</w:t>
            </w:r>
          </w:p>
        </w:tc>
        <w:tc>
          <w:tcPr>
            <w:tcW w:w="6714" w:type="dxa"/>
            <w:tcBorders>
              <w:top w:val="single" w:sz="4" w:space="0" w:color="auto"/>
              <w:left w:val="single" w:sz="4" w:space="0" w:color="auto"/>
              <w:bottom w:val="single" w:sz="4" w:space="0" w:color="auto"/>
              <w:right w:val="single" w:sz="4" w:space="0" w:color="auto"/>
            </w:tcBorders>
          </w:tcPr>
          <w:p w14:paraId="747BBA9C" w14:textId="77777777" w:rsidR="001227CA" w:rsidRDefault="001227CA">
            <w:pPr>
              <w:jc w:val="both"/>
              <w:rPr>
                <w:b/>
                <w:bCs/>
              </w:rPr>
            </w:pPr>
            <w:r>
              <w:rPr>
                <w:b/>
                <w:bCs/>
              </w:rPr>
              <w:t>The definition of TEG is captured in TS38.305 as</w:t>
            </w:r>
          </w:p>
          <w:p w14:paraId="49B2E05E" w14:textId="77777777" w:rsidR="001227CA" w:rsidRDefault="001227CA">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x-none"/>
              </w:rPr>
              <w:t>is associated with one or more DL timing measurements, which have the Rx timing error difference within a certain margin.</w:t>
            </w:r>
            <w:r>
              <w:rPr>
                <w:i/>
                <w:iCs/>
              </w:rPr>
              <w:t xml:space="preserve"> </w:t>
            </w:r>
          </w:p>
          <w:p w14:paraId="6E564CFD" w14:textId="77777777" w:rsidR="001227CA" w:rsidRDefault="001227CA">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x-none"/>
              </w:rPr>
              <w:t xml:space="preserve">is associated with one or more UE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FD473C0" w14:textId="77777777" w:rsidR="001227CA" w:rsidRDefault="001227CA">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x-none"/>
              </w:rPr>
              <w:t>is associated with the transmissions of one or more UL SRS resources for the positioning purpose, which have the Tx timing error difference within a certain margin</w:t>
            </w:r>
            <w:r>
              <w:rPr>
                <w:i/>
                <w:iCs/>
                <w:lang w:eastAsia="zh-CN"/>
              </w:rPr>
              <w:t>.</w:t>
            </w:r>
          </w:p>
          <w:p w14:paraId="1469980B" w14:textId="77777777" w:rsidR="001227CA" w:rsidRDefault="001227CA">
            <w:pPr>
              <w:rPr>
                <w:i/>
                <w:iCs/>
                <w:lang w:eastAsia="x-none"/>
              </w:rPr>
            </w:pPr>
            <w:r>
              <w:rPr>
                <w:b/>
                <w:bCs/>
                <w:i/>
                <w:iCs/>
                <w:noProof/>
              </w:rPr>
              <w:t xml:space="preserve">TRP </w:t>
            </w:r>
            <w:r>
              <w:rPr>
                <w:b/>
                <w:bCs/>
                <w:i/>
                <w:iCs/>
                <w:noProof/>
                <w:lang w:eastAsia="zh-CN"/>
              </w:rPr>
              <w:t>R</w:t>
            </w:r>
            <w:r>
              <w:rPr>
                <w:b/>
                <w:bCs/>
                <w:i/>
                <w:iCs/>
                <w:noProof/>
              </w:rPr>
              <w:t xml:space="preserve">x Timing </w:t>
            </w:r>
            <w:r>
              <w:rPr>
                <w:b/>
                <w:i/>
                <w:iCs/>
              </w:rPr>
              <w:t>Error</w:t>
            </w:r>
            <w:r>
              <w:rPr>
                <w:b/>
                <w:bCs/>
                <w:i/>
                <w:iCs/>
                <w:noProof/>
              </w:rPr>
              <w:t xml:space="preserve"> Group (TRP </w:t>
            </w:r>
            <w:r>
              <w:rPr>
                <w:b/>
                <w:bCs/>
                <w:i/>
                <w:iCs/>
                <w:noProof/>
                <w:lang w:eastAsia="zh-CN"/>
              </w:rPr>
              <w:t>R</w:t>
            </w:r>
            <w:r>
              <w:rPr>
                <w:b/>
                <w:bCs/>
                <w:i/>
                <w:iCs/>
                <w:noProof/>
              </w:rPr>
              <w:t xml:space="preserve">x TEG): </w:t>
            </w:r>
            <w:r>
              <w:rPr>
                <w:i/>
                <w:iCs/>
                <w:noProof/>
              </w:rPr>
              <w:t xml:space="preserve">A TRP </w:t>
            </w:r>
            <w:r>
              <w:rPr>
                <w:i/>
                <w:iCs/>
                <w:noProof/>
                <w:lang w:eastAsia="zh-CN"/>
              </w:rPr>
              <w:t>R</w:t>
            </w:r>
            <w:r>
              <w:rPr>
                <w:i/>
                <w:iCs/>
                <w:noProof/>
              </w:rPr>
              <w:t xml:space="preserve">x TEG </w:t>
            </w:r>
            <w:r>
              <w:rPr>
                <w:i/>
                <w:iCs/>
                <w:lang w:eastAsia="x-none"/>
              </w:rPr>
              <w:t>is associated with one or more UL timing measurements, which have the Rx timing error difference within a certain margin.</w:t>
            </w:r>
          </w:p>
          <w:p w14:paraId="31FAAB40" w14:textId="77777777" w:rsidR="001227CA" w:rsidRDefault="001227CA">
            <w:pPr>
              <w:rPr>
                <w:i/>
                <w:iCs/>
                <w:lang w:eastAsia="zh-CN"/>
              </w:rPr>
            </w:pPr>
            <w:r>
              <w:rPr>
                <w:b/>
                <w:bCs/>
                <w:i/>
                <w:iCs/>
                <w:noProof/>
              </w:rPr>
              <w:t xml:space="preserve">TRP </w:t>
            </w:r>
            <w:r>
              <w:rPr>
                <w:b/>
                <w:bCs/>
                <w:i/>
                <w:iCs/>
                <w:noProof/>
                <w:lang w:eastAsia="zh-CN"/>
              </w:rPr>
              <w:t>R</w:t>
            </w:r>
            <w:r>
              <w:rPr>
                <w:b/>
                <w:bCs/>
                <w:i/>
                <w:iCs/>
                <w:noProof/>
              </w:rPr>
              <w:t>x</w:t>
            </w:r>
            <w:r>
              <w:rPr>
                <w:b/>
                <w:bCs/>
                <w:i/>
                <w:iCs/>
                <w:noProof/>
                <w:lang w:eastAsia="zh-CN"/>
              </w:rPr>
              <w:t>Tx</w:t>
            </w:r>
            <w:r>
              <w:rPr>
                <w:b/>
                <w:bCs/>
                <w:i/>
                <w:iCs/>
                <w:noProof/>
              </w:rPr>
              <w:t xml:space="preserve"> Timing </w:t>
            </w:r>
            <w:r>
              <w:rPr>
                <w:b/>
                <w:i/>
                <w:iCs/>
              </w:rPr>
              <w:t>Error</w:t>
            </w:r>
            <w:r>
              <w:rPr>
                <w:b/>
                <w:bCs/>
                <w:i/>
                <w:iCs/>
                <w:noProof/>
              </w:rPr>
              <w:t xml:space="preserve"> Group (TRP </w:t>
            </w:r>
            <w:r>
              <w:rPr>
                <w:b/>
                <w:bCs/>
                <w:i/>
                <w:iCs/>
                <w:noProof/>
                <w:lang w:eastAsia="zh-CN"/>
              </w:rPr>
              <w:t>R</w:t>
            </w:r>
            <w:r>
              <w:rPr>
                <w:b/>
                <w:bCs/>
                <w:i/>
                <w:iCs/>
                <w:noProof/>
              </w:rPr>
              <w:t>x</w:t>
            </w:r>
            <w:r>
              <w:rPr>
                <w:b/>
                <w:bCs/>
                <w:i/>
                <w:iCs/>
                <w:noProof/>
                <w:lang w:eastAsia="zh-CN"/>
              </w:rPr>
              <w:t>Tx</w:t>
            </w:r>
            <w:r>
              <w:rPr>
                <w:b/>
                <w:bCs/>
                <w:i/>
                <w:iCs/>
                <w:noProof/>
              </w:rPr>
              <w:t xml:space="preserve"> TEG): </w:t>
            </w:r>
            <w:r>
              <w:rPr>
                <w:i/>
                <w:iCs/>
                <w:noProof/>
              </w:rPr>
              <w:t xml:space="preserve">A TRP </w:t>
            </w:r>
            <w:r>
              <w:rPr>
                <w:i/>
                <w:iCs/>
                <w:noProof/>
                <w:lang w:eastAsia="zh-CN"/>
              </w:rPr>
              <w:t>R</w:t>
            </w:r>
            <w:r>
              <w:rPr>
                <w:i/>
                <w:iCs/>
                <w:noProof/>
              </w:rPr>
              <w:t>x</w:t>
            </w:r>
            <w:r>
              <w:rPr>
                <w:i/>
                <w:iCs/>
                <w:noProof/>
                <w:lang w:eastAsia="zh-CN"/>
              </w:rPr>
              <w:t>Tx</w:t>
            </w:r>
            <w:r>
              <w:rPr>
                <w:i/>
                <w:iCs/>
                <w:noProof/>
              </w:rPr>
              <w:t xml:space="preserve"> TEG</w:t>
            </w:r>
            <w:r>
              <w:rPr>
                <w:i/>
                <w:iCs/>
              </w:rPr>
              <w:t xml:space="preserve"> </w:t>
            </w:r>
            <w:r>
              <w:rPr>
                <w:i/>
                <w:iCs/>
                <w:lang w:eastAsia="x-none"/>
              </w:rPr>
              <w:t xml:space="preserve">is associated with one or more </w:t>
            </w:r>
            <w:proofErr w:type="spellStart"/>
            <w:r>
              <w:rPr>
                <w:i/>
                <w:iCs/>
                <w:lang w:eastAsia="x-none"/>
              </w:rPr>
              <w:t>gNB</w:t>
            </w:r>
            <w:proofErr w:type="spellEnd"/>
            <w:r>
              <w:rPr>
                <w:i/>
                <w:iCs/>
                <w:lang w:eastAsia="x-none"/>
              </w:rPr>
              <w:t xml:space="preserv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8887423" w14:textId="77777777" w:rsidR="001227CA" w:rsidRDefault="001227CA">
            <w:pPr>
              <w:rPr>
                <w:rFonts w:eastAsia="DengXian"/>
                <w:i/>
                <w:iCs/>
                <w:lang w:eastAsia="zh-CN"/>
              </w:rPr>
            </w:pPr>
            <w:r>
              <w:rPr>
                <w:b/>
                <w:bCs/>
                <w:i/>
                <w:iCs/>
                <w:noProof/>
              </w:rPr>
              <w:t xml:space="preserve">TRP Tx Timing </w:t>
            </w:r>
            <w:r>
              <w:rPr>
                <w:b/>
                <w:i/>
                <w:iCs/>
              </w:rPr>
              <w:t>Error</w:t>
            </w:r>
            <w:r>
              <w:rPr>
                <w:b/>
                <w:bCs/>
                <w:i/>
                <w:iCs/>
                <w:noProof/>
              </w:rPr>
              <w:t xml:space="preserve"> Group (TRP Tx TEG): </w:t>
            </w:r>
            <w:r>
              <w:rPr>
                <w:i/>
                <w:iCs/>
                <w:noProof/>
              </w:rPr>
              <w:t xml:space="preserve">A TRP Tx TEG </w:t>
            </w:r>
            <w:r>
              <w:rPr>
                <w:i/>
                <w:iCs/>
                <w:lang w:eastAsia="x-none"/>
              </w:rPr>
              <w:t>is associated with the transmissions of one or more DL PRS resources, which have the Tx timing error difference within a certain margin</w:t>
            </w:r>
            <w:r>
              <w:rPr>
                <w:i/>
                <w:iCs/>
                <w:lang w:eastAsia="zh-CN"/>
              </w:rPr>
              <w:t>.</w:t>
            </w:r>
          </w:p>
          <w:p w14:paraId="25DC6445" w14:textId="77777777" w:rsidR="001227CA" w:rsidRDefault="001227CA">
            <w:pPr>
              <w:jc w:val="both"/>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12FF60CB" w14:textId="77777777" w:rsidR="001227CA" w:rsidRDefault="001227CA">
            <w:pPr>
              <w:jc w:val="both"/>
              <w:rPr>
                <w:b/>
                <w:bCs/>
                <w:u w:val="single"/>
              </w:rPr>
            </w:pPr>
          </w:p>
        </w:tc>
        <w:tc>
          <w:tcPr>
            <w:tcW w:w="3780" w:type="dxa"/>
            <w:tcBorders>
              <w:top w:val="single" w:sz="4" w:space="0" w:color="auto"/>
              <w:left w:val="single" w:sz="4" w:space="0" w:color="auto"/>
              <w:bottom w:val="single" w:sz="4" w:space="0" w:color="auto"/>
              <w:right w:val="single" w:sz="4" w:space="0" w:color="auto"/>
            </w:tcBorders>
            <w:hideMark/>
          </w:tcPr>
          <w:p w14:paraId="6A310849" w14:textId="77777777" w:rsidR="001227CA" w:rsidRDefault="001227CA">
            <w:pPr>
              <w:jc w:val="both"/>
              <w:rPr>
                <w:b/>
                <w:bCs/>
                <w:u w:val="single"/>
              </w:rPr>
            </w:pPr>
            <w:r>
              <w:rPr>
                <w:b/>
                <w:bCs/>
                <w:u w:val="single"/>
              </w:rPr>
              <w:t>RAN1 provides further clarifications and confirmation on the definition;</w:t>
            </w:r>
          </w:p>
        </w:tc>
      </w:tr>
      <w:tr w:rsidR="001227CA" w14:paraId="058D6C61" w14:textId="77777777" w:rsidTr="001227CA">
        <w:tc>
          <w:tcPr>
            <w:tcW w:w="0" w:type="auto"/>
            <w:vMerge/>
            <w:tcBorders>
              <w:top w:val="single" w:sz="4" w:space="0" w:color="auto"/>
              <w:left w:val="single" w:sz="4" w:space="0" w:color="auto"/>
              <w:bottom w:val="single" w:sz="4" w:space="0" w:color="auto"/>
              <w:right w:val="single" w:sz="4" w:space="0" w:color="auto"/>
            </w:tcBorders>
            <w:vAlign w:val="center"/>
            <w:hideMark/>
          </w:tcPr>
          <w:p w14:paraId="0A891267" w14:textId="77777777" w:rsidR="001227CA" w:rsidRDefault="001227CA">
            <w:pPr>
              <w:spacing w:line="276" w:lineRule="auto"/>
              <w:rPr>
                <w:b/>
                <w:bCs/>
                <w:u w:val="single"/>
              </w:rPr>
            </w:pPr>
          </w:p>
        </w:tc>
        <w:tc>
          <w:tcPr>
            <w:tcW w:w="6714" w:type="dxa"/>
            <w:tcBorders>
              <w:top w:val="single" w:sz="4" w:space="0" w:color="auto"/>
              <w:left w:val="single" w:sz="4" w:space="0" w:color="auto"/>
              <w:bottom w:val="single" w:sz="4" w:space="0" w:color="auto"/>
              <w:right w:val="single" w:sz="4" w:space="0" w:color="auto"/>
            </w:tcBorders>
            <w:hideMark/>
          </w:tcPr>
          <w:p w14:paraId="4793A866" w14:textId="77777777" w:rsidR="001227CA" w:rsidRDefault="001227CA">
            <w:pPr>
              <w:rPr>
                <w:b/>
                <w:bCs/>
                <w:sz w:val="22"/>
                <w:szCs w:val="22"/>
                <w:lang w:val="en-US"/>
              </w:rPr>
            </w:pPr>
            <w:r>
              <w:rPr>
                <w:b/>
                <w:bCs/>
                <w:lang w:eastAsia="ja-JP"/>
              </w:rPr>
              <w:t>Periodic Tx TEG reporting/TEG change procedure</w:t>
            </w:r>
          </w:p>
          <w:p w14:paraId="06B026A0" w14:textId="77777777" w:rsidR="001227CA" w:rsidRDefault="001227CA">
            <w:pPr>
              <w:rPr>
                <w:lang w:eastAsia="ja-JP"/>
              </w:rPr>
            </w:pPr>
            <w:r>
              <w:rPr>
                <w:lang w:eastAsia="ja-JP"/>
              </w:rPr>
              <w:t>According to RAN1 LS in R2-2200092: For UL-TDOA, "</w:t>
            </w:r>
          </w:p>
          <w:p w14:paraId="2EC68C3C" w14:textId="77777777" w:rsidR="001227CA" w:rsidRDefault="001227CA" w:rsidP="001227CA">
            <w:pPr>
              <w:numPr>
                <w:ilvl w:val="1"/>
                <w:numId w:val="28"/>
              </w:numPr>
              <w:spacing w:line="220" w:lineRule="exact"/>
              <w:contextualSpacing/>
              <w:jc w:val="both"/>
              <w:rPr>
                <w:i/>
                <w:iCs/>
              </w:rPr>
            </w:pPr>
            <w:r>
              <w:rPr>
                <w:i/>
                <w:iCs/>
              </w:rPr>
              <w:t xml:space="preserve">Based on a configured periodicity, a UE may report the UE Tx TEG association for the SRS </w:t>
            </w:r>
            <w:r>
              <w:rPr>
                <w:i/>
                <w:iCs/>
              </w:rPr>
              <w:lastRenderedPageBreak/>
              <w:t xml:space="preserve">resources for positioning that have already been transmitted during the configured period </w:t>
            </w:r>
          </w:p>
          <w:p w14:paraId="11FEB7E9" w14:textId="77777777" w:rsidR="001227CA" w:rsidRDefault="001227CA" w:rsidP="001227CA">
            <w:pPr>
              <w:numPr>
                <w:ilvl w:val="2"/>
                <w:numId w:val="28"/>
              </w:numPr>
              <w:spacing w:line="220" w:lineRule="exact"/>
              <w:contextualSpacing/>
              <w:jc w:val="both"/>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73E21E83" w14:textId="77777777" w:rsidR="001227CA" w:rsidRDefault="001227CA" w:rsidP="001227CA">
            <w:pPr>
              <w:numPr>
                <w:ilvl w:val="2"/>
                <w:numId w:val="28"/>
              </w:numPr>
              <w:spacing w:line="220" w:lineRule="exact"/>
              <w:contextualSpacing/>
              <w:jc w:val="both"/>
              <w:rPr>
                <w:i/>
                <w:iCs/>
                <w:color w:val="000000"/>
              </w:rPr>
            </w:pPr>
            <w:r>
              <w:rPr>
                <w:i/>
                <w:iCs/>
                <w:color w:val="000000"/>
              </w:rPr>
              <w:t>It is up to RAN4 to decide when the Tx TEG association is changed</w:t>
            </w:r>
          </w:p>
          <w:p w14:paraId="44B9829F" w14:textId="77777777" w:rsidR="001227CA" w:rsidRDefault="001227CA" w:rsidP="001227CA">
            <w:pPr>
              <w:numPr>
                <w:ilvl w:val="1"/>
                <w:numId w:val="28"/>
              </w:numPr>
              <w:spacing w:line="220" w:lineRule="exact"/>
              <w:contextualSpacing/>
              <w:jc w:val="both"/>
              <w:rPr>
                <w:i/>
                <w:iCs/>
                <w:highlight w:val="cyan"/>
              </w:rPr>
            </w:pPr>
            <w:r>
              <w:rPr>
                <w:i/>
                <w:iCs/>
                <w:highlight w:val="cyan"/>
              </w:rPr>
              <w:t>The values of the configurable periodicities are up to RAN2</w:t>
            </w:r>
          </w:p>
          <w:p w14:paraId="1BD4F17E" w14:textId="77777777" w:rsidR="001227CA" w:rsidRDefault="001227CA">
            <w:r>
              <w:rPr>
                <w:lang w:eastAsia="ja-JP"/>
              </w:rPr>
              <w:t xml:space="preserve">". </w:t>
            </w:r>
            <w:r>
              <w:t xml:space="preserve">what is needed seems an a-periodic report (i.e., a report when the TEG association has changed). </w:t>
            </w:r>
          </w:p>
          <w:p w14:paraId="53413F8C" w14:textId="77777777" w:rsidR="001227CA" w:rsidRDefault="001227CA">
            <w:pPr>
              <w:rPr>
                <w:b/>
                <w:bCs/>
              </w:rPr>
            </w:pPr>
            <w:r>
              <w:rPr>
                <w:b/>
                <w:bCs/>
                <w:u w:val="single"/>
              </w:rPr>
              <w:t>Issue:</w:t>
            </w:r>
            <w:r>
              <w:t xml:space="preserve"> RAN1 already agreed that periodic reporting for UL-TDOA should be supported, </w:t>
            </w:r>
            <w:proofErr w:type="spellStart"/>
            <w:r>
              <w:t>ehat</w:t>
            </w:r>
            <w:proofErr w:type="spellEnd"/>
            <w:r>
              <w:t xml:space="preserve"> is the purpose of periodically reporting the same information? Or only a-periodic report is required (i.e., a report when the TEG association has changed)?</w:t>
            </w:r>
          </w:p>
        </w:tc>
        <w:tc>
          <w:tcPr>
            <w:tcW w:w="3780" w:type="dxa"/>
            <w:tcBorders>
              <w:top w:val="single" w:sz="4" w:space="0" w:color="auto"/>
              <w:left w:val="single" w:sz="4" w:space="0" w:color="auto"/>
              <w:bottom w:val="single" w:sz="4" w:space="0" w:color="auto"/>
              <w:right w:val="single" w:sz="4" w:space="0" w:color="auto"/>
            </w:tcBorders>
            <w:hideMark/>
          </w:tcPr>
          <w:p w14:paraId="092FB05C" w14:textId="77777777" w:rsidR="001227CA" w:rsidRDefault="001227CA">
            <w:pPr>
              <w:jc w:val="both"/>
              <w:rPr>
                <w:b/>
                <w:bCs/>
                <w:u w:val="single"/>
              </w:rPr>
            </w:pPr>
            <w:r>
              <w:rPr>
                <w:b/>
                <w:bCs/>
                <w:u w:val="single"/>
              </w:rPr>
              <w:lastRenderedPageBreak/>
              <w:t>RAN1 provides further clarifications on the issue;</w:t>
            </w:r>
          </w:p>
        </w:tc>
      </w:tr>
      <w:tr w:rsidR="001227CA" w14:paraId="4CCAD997"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1D836622" w14:textId="77777777" w:rsidR="001227CA" w:rsidRDefault="001227CA">
            <w:pPr>
              <w:jc w:val="both"/>
              <w:rPr>
                <w:b/>
                <w:bCs/>
                <w:u w:val="single"/>
              </w:rPr>
            </w:pPr>
            <w:r>
              <w:rPr>
                <w:b/>
                <w:bCs/>
                <w:u w:val="single"/>
              </w:rPr>
              <w:t>PRU</w:t>
            </w:r>
          </w:p>
        </w:tc>
        <w:tc>
          <w:tcPr>
            <w:tcW w:w="6714" w:type="dxa"/>
            <w:tcBorders>
              <w:top w:val="single" w:sz="4" w:space="0" w:color="auto"/>
              <w:left w:val="single" w:sz="4" w:space="0" w:color="auto"/>
              <w:bottom w:val="single" w:sz="4" w:space="0" w:color="auto"/>
              <w:right w:val="single" w:sz="4" w:space="0" w:color="auto"/>
            </w:tcBorders>
          </w:tcPr>
          <w:p w14:paraId="54F1F639" w14:textId="77777777" w:rsidR="001227CA" w:rsidRDefault="001227CA">
            <w:pPr>
              <w:jc w:val="both"/>
              <w:rPr>
                <w:sz w:val="22"/>
                <w:szCs w:val="22"/>
                <w:lang w:val="en-US"/>
              </w:rPr>
            </w:pPr>
            <w:r>
              <w:t>RAN2 has agreed that RAN2 will not discuss PRUs further without further guidance from RAN1 (LS or feature list).</w:t>
            </w:r>
          </w:p>
          <w:p w14:paraId="617FDAAC" w14:textId="77777777" w:rsidR="001227CA" w:rsidRDefault="001227CA">
            <w:pPr>
              <w:jc w:val="both"/>
              <w:rPr>
                <w:b/>
                <w:bCs/>
                <w:u w:val="single"/>
              </w:rPr>
            </w:pPr>
          </w:p>
        </w:tc>
        <w:tc>
          <w:tcPr>
            <w:tcW w:w="3780" w:type="dxa"/>
            <w:tcBorders>
              <w:top w:val="single" w:sz="4" w:space="0" w:color="auto"/>
              <w:left w:val="single" w:sz="4" w:space="0" w:color="auto"/>
              <w:bottom w:val="single" w:sz="4" w:space="0" w:color="auto"/>
              <w:right w:val="single" w:sz="4" w:space="0" w:color="auto"/>
            </w:tcBorders>
            <w:hideMark/>
          </w:tcPr>
          <w:p w14:paraId="00F4DCE4" w14:textId="77777777" w:rsidR="001227CA" w:rsidRDefault="001227CA">
            <w:pPr>
              <w:jc w:val="both"/>
              <w:rPr>
                <w:b/>
                <w:bCs/>
                <w:u w:val="single"/>
              </w:rPr>
            </w:pPr>
            <w:r>
              <w:rPr>
                <w:b/>
                <w:bCs/>
                <w:u w:val="single"/>
              </w:rPr>
              <w:t>RAN1 to decide whether PRU is supported in Rel-17;</w:t>
            </w:r>
          </w:p>
        </w:tc>
      </w:tr>
      <w:tr w:rsidR="001227CA" w14:paraId="3D3000D4"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1D0A49A1" w14:textId="77777777" w:rsidR="001227CA" w:rsidRDefault="001227CA">
            <w:pPr>
              <w:jc w:val="both"/>
              <w:rPr>
                <w:b/>
                <w:bCs/>
                <w:u w:val="single"/>
              </w:rPr>
            </w:pPr>
            <w:r>
              <w:rPr>
                <w:b/>
                <w:bCs/>
                <w:u w:val="single"/>
              </w:rPr>
              <w:t>Preconfigured MG</w:t>
            </w:r>
          </w:p>
        </w:tc>
        <w:tc>
          <w:tcPr>
            <w:tcW w:w="6714" w:type="dxa"/>
            <w:tcBorders>
              <w:top w:val="single" w:sz="4" w:space="0" w:color="auto"/>
              <w:left w:val="single" w:sz="4" w:space="0" w:color="auto"/>
              <w:bottom w:val="single" w:sz="4" w:space="0" w:color="auto"/>
              <w:right w:val="single" w:sz="4" w:space="0" w:color="auto"/>
            </w:tcBorders>
          </w:tcPr>
          <w:p w14:paraId="2EB76747" w14:textId="77777777" w:rsidR="001227CA" w:rsidRDefault="001227CA">
            <w:pPr>
              <w:rPr>
                <w:sz w:val="22"/>
                <w:szCs w:val="22"/>
                <w:lang w:val="en-US"/>
              </w:rPr>
            </w:pPr>
            <w:r>
              <w:t xml:space="preserve">The </w:t>
            </w:r>
            <w:proofErr w:type="spellStart"/>
            <w:r>
              <w:t>gNB</w:t>
            </w:r>
            <w:proofErr w:type="spellEnd"/>
            <w:r>
              <w:t xml:space="preserve"> may activate the pre-configurated measurement gap upon receiving the request from a UE or LMF."</w:t>
            </w:r>
          </w:p>
          <w:p w14:paraId="4D01D4B3" w14:textId="77777777" w:rsidR="001227CA" w:rsidRDefault="001227CA">
            <w:r>
              <w:rPr>
                <w:b/>
                <w:bCs/>
                <w:u w:val="single"/>
                <w:lang w:eastAsia="ja-JP"/>
              </w:rPr>
              <w:t>Issue:</w:t>
            </w:r>
            <w:r>
              <w:rPr>
                <w:lang w:eastAsia="ja-JP"/>
              </w:rPr>
              <w:t xml:space="preserve"> FFS on whether MG activation/deactivation request from the LMF can also be applicable to pre-R16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5A49C2EC" w14:textId="77777777" w:rsidR="001227CA" w:rsidRDefault="001227CA">
            <w:pPr>
              <w:jc w:val="both"/>
              <w:rPr>
                <w:b/>
                <w:bCs/>
                <w:u w:val="single"/>
              </w:rPr>
            </w:pPr>
          </w:p>
        </w:tc>
        <w:tc>
          <w:tcPr>
            <w:tcW w:w="3780" w:type="dxa"/>
            <w:tcBorders>
              <w:top w:val="single" w:sz="4" w:space="0" w:color="auto"/>
              <w:left w:val="single" w:sz="4" w:space="0" w:color="auto"/>
              <w:bottom w:val="single" w:sz="4" w:space="0" w:color="auto"/>
              <w:right w:val="single" w:sz="4" w:space="0" w:color="auto"/>
            </w:tcBorders>
            <w:hideMark/>
          </w:tcPr>
          <w:p w14:paraId="5AC7C727" w14:textId="77777777" w:rsidR="001227CA" w:rsidRDefault="001227CA">
            <w:pPr>
              <w:jc w:val="both"/>
              <w:rPr>
                <w:b/>
                <w:bCs/>
                <w:u w:val="single"/>
              </w:rPr>
            </w:pPr>
            <w:r>
              <w:rPr>
                <w:b/>
                <w:bCs/>
                <w:u w:val="single"/>
              </w:rPr>
              <w:t>RAN1 provides further clarifications on the issue;</w:t>
            </w:r>
          </w:p>
        </w:tc>
      </w:tr>
      <w:tr w:rsidR="001227CA" w14:paraId="74E65A5E"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759CA0CD" w14:textId="77777777" w:rsidR="001227CA" w:rsidRDefault="001227CA">
            <w:pPr>
              <w:jc w:val="both"/>
              <w:rPr>
                <w:b/>
                <w:bCs/>
                <w:u w:val="single"/>
              </w:rPr>
            </w:pPr>
            <w:r>
              <w:rPr>
                <w:b/>
                <w:bCs/>
                <w:u w:val="single"/>
              </w:rPr>
              <w:t>PRS processing window</w:t>
            </w:r>
          </w:p>
        </w:tc>
        <w:tc>
          <w:tcPr>
            <w:tcW w:w="6714" w:type="dxa"/>
            <w:tcBorders>
              <w:top w:val="single" w:sz="4" w:space="0" w:color="auto"/>
              <w:left w:val="single" w:sz="4" w:space="0" w:color="auto"/>
              <w:bottom w:val="single" w:sz="4" w:space="0" w:color="auto"/>
              <w:right w:val="single" w:sz="4" w:space="0" w:color="auto"/>
            </w:tcBorders>
            <w:hideMark/>
          </w:tcPr>
          <w:p w14:paraId="14D1C5DF" w14:textId="77777777" w:rsidR="001227CA" w:rsidRDefault="001227CA">
            <w:pPr>
              <w:rPr>
                <w:sz w:val="22"/>
                <w:szCs w:val="22"/>
                <w:lang w:val="en-US"/>
              </w:rPr>
            </w:pPr>
            <w:r>
              <w:rPr>
                <w:b/>
                <w:bCs/>
                <w:u w:val="single"/>
              </w:rPr>
              <w:t>Issues:</w:t>
            </w:r>
            <w:r>
              <w:t xml:space="preserve"> </w:t>
            </w:r>
          </w:p>
          <w:p w14:paraId="4EA0B6FB" w14:textId="77777777" w:rsidR="001227CA" w:rsidRDefault="001227CA">
            <w:proofErr w:type="spellStart"/>
            <w:r>
              <w:t>FFS:Whether</w:t>
            </w:r>
            <w:proofErr w:type="spellEnd"/>
            <w:r>
              <w:t xml:space="preserve"> PRS processing window configuration is provided per BWP or not is up to RAN1 to decide.</w:t>
            </w:r>
          </w:p>
          <w:p w14:paraId="06989327" w14:textId="77777777" w:rsidR="001227CA" w:rsidRDefault="001227CA">
            <w:r>
              <w:t>FFS: Whether UE can be configured with multiple PRS processing windows should be decided by RAN1.</w:t>
            </w:r>
          </w:p>
          <w:p w14:paraId="2651FC16" w14:textId="77777777" w:rsidR="001227CA" w:rsidRDefault="001227CA">
            <w:r>
              <w:t>FFS on the max number of PPW configurations (from Stage 2 discussion)</w:t>
            </w:r>
          </w:p>
          <w:p w14:paraId="3240A552" w14:textId="77777777" w:rsidR="001227CA" w:rsidRDefault="001227C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3780" w:type="dxa"/>
            <w:tcBorders>
              <w:top w:val="single" w:sz="4" w:space="0" w:color="auto"/>
              <w:left w:val="single" w:sz="4" w:space="0" w:color="auto"/>
              <w:bottom w:val="single" w:sz="4" w:space="0" w:color="auto"/>
              <w:right w:val="single" w:sz="4" w:space="0" w:color="auto"/>
            </w:tcBorders>
            <w:hideMark/>
          </w:tcPr>
          <w:p w14:paraId="7512FFA5" w14:textId="77777777" w:rsidR="001227CA" w:rsidRDefault="001227CA">
            <w:pPr>
              <w:jc w:val="both"/>
              <w:rPr>
                <w:b/>
                <w:bCs/>
                <w:u w:val="single"/>
              </w:rPr>
            </w:pPr>
            <w:r>
              <w:rPr>
                <w:b/>
                <w:bCs/>
                <w:u w:val="single"/>
              </w:rPr>
              <w:t>RAN1 provides further clarifications on the issue;</w:t>
            </w:r>
          </w:p>
        </w:tc>
      </w:tr>
      <w:tr w:rsidR="001227CA" w14:paraId="6EA026B2"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4425CB0C" w14:textId="77777777" w:rsidR="001227CA" w:rsidRDefault="001227CA">
            <w:pPr>
              <w:jc w:val="both"/>
              <w:rPr>
                <w:b/>
                <w:bCs/>
                <w:u w:val="single"/>
              </w:rPr>
            </w:pPr>
            <w:r>
              <w:rPr>
                <w:b/>
                <w:bCs/>
                <w:u w:val="single"/>
              </w:rPr>
              <w:t>FFS in RAN1 parameter list</w:t>
            </w:r>
          </w:p>
        </w:tc>
        <w:tc>
          <w:tcPr>
            <w:tcW w:w="6714" w:type="dxa"/>
            <w:tcBorders>
              <w:top w:val="single" w:sz="4" w:space="0" w:color="auto"/>
              <w:left w:val="single" w:sz="4" w:space="0" w:color="auto"/>
              <w:bottom w:val="single" w:sz="4" w:space="0" w:color="auto"/>
              <w:right w:val="single" w:sz="4" w:space="0" w:color="auto"/>
            </w:tcBorders>
          </w:tcPr>
          <w:p w14:paraId="78EB71C8" w14:textId="77777777" w:rsidR="001227CA" w:rsidRDefault="001227CA">
            <w:pPr>
              <w:rPr>
                <w:b/>
                <w:bCs/>
                <w:sz w:val="22"/>
                <w:szCs w:val="22"/>
                <w:u w:val="single"/>
                <w:lang w:val="en-US"/>
              </w:rPr>
            </w:pPr>
          </w:p>
        </w:tc>
        <w:tc>
          <w:tcPr>
            <w:tcW w:w="3780" w:type="dxa"/>
            <w:tcBorders>
              <w:top w:val="single" w:sz="4" w:space="0" w:color="auto"/>
              <w:left w:val="single" w:sz="4" w:space="0" w:color="auto"/>
              <w:bottom w:val="single" w:sz="4" w:space="0" w:color="auto"/>
              <w:right w:val="single" w:sz="4" w:space="0" w:color="auto"/>
            </w:tcBorders>
            <w:hideMark/>
          </w:tcPr>
          <w:p w14:paraId="7B791178" w14:textId="77777777" w:rsidR="001227CA" w:rsidRDefault="001227CA">
            <w:pPr>
              <w:jc w:val="both"/>
              <w:rPr>
                <w:b/>
                <w:bCs/>
                <w:u w:val="single"/>
              </w:rPr>
            </w:pPr>
            <w:r>
              <w:rPr>
                <w:b/>
                <w:bCs/>
                <w:u w:val="single"/>
              </w:rPr>
              <w:t>RAN1 to resolve the FFFs.</w:t>
            </w:r>
          </w:p>
        </w:tc>
      </w:tr>
      <w:tr w:rsidR="001227CA" w14:paraId="38FADD02" w14:textId="77777777" w:rsidTr="001227CA">
        <w:tc>
          <w:tcPr>
            <w:tcW w:w="2394" w:type="dxa"/>
            <w:tcBorders>
              <w:top w:val="single" w:sz="4" w:space="0" w:color="auto"/>
              <w:left w:val="single" w:sz="4" w:space="0" w:color="auto"/>
              <w:bottom w:val="single" w:sz="4" w:space="0" w:color="auto"/>
              <w:right w:val="single" w:sz="4" w:space="0" w:color="auto"/>
            </w:tcBorders>
            <w:hideMark/>
          </w:tcPr>
          <w:p w14:paraId="10F96F7B" w14:textId="77777777" w:rsidR="001227CA" w:rsidRDefault="001227CA">
            <w:pPr>
              <w:jc w:val="both"/>
              <w:rPr>
                <w:b/>
                <w:bCs/>
                <w:u w:val="single"/>
              </w:rPr>
            </w:pPr>
            <w:r>
              <w:rPr>
                <w:b/>
                <w:bCs/>
                <w:u w:val="single"/>
              </w:rPr>
              <w:t>FFS in RAN1 UE feature list</w:t>
            </w:r>
          </w:p>
        </w:tc>
        <w:tc>
          <w:tcPr>
            <w:tcW w:w="6714" w:type="dxa"/>
            <w:tcBorders>
              <w:top w:val="single" w:sz="4" w:space="0" w:color="auto"/>
              <w:left w:val="single" w:sz="4" w:space="0" w:color="auto"/>
              <w:bottom w:val="single" w:sz="4" w:space="0" w:color="auto"/>
              <w:right w:val="single" w:sz="4" w:space="0" w:color="auto"/>
            </w:tcBorders>
          </w:tcPr>
          <w:p w14:paraId="4C367C0D" w14:textId="77777777" w:rsidR="001227CA" w:rsidRDefault="001227CA">
            <w:pPr>
              <w:rPr>
                <w:b/>
                <w:bCs/>
                <w:sz w:val="22"/>
                <w:szCs w:val="22"/>
                <w:u w:val="single"/>
                <w:lang w:val="en-US"/>
              </w:rPr>
            </w:pPr>
          </w:p>
        </w:tc>
        <w:tc>
          <w:tcPr>
            <w:tcW w:w="3780" w:type="dxa"/>
            <w:tcBorders>
              <w:top w:val="single" w:sz="4" w:space="0" w:color="auto"/>
              <w:left w:val="single" w:sz="4" w:space="0" w:color="auto"/>
              <w:bottom w:val="single" w:sz="4" w:space="0" w:color="auto"/>
              <w:right w:val="single" w:sz="4" w:space="0" w:color="auto"/>
            </w:tcBorders>
            <w:hideMark/>
          </w:tcPr>
          <w:p w14:paraId="6141EBAB" w14:textId="77777777" w:rsidR="001227CA" w:rsidRDefault="001227CA">
            <w:pPr>
              <w:jc w:val="both"/>
              <w:rPr>
                <w:b/>
                <w:bCs/>
                <w:u w:val="single"/>
              </w:rPr>
            </w:pPr>
            <w:r>
              <w:rPr>
                <w:b/>
                <w:bCs/>
                <w:u w:val="single"/>
              </w:rPr>
              <w:t>RAN1 to resolve the FFFs.</w:t>
            </w:r>
          </w:p>
        </w:tc>
      </w:tr>
    </w:tbl>
    <w:p w14:paraId="6DE84595" w14:textId="77777777" w:rsidR="0043389E" w:rsidRPr="00DF4DDD" w:rsidRDefault="0043389E" w:rsidP="0043389E">
      <w:pPr>
        <w:jc w:val="both"/>
        <w:rPr>
          <w:b/>
          <w:bCs/>
          <w:u w:val="single"/>
        </w:rPr>
      </w:pPr>
    </w:p>
    <w:p w14:paraId="1C2E67C3" w14:textId="77777777" w:rsidR="0043389E" w:rsidRDefault="0043389E" w:rsidP="004C53DD">
      <w:pPr>
        <w:spacing w:after="60"/>
        <w:rPr>
          <w:rFonts w:ascii="Arial" w:hAnsi="Arial" w:cs="Arial"/>
          <w:bCs/>
        </w:rPr>
      </w:pPr>
    </w:p>
    <w:p w14:paraId="4B2A1D2F" w14:textId="77777777" w:rsidR="0043389E" w:rsidRDefault="0043389E" w:rsidP="004C53D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FA0784"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C37CB4" w:rsidRPr="00C51E5F">
        <w:rPr>
          <w:rFonts w:ascii="Arial" w:hAnsi="Arial" w:cs="Arial"/>
          <w:b/>
        </w:rPr>
        <w:t>RAN WG</w:t>
      </w:r>
      <w:r w:rsidR="004C53DD">
        <w:rPr>
          <w:rFonts w:ascii="Arial" w:hAnsi="Arial" w:cs="Arial"/>
          <w:b/>
        </w:rPr>
        <w:t>1</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4F07403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RAN2 respectfully asks RAN1 to take the above into account</w:t>
      </w:r>
      <w:r w:rsidR="0043389E">
        <w:rPr>
          <w:rFonts w:ascii="Arial" w:eastAsia="Yu Mincho" w:hAnsi="Arial" w:cs="Arial"/>
          <w:iCs/>
          <w:lang w:eastAsia="ja-JP"/>
        </w:rPr>
        <w:t xml:space="preserve"> and provide feedback in </w:t>
      </w:r>
      <w:r w:rsidR="00027AD3">
        <w:rPr>
          <w:rFonts w:ascii="Arial" w:eastAsia="Yu Mincho" w:hAnsi="Arial" w:cs="Arial"/>
          <w:iCs/>
          <w:lang w:eastAsia="ja-JP"/>
        </w:rPr>
        <w:t>February meeting</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3F450C78" w14:textId="07195AA8" w:rsidR="004C53DD" w:rsidRDefault="004C53DD" w:rsidP="004C53DD">
      <w:pPr>
        <w:tabs>
          <w:tab w:val="left" w:pos="5103"/>
        </w:tabs>
        <w:spacing w:after="120"/>
        <w:ind w:left="2268" w:hanging="2268"/>
        <w:rPr>
          <w:rFonts w:ascii="Arial" w:hAnsi="Arial" w:cs="Arial"/>
          <w:bCs/>
          <w:lang w:val="sv-SE"/>
        </w:rPr>
      </w:pPr>
      <w:r>
        <w:rPr>
          <w:rFonts w:ascii="Arial" w:hAnsi="Arial" w:cs="Arial"/>
          <w:bCs/>
          <w:lang w:val="sv-SE"/>
        </w:rPr>
        <w:t>RAN2#11</w:t>
      </w:r>
      <w:r w:rsidR="0043389E">
        <w:rPr>
          <w:rFonts w:ascii="Arial" w:hAnsi="Arial" w:cs="Arial"/>
          <w:bCs/>
          <w:lang w:val="sv-SE"/>
        </w:rPr>
        <w:t>8</w:t>
      </w:r>
      <w:r>
        <w:rPr>
          <w:rFonts w:ascii="Arial" w:hAnsi="Arial" w:cs="Arial"/>
          <w:bCs/>
          <w:lang w:val="sv-SE"/>
        </w:rPr>
        <w:t>-e</w:t>
      </w:r>
      <w:r>
        <w:rPr>
          <w:rFonts w:ascii="Arial" w:hAnsi="Arial" w:cs="Arial"/>
          <w:bCs/>
          <w:lang w:val="sv-SE"/>
        </w:rPr>
        <w:tab/>
      </w:r>
      <w:r w:rsidR="0043389E">
        <w:rPr>
          <w:rFonts w:ascii="Arial" w:hAnsi="Arial" w:cs="Arial"/>
          <w:bCs/>
          <w:lang w:val="sv-SE"/>
        </w:rPr>
        <w:t>16</w:t>
      </w:r>
      <w:r>
        <w:rPr>
          <w:rFonts w:ascii="Arial" w:hAnsi="Arial" w:cs="Arial"/>
          <w:bCs/>
          <w:lang w:val="sv-SE"/>
        </w:rPr>
        <w:t xml:space="preserve"> – </w:t>
      </w:r>
      <w:r w:rsidR="0043389E">
        <w:rPr>
          <w:rFonts w:ascii="Arial" w:hAnsi="Arial" w:cs="Arial"/>
          <w:bCs/>
          <w:lang w:val="sv-SE"/>
        </w:rPr>
        <w:t>27</w:t>
      </w:r>
      <w:r>
        <w:rPr>
          <w:rFonts w:ascii="Arial" w:hAnsi="Arial" w:cs="Arial"/>
          <w:bCs/>
          <w:lang w:val="sv-SE"/>
        </w:rPr>
        <w:t xml:space="preserve"> </w:t>
      </w:r>
      <w:r w:rsidR="0043389E">
        <w:rPr>
          <w:rFonts w:ascii="Arial" w:hAnsi="Arial" w:cs="Arial"/>
          <w:bCs/>
          <w:lang w:val="sv-SE"/>
        </w:rPr>
        <w:t>May</w:t>
      </w:r>
      <w:r>
        <w:rPr>
          <w:rFonts w:ascii="Arial" w:hAnsi="Arial" w:cs="Arial"/>
          <w:bCs/>
          <w:lang w:val="sv-SE"/>
        </w:rPr>
        <w:t xml:space="preserve"> 2022</w:t>
      </w:r>
      <w:r>
        <w:rPr>
          <w:rFonts w:ascii="Arial" w:hAnsi="Arial" w:cs="Arial"/>
          <w:bCs/>
          <w:lang w:val="sv-SE"/>
        </w:rPr>
        <w:tab/>
        <w:t>Electronic meeting</w:t>
      </w:r>
    </w:p>
    <w:p w14:paraId="7A1241CB" w14:textId="22592CA9" w:rsidR="007E48B6" w:rsidRPr="004C53DD" w:rsidRDefault="007E48B6" w:rsidP="004C53DD">
      <w:pPr>
        <w:spacing w:after="120"/>
        <w:rPr>
          <w:rFonts w:ascii="Arial" w:eastAsia="MS Mincho" w:hAnsi="Arial" w:cs="Arial"/>
          <w:bCs/>
          <w:lang w:val="sv-SE" w:eastAsia="ja-JP"/>
        </w:rPr>
      </w:pPr>
    </w:p>
    <w:sectPr w:rsidR="007E48B6" w:rsidRPr="004C53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7ADC" w14:textId="77777777" w:rsidR="000C4946" w:rsidRDefault="000C4946">
      <w:r>
        <w:separator/>
      </w:r>
    </w:p>
  </w:endnote>
  <w:endnote w:type="continuationSeparator" w:id="0">
    <w:p w14:paraId="3E0D93EF" w14:textId="77777777" w:rsidR="000C4946" w:rsidRDefault="000C4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MS Gothic"/>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C4DD5" w14:textId="77777777" w:rsidR="000C4946" w:rsidRDefault="000C4946">
      <w:r>
        <w:separator/>
      </w:r>
    </w:p>
  </w:footnote>
  <w:footnote w:type="continuationSeparator" w:id="0">
    <w:p w14:paraId="1D247832" w14:textId="77777777" w:rsidR="000C4946" w:rsidRDefault="000C4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6"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5"/>
  </w:num>
  <w:num w:numId="2">
    <w:abstractNumId w:val="12"/>
  </w:num>
  <w:num w:numId="3">
    <w:abstractNumId w:val="22"/>
  </w:num>
  <w:num w:numId="4">
    <w:abstractNumId w:val="23"/>
  </w:num>
  <w:num w:numId="5">
    <w:abstractNumId w:val="3"/>
  </w:num>
  <w:num w:numId="6">
    <w:abstractNumId w:val="14"/>
  </w:num>
  <w:num w:numId="7">
    <w:abstractNumId w:val="7"/>
  </w:num>
  <w:num w:numId="8">
    <w:abstractNumId w:val="2"/>
  </w:num>
  <w:num w:numId="9">
    <w:abstractNumId w:val="24"/>
  </w:num>
  <w:num w:numId="10">
    <w:abstractNumId w:val="6"/>
  </w:num>
  <w:num w:numId="11">
    <w:abstractNumId w:val="10"/>
  </w:num>
  <w:num w:numId="12">
    <w:abstractNumId w:val="9"/>
  </w:num>
  <w:num w:numId="13">
    <w:abstractNumId w:val="17"/>
  </w:num>
  <w:num w:numId="14">
    <w:abstractNumId w:val="20"/>
  </w:num>
  <w:num w:numId="15">
    <w:abstractNumId w:val="21"/>
  </w:num>
  <w:num w:numId="16">
    <w:abstractNumId w:val="4"/>
  </w:num>
  <w:num w:numId="17">
    <w:abstractNumId w:val="5"/>
  </w:num>
  <w:num w:numId="18">
    <w:abstractNumId w:val="15"/>
  </w:num>
  <w:num w:numId="19">
    <w:abstractNumId w:val="1"/>
  </w:num>
  <w:num w:numId="20">
    <w:abstractNumId w:val="18"/>
  </w:num>
  <w:num w:numId="21">
    <w:abstractNumId w:val="8"/>
  </w:num>
  <w:num w:numId="22">
    <w:abstractNumId w:val="11"/>
  </w:num>
  <w:num w:numId="23">
    <w:abstractNumId w:val="0"/>
  </w:num>
  <w:num w:numId="24">
    <w:abstractNumId w:val="19"/>
  </w:num>
  <w:num w:numId="25">
    <w:abstractNumId w:val="16"/>
  </w:num>
  <w:num w:numId="26">
    <w:abstractNumId w:val="26"/>
  </w:num>
  <w:num w:numId="27">
    <w:abstractNumId w:val="26"/>
  </w:num>
  <w:num w:numId="28">
    <w:abstractNumId w:val="13"/>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4A6E"/>
    <w:rsid w:val="00125460"/>
    <w:rsid w:val="00125B4A"/>
    <w:rsid w:val="00125B74"/>
    <w:rsid w:val="001274E9"/>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30A0"/>
    <w:rsid w:val="004532EC"/>
    <w:rsid w:val="00453B17"/>
    <w:rsid w:val="00455DB9"/>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6356"/>
    <w:rsid w:val="0053666D"/>
    <w:rsid w:val="005368A1"/>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6DDE"/>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B26E2"/>
    <w:rsid w:val="00CB66DC"/>
    <w:rsid w:val="00CB6DBC"/>
    <w:rsid w:val="00CC1E40"/>
    <w:rsid w:val="00CC52B0"/>
    <w:rsid w:val="00CC731D"/>
    <w:rsid w:val="00CD0BB2"/>
    <w:rsid w:val="00CD5AEA"/>
    <w:rsid w:val="00CD60A8"/>
    <w:rsid w:val="00CE42D5"/>
    <w:rsid w:val="00D017F3"/>
    <w:rsid w:val="00D044D7"/>
    <w:rsid w:val="00D11DCD"/>
    <w:rsid w:val="00D12E21"/>
    <w:rsid w:val="00D13D00"/>
    <w:rsid w:val="00D15B1B"/>
    <w:rsid w:val="00D15E7A"/>
    <w:rsid w:val="00D20135"/>
    <w:rsid w:val="00D21114"/>
    <w:rsid w:val="00D22959"/>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1AD8D3-2005-4183-8020-671EF0A1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Intel-Yi1</cp:lastModifiedBy>
  <cp:revision>4</cp:revision>
  <cp:lastPrinted>2002-04-23T00:10:00Z</cp:lastPrinted>
  <dcterms:created xsi:type="dcterms:W3CDTF">2022-02-14T09:02:00Z</dcterms:created>
  <dcterms:modified xsi:type="dcterms:W3CDTF">2022-02-15T03:56:00Z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